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岳阳市岳阳楼区住房和城乡建设局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71</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71</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1.47</w:t>
            </w:r>
          </w:p>
        </w:tc>
        <w:tc>
          <w:tcPr>
            <w:tcW w:w="2254" w:type="dxa"/>
            <w:gridSpan w:val="2"/>
            <w:vAlign w:val="center"/>
          </w:tcPr>
          <w:p w14:paraId="4F71E97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3.1</w:t>
            </w:r>
          </w:p>
        </w:tc>
        <w:tc>
          <w:tcPr>
            <w:tcW w:w="1750" w:type="dxa"/>
            <w:gridSpan w:val="2"/>
            <w:vAlign w:val="center"/>
          </w:tcPr>
          <w:p w14:paraId="3C548A6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1.79</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1.47</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750" w:type="dxa"/>
            <w:gridSpan w:val="2"/>
            <w:vAlign w:val="center"/>
          </w:tcPr>
          <w:p w14:paraId="25C7E01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1.79</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1.47</w:t>
            </w: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1.79</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6E1F597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0.1</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124186.66</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22884.25</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22424.53</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194.53</w:t>
            </w:r>
          </w:p>
        </w:tc>
        <w:tc>
          <w:tcPr>
            <w:tcW w:w="2254" w:type="dxa"/>
            <w:gridSpan w:val="2"/>
            <w:vAlign w:val="center"/>
          </w:tcPr>
          <w:p w14:paraId="4FC6071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167</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167</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1410.32</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1241.27</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1288.87</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122581.81</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21475.98</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20968.66</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（1）12345热线、网格信息化及12319热线项目及应急工程</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822.95</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941.41</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（2）农村公路养护及改造工程项目</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422.07</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341.93</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（3）路灯电费及路灯维修项目</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672.81</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w:t>
            </w: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607.54</w:t>
            </w:r>
          </w:p>
        </w:tc>
      </w:tr>
      <w:tr w14:paraId="57FD7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847DEEA">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（4）王家河面源整治项目</w:t>
            </w:r>
          </w:p>
        </w:tc>
        <w:tc>
          <w:tcPr>
            <w:tcW w:w="1815" w:type="dxa"/>
            <w:gridSpan w:val="2"/>
            <w:shd w:val="clear" w:color="auto" w:fill="auto"/>
            <w:vAlign w:val="center"/>
          </w:tcPr>
          <w:p w14:paraId="36F9E6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114.62</w:t>
            </w:r>
          </w:p>
        </w:tc>
        <w:tc>
          <w:tcPr>
            <w:tcW w:w="2254" w:type="dxa"/>
            <w:gridSpan w:val="2"/>
            <w:vAlign w:val="center"/>
          </w:tcPr>
          <w:p w14:paraId="34722C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130</w:t>
            </w:r>
          </w:p>
        </w:tc>
        <w:tc>
          <w:tcPr>
            <w:tcW w:w="1750" w:type="dxa"/>
            <w:gridSpan w:val="2"/>
            <w:vAlign w:val="center"/>
          </w:tcPr>
          <w:p w14:paraId="7D8F76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124.92</w:t>
            </w:r>
          </w:p>
        </w:tc>
      </w:tr>
      <w:tr w14:paraId="5E1D0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C967637">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（5）污水运行费</w:t>
            </w:r>
          </w:p>
        </w:tc>
        <w:tc>
          <w:tcPr>
            <w:tcW w:w="1815" w:type="dxa"/>
            <w:gridSpan w:val="2"/>
            <w:shd w:val="clear" w:color="auto" w:fill="auto"/>
            <w:vAlign w:val="center"/>
          </w:tcPr>
          <w:p w14:paraId="79A41B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182.07</w:t>
            </w:r>
          </w:p>
        </w:tc>
        <w:tc>
          <w:tcPr>
            <w:tcW w:w="2254" w:type="dxa"/>
            <w:gridSpan w:val="2"/>
            <w:vAlign w:val="center"/>
          </w:tcPr>
          <w:p w14:paraId="1C290C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320</w:t>
            </w:r>
          </w:p>
        </w:tc>
        <w:tc>
          <w:tcPr>
            <w:tcW w:w="1750" w:type="dxa"/>
            <w:gridSpan w:val="2"/>
            <w:vAlign w:val="center"/>
          </w:tcPr>
          <w:p w14:paraId="6EAEC6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263.04</w:t>
            </w:r>
          </w:p>
        </w:tc>
      </w:tr>
      <w:tr w14:paraId="3DA22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5C3BE58">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（6）既有住宅加装电梯补助款</w:t>
            </w:r>
          </w:p>
        </w:tc>
        <w:tc>
          <w:tcPr>
            <w:tcW w:w="1815" w:type="dxa"/>
            <w:gridSpan w:val="2"/>
            <w:shd w:val="clear" w:color="auto" w:fill="auto"/>
            <w:vAlign w:val="center"/>
          </w:tcPr>
          <w:p w14:paraId="4A2566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900</w:t>
            </w:r>
          </w:p>
        </w:tc>
        <w:tc>
          <w:tcPr>
            <w:tcW w:w="2254" w:type="dxa"/>
            <w:gridSpan w:val="2"/>
            <w:vAlign w:val="center"/>
          </w:tcPr>
          <w:p w14:paraId="37EDB4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2670</w:t>
            </w:r>
          </w:p>
        </w:tc>
        <w:tc>
          <w:tcPr>
            <w:tcW w:w="1750" w:type="dxa"/>
            <w:gridSpan w:val="2"/>
            <w:vAlign w:val="center"/>
          </w:tcPr>
          <w:p w14:paraId="5ABA62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2670</w:t>
            </w:r>
          </w:p>
        </w:tc>
      </w:tr>
      <w:tr w14:paraId="433B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76D7F636">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（7）文曲巷、天欣路道路工程建设项目</w:t>
            </w:r>
          </w:p>
        </w:tc>
        <w:tc>
          <w:tcPr>
            <w:tcW w:w="1815" w:type="dxa"/>
            <w:gridSpan w:val="2"/>
            <w:shd w:val="clear" w:color="auto" w:fill="auto"/>
            <w:vAlign w:val="center"/>
          </w:tcPr>
          <w:p w14:paraId="60007E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73869C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w:t>
            </w:r>
          </w:p>
        </w:tc>
        <w:tc>
          <w:tcPr>
            <w:tcW w:w="1750" w:type="dxa"/>
            <w:gridSpan w:val="2"/>
            <w:vAlign w:val="center"/>
          </w:tcPr>
          <w:p w14:paraId="6910A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618.03</w:t>
            </w:r>
          </w:p>
        </w:tc>
      </w:tr>
      <w:tr w14:paraId="64E74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604ACD2B">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（8）新桥南路道路工程建设项目</w:t>
            </w:r>
          </w:p>
        </w:tc>
        <w:tc>
          <w:tcPr>
            <w:tcW w:w="1815" w:type="dxa"/>
            <w:gridSpan w:val="2"/>
            <w:shd w:val="clear" w:color="auto" w:fill="auto"/>
            <w:vAlign w:val="center"/>
          </w:tcPr>
          <w:p w14:paraId="30FFBA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3FBCF5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650</w:t>
            </w:r>
          </w:p>
        </w:tc>
        <w:tc>
          <w:tcPr>
            <w:tcW w:w="1750" w:type="dxa"/>
            <w:gridSpan w:val="2"/>
            <w:vAlign w:val="center"/>
          </w:tcPr>
          <w:p w14:paraId="535538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595.81</w:t>
            </w:r>
          </w:p>
        </w:tc>
      </w:tr>
      <w:tr w14:paraId="53822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50854B3D">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（9）保障性安居工程资金（中央、省级及配套资金）</w:t>
            </w:r>
          </w:p>
        </w:tc>
        <w:tc>
          <w:tcPr>
            <w:tcW w:w="1815" w:type="dxa"/>
            <w:gridSpan w:val="2"/>
            <w:shd w:val="clear" w:color="auto" w:fill="auto"/>
            <w:vAlign w:val="center"/>
          </w:tcPr>
          <w:p w14:paraId="317FC7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48423.92</w:t>
            </w:r>
          </w:p>
        </w:tc>
        <w:tc>
          <w:tcPr>
            <w:tcW w:w="2254" w:type="dxa"/>
            <w:gridSpan w:val="2"/>
            <w:vAlign w:val="center"/>
          </w:tcPr>
          <w:p w14:paraId="35CF1D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13683.09</w:t>
            </w:r>
          </w:p>
        </w:tc>
        <w:tc>
          <w:tcPr>
            <w:tcW w:w="1750" w:type="dxa"/>
            <w:gridSpan w:val="2"/>
            <w:vAlign w:val="center"/>
          </w:tcPr>
          <w:p w14:paraId="7C342D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13683.09</w:t>
            </w:r>
          </w:p>
        </w:tc>
      </w:tr>
      <w:tr w14:paraId="024DF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478D2806">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（10）东风湖流域生态修复工程</w:t>
            </w:r>
          </w:p>
        </w:tc>
        <w:tc>
          <w:tcPr>
            <w:tcW w:w="1815" w:type="dxa"/>
            <w:gridSpan w:val="2"/>
            <w:shd w:val="clear" w:color="auto" w:fill="auto"/>
            <w:vAlign w:val="center"/>
          </w:tcPr>
          <w:p w14:paraId="55D90E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2670.5</w:t>
            </w:r>
          </w:p>
        </w:tc>
        <w:tc>
          <w:tcPr>
            <w:tcW w:w="2254" w:type="dxa"/>
            <w:gridSpan w:val="2"/>
            <w:vAlign w:val="center"/>
          </w:tcPr>
          <w:p w14:paraId="556FBA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1F4E03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29958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39D97358">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（11）农村客运补贴资金及城市交通发展奖励资金</w:t>
            </w:r>
          </w:p>
        </w:tc>
        <w:tc>
          <w:tcPr>
            <w:tcW w:w="1815" w:type="dxa"/>
            <w:gridSpan w:val="2"/>
            <w:shd w:val="clear" w:color="auto" w:fill="auto"/>
            <w:vAlign w:val="center"/>
          </w:tcPr>
          <w:p w14:paraId="35E3AC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669.77</w:t>
            </w:r>
          </w:p>
        </w:tc>
        <w:tc>
          <w:tcPr>
            <w:tcW w:w="2254" w:type="dxa"/>
            <w:gridSpan w:val="2"/>
            <w:vAlign w:val="center"/>
          </w:tcPr>
          <w:p w14:paraId="22A7F2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1122.89</w:t>
            </w:r>
          </w:p>
        </w:tc>
        <w:tc>
          <w:tcPr>
            <w:tcW w:w="1750" w:type="dxa"/>
            <w:gridSpan w:val="2"/>
            <w:vAlign w:val="center"/>
          </w:tcPr>
          <w:p w14:paraId="104240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1122.89</w:t>
            </w:r>
          </w:p>
        </w:tc>
      </w:tr>
      <w:tr w14:paraId="30E01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FB9D657">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（12）不停车检测系统项目</w:t>
            </w:r>
          </w:p>
        </w:tc>
        <w:tc>
          <w:tcPr>
            <w:tcW w:w="1815" w:type="dxa"/>
            <w:gridSpan w:val="2"/>
            <w:shd w:val="clear" w:color="auto" w:fill="auto"/>
            <w:vAlign w:val="center"/>
          </w:tcPr>
          <w:p w14:paraId="5139AB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303.1</w:t>
            </w:r>
          </w:p>
        </w:tc>
        <w:tc>
          <w:tcPr>
            <w:tcW w:w="2254" w:type="dxa"/>
            <w:gridSpan w:val="2"/>
            <w:vAlign w:val="center"/>
          </w:tcPr>
          <w:p w14:paraId="31F9A0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BC9F1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7377A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13D5EA8B">
            <w:pPr>
              <w:spacing w:before="81" w:line="219" w:lineRule="auto"/>
              <w:ind w:firstLine="472" w:firstLineChars="200"/>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（13）政府性基金（债券资金）</w:t>
            </w:r>
          </w:p>
        </w:tc>
        <w:tc>
          <w:tcPr>
            <w:tcW w:w="1815" w:type="dxa"/>
            <w:gridSpan w:val="2"/>
            <w:shd w:val="clear" w:color="auto" w:fill="auto"/>
            <w:vAlign w:val="center"/>
          </w:tcPr>
          <w:p w14:paraId="33F415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67400</w:t>
            </w:r>
          </w:p>
        </w:tc>
        <w:tc>
          <w:tcPr>
            <w:tcW w:w="2254" w:type="dxa"/>
            <w:gridSpan w:val="2"/>
            <w:vAlign w:val="center"/>
          </w:tcPr>
          <w:p w14:paraId="5222A7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24A397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164.72</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127.8</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130.46</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25.64</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15.44</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7.51</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8.7</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9.63</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1.73</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0.42</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601.6</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134.35</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1066.8</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682"/>
        <w:gridCol w:w="1110"/>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11"/>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岳阳市岳阳楼区住房和城乡建设局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11"/>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11"/>
              <w:spacing w:line="235" w:lineRule="exact"/>
              <w:rPr>
                <w:rFonts w:hint="eastAsia" w:ascii="宋体" w:hAnsi="宋体" w:eastAsia="宋体" w:cs="宋体"/>
                <w:sz w:val="20"/>
              </w:rPr>
            </w:pPr>
          </w:p>
        </w:tc>
        <w:tc>
          <w:tcPr>
            <w:tcW w:w="1682"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10"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11"/>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682" w:type="dxa"/>
            <w:vAlign w:val="center"/>
          </w:tcPr>
          <w:p w14:paraId="5247C3F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22884.25</w:t>
            </w:r>
          </w:p>
        </w:tc>
        <w:tc>
          <w:tcPr>
            <w:tcW w:w="1110" w:type="dxa"/>
            <w:vAlign w:val="center"/>
          </w:tcPr>
          <w:p w14:paraId="122C9419">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22424.53</w:t>
            </w:r>
          </w:p>
        </w:tc>
        <w:tc>
          <w:tcPr>
            <w:tcW w:w="1286" w:type="dxa"/>
            <w:vAlign w:val="center"/>
          </w:tcPr>
          <w:p w14:paraId="3E29C041">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22424.53</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100.00%</w:t>
            </w:r>
          </w:p>
        </w:tc>
        <w:tc>
          <w:tcPr>
            <w:tcW w:w="1450" w:type="dxa"/>
            <w:vAlign w:val="center"/>
          </w:tcPr>
          <w:p w14:paraId="6CA57E7D">
            <w:pPr>
              <w:keepNext w:val="0"/>
              <w:keepLines w:val="0"/>
              <w:widowControl/>
              <w:suppressLineNumbers w:val="0"/>
              <w:jc w:val="center"/>
              <w:textAlignment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11"/>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11"/>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22246.68</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1288.87</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11"/>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21135.66</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11"/>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11"/>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11"/>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177.85</w:t>
            </w:r>
          </w:p>
        </w:tc>
        <w:tc>
          <w:tcPr>
            <w:tcW w:w="4210" w:type="dxa"/>
            <w:gridSpan w:val="4"/>
            <w:vAlign w:val="top"/>
          </w:tcPr>
          <w:p w14:paraId="492CC969">
            <w:pPr>
              <w:pStyle w:val="11"/>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11"/>
              <w:spacing w:line="242" w:lineRule="auto"/>
              <w:rPr>
                <w:rFonts w:hint="eastAsia" w:ascii="宋体" w:hAnsi="宋体" w:eastAsia="宋体" w:cs="宋体"/>
              </w:rPr>
            </w:pPr>
          </w:p>
          <w:p w14:paraId="56827C23">
            <w:pPr>
              <w:pStyle w:val="11"/>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11"/>
              <w:rPr>
                <w:rFonts w:hint="eastAsia" w:ascii="宋体" w:hAnsi="宋体" w:eastAsia="宋体" w:cs="宋体"/>
              </w:rPr>
            </w:pPr>
          </w:p>
        </w:tc>
        <w:tc>
          <w:tcPr>
            <w:tcW w:w="4789" w:type="dxa"/>
            <w:gridSpan w:val="4"/>
            <w:vAlign w:val="center"/>
          </w:tcPr>
          <w:p w14:paraId="738DD02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目标1：计划1-12月份完成12345、12319热线和网格信息化及应急工程1350次、计划资金1000万元；</w:t>
            </w:r>
          </w:p>
          <w:p w14:paraId="4567766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目标2：计划1-12月完成份污水净化130万吨，计划污水运行费用320万元；</w:t>
            </w:r>
          </w:p>
          <w:p w14:paraId="10E687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目标3：计划1-12月完成王家河面源整治污泥8323吨，计划整治费用130万元；</w:t>
            </w:r>
          </w:p>
          <w:p w14:paraId="64DC360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目标4：计划1-12月份农村公路日常养护及改造工程资金500万元；</w:t>
            </w:r>
          </w:p>
          <w:p w14:paraId="7A3BB59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目标5：计划1-12月份完成加装电梯267台及补助资金2670万元；</w:t>
            </w:r>
          </w:p>
          <w:p w14:paraId="2364DF9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目标6：计划1-12月份完成路灯电费、路灯维修1600次及路灯改造安装420盏，计划资金700万元；</w:t>
            </w:r>
          </w:p>
          <w:p w14:paraId="0BF1FD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目标7：计划1-12月完成文曲巷、天欣路道路建设398.88米，计划资金700万元；</w:t>
            </w:r>
          </w:p>
          <w:p w14:paraId="7747C4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目标8：计划1-12月份完成新桥南路道路建设364.87米，完成投资650万元；</w:t>
            </w:r>
          </w:p>
          <w:p w14:paraId="034CF57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目标9：计划1-12月完成旧城改造35202户；</w:t>
            </w:r>
          </w:p>
          <w:p w14:paraId="2CA2C432">
            <w:pPr>
              <w:keepNext w:val="0"/>
              <w:keepLines w:val="0"/>
              <w:widowControl/>
              <w:suppressLineNumbers w:val="0"/>
              <w:jc w:val="left"/>
              <w:textAlignment w:val="center"/>
              <w:rPr>
                <w:rFonts w:hint="default"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目标10：计划1-12月完成2024年农村客运补贴和城市交通发展奖励资金2057户及资金1122.89万元。</w:t>
            </w:r>
          </w:p>
        </w:tc>
        <w:tc>
          <w:tcPr>
            <w:tcW w:w="4210" w:type="dxa"/>
            <w:gridSpan w:val="4"/>
            <w:vAlign w:val="center"/>
          </w:tcPr>
          <w:p w14:paraId="1D5661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1：1-12月份完成12345、12319热线和网格信息化及应急工程1350次、完成投资941.41万元；</w:t>
            </w:r>
          </w:p>
          <w:p w14:paraId="0F046B5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2：1-12月完成份污水净化130万吨，完成投资263.04万元；</w:t>
            </w:r>
          </w:p>
          <w:p w14:paraId="2045D3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3：1-12月完成王家河面源整治污泥8323吨，完成投资124.92万元；</w:t>
            </w:r>
          </w:p>
          <w:p w14:paraId="096E6B4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4：1-12月份农村公路日常养护及改造工程9.24公里，完成投资341.93万元；</w:t>
            </w:r>
          </w:p>
          <w:p w14:paraId="523A043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5：1-12月份完成加装电梯267台，完成补助资金2670万元；</w:t>
            </w:r>
          </w:p>
          <w:p w14:paraId="0E4875C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6：1-12月份完成路灯电费、路灯维修1600次及路灯改造安装420盏，完成投资607.54万元；</w:t>
            </w:r>
          </w:p>
          <w:p w14:paraId="70B31E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7：1-12月完成文曲巷、天欣路道路建设398.88米，完成投资618.03万元；</w:t>
            </w:r>
          </w:p>
          <w:p w14:paraId="6B5F62D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8：1-12月份完成新桥南路道路建设364.87米，完成投资595.81万元；</w:t>
            </w:r>
          </w:p>
          <w:p w14:paraId="5355BEC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9：1-12月完成旧城改造35202户，完成投资13683.09万元；</w:t>
            </w:r>
          </w:p>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10：1-12月完成2024年农村客运补贴和城市交通发展奖励资金2057户及拨付资金1122.89万元。</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right w:val="single" w:color="auto" w:sz="4" w:space="0"/>
            </w:tcBorders>
            <w:textDirection w:val="tbRlV"/>
            <w:vAlign w:val="top"/>
          </w:tcPr>
          <w:p w14:paraId="49843BCF">
            <w:pPr>
              <w:pStyle w:val="11"/>
              <w:spacing w:line="364" w:lineRule="auto"/>
              <w:jc w:val="center"/>
              <w:rPr>
                <w:rFonts w:hint="eastAsia" w:ascii="宋体" w:hAnsi="宋体" w:eastAsia="宋体" w:cs="宋体"/>
              </w:rPr>
            </w:pPr>
          </w:p>
          <w:p w14:paraId="137D3225">
            <w:pPr>
              <w:spacing w:before="64" w:line="216" w:lineRule="auto"/>
              <w:jc w:val="center"/>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jc w:val="both"/>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682"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110"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772A401E">
            <w:pPr>
              <w:pStyle w:val="11"/>
              <w:jc w:val="center"/>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1F83189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1053" w:type="dxa"/>
            <w:vMerge w:val="restart"/>
            <w:tcBorders>
              <w:top w:val="single" w:color="auto" w:sz="4" w:space="0"/>
              <w:left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682"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受理12345、12319公众热线、网格信息工单（份）</w:t>
            </w:r>
          </w:p>
        </w:tc>
        <w:tc>
          <w:tcPr>
            <w:tcW w:w="1110"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1350</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1350</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344427C2">
            <w:pPr>
              <w:keepNext w:val="0"/>
              <w:keepLines w:val="0"/>
              <w:widowControl/>
              <w:suppressLineNumbers w:val="0"/>
              <w:jc w:val="center"/>
              <w:textAlignment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left w:val="single" w:color="auto" w:sz="4" w:space="0"/>
              <w:right w:val="single" w:color="auto" w:sz="4" w:space="0"/>
            </w:tcBorders>
            <w:textDirection w:val="tbRlV"/>
            <w:vAlign w:val="top"/>
          </w:tcPr>
          <w:p w14:paraId="29D92466">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jc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p>
        </w:tc>
        <w:tc>
          <w:tcPr>
            <w:tcW w:w="1682"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既有住宅加装电梯安装（台）</w:t>
            </w:r>
          </w:p>
        </w:tc>
        <w:tc>
          <w:tcPr>
            <w:tcW w:w="1110"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267</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267</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30B6B3C1">
            <w:pPr>
              <w:keepNext w:val="0"/>
              <w:keepLines w:val="0"/>
              <w:widowControl/>
              <w:suppressLineNumbers w:val="0"/>
              <w:jc w:val="center"/>
              <w:textAlignment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1CFB14D1">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A26179A">
            <w:pPr>
              <w:jc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p>
        </w:tc>
        <w:tc>
          <w:tcPr>
            <w:tcW w:w="1682"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农村公路养护及改造工程（公里）</w:t>
            </w:r>
          </w:p>
        </w:tc>
        <w:tc>
          <w:tcPr>
            <w:tcW w:w="1110"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9.24</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9.24</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textDirection w:val="tbRlV"/>
            <w:vAlign w:val="top"/>
          </w:tcPr>
          <w:p w14:paraId="20C1E07E">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51329DB">
            <w:pPr>
              <w:keepNext w:val="0"/>
              <w:keepLines w:val="0"/>
              <w:widowControl/>
              <w:suppressLineNumbers w:val="0"/>
              <w:jc w:val="center"/>
              <w:textAlignment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p>
        </w:tc>
        <w:tc>
          <w:tcPr>
            <w:tcW w:w="1682"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老旧小区改造数量（户）</w:t>
            </w:r>
          </w:p>
        </w:tc>
        <w:tc>
          <w:tcPr>
            <w:tcW w:w="1110"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35202</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35202</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1084" w:type="dxa"/>
            <w:vMerge w:val="continue"/>
            <w:tcBorders>
              <w:left w:val="single" w:color="auto" w:sz="4" w:space="0"/>
              <w:right w:val="single" w:color="auto" w:sz="4" w:space="0"/>
            </w:tcBorders>
            <w:textDirection w:val="tbRlV"/>
            <w:vAlign w:val="top"/>
          </w:tcPr>
          <w:p w14:paraId="36870941">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4B83F7DA">
            <w:pPr>
              <w:jc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p>
        </w:tc>
        <w:tc>
          <w:tcPr>
            <w:tcW w:w="1682"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污水净化（吨）</w:t>
            </w:r>
          </w:p>
        </w:tc>
        <w:tc>
          <w:tcPr>
            <w:tcW w:w="1110"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130</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130</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1D1A371D">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23E4999">
            <w:pPr>
              <w:keepNext w:val="0"/>
              <w:keepLines w:val="0"/>
              <w:widowControl/>
              <w:suppressLineNumbers w:val="0"/>
              <w:jc w:val="center"/>
              <w:textAlignment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p>
        </w:tc>
        <w:tc>
          <w:tcPr>
            <w:tcW w:w="1682"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王家河清理化粪池淤泥（吨）</w:t>
            </w:r>
          </w:p>
        </w:tc>
        <w:tc>
          <w:tcPr>
            <w:tcW w:w="1110"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8323</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8323</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6CAD2B8A">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6B692CEF">
            <w:pPr>
              <w:keepNext w:val="0"/>
              <w:keepLines w:val="0"/>
              <w:widowControl/>
              <w:suppressLineNumbers w:val="0"/>
              <w:jc w:val="center"/>
              <w:textAlignment w:val="cente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p>
        </w:tc>
        <w:tc>
          <w:tcPr>
            <w:tcW w:w="1682"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新桥南路道路建设（米）</w:t>
            </w:r>
          </w:p>
        </w:tc>
        <w:tc>
          <w:tcPr>
            <w:tcW w:w="1110"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364.87</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364.87</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2777F1D8">
            <w:pPr>
              <w:jc w:val="center"/>
              <w:rPr>
                <w:rFonts w:hint="eastAsia" w:ascii="宋体" w:hAnsi="宋体" w:eastAsia="宋体" w:cs="宋体"/>
                <w:sz w:val="21"/>
                <w:szCs w:val="21"/>
              </w:rPr>
            </w:pPr>
          </w:p>
        </w:tc>
      </w:tr>
      <w:tr w14:paraId="27754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289289DE">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A3D6F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right w:val="single" w:color="auto" w:sz="4" w:space="0"/>
            </w:tcBorders>
            <w:vAlign w:val="center"/>
          </w:tcPr>
          <w:p w14:paraId="3976B6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682" w:type="dxa"/>
            <w:tcBorders>
              <w:left w:val="single" w:color="auto" w:sz="4" w:space="0"/>
            </w:tcBorders>
            <w:vAlign w:val="center"/>
          </w:tcPr>
          <w:p w14:paraId="57797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出租车油补（户）</w:t>
            </w:r>
          </w:p>
        </w:tc>
        <w:tc>
          <w:tcPr>
            <w:tcW w:w="1110" w:type="dxa"/>
            <w:vAlign w:val="center"/>
          </w:tcPr>
          <w:p w14:paraId="690783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2057</w:t>
            </w:r>
          </w:p>
        </w:tc>
        <w:tc>
          <w:tcPr>
            <w:tcW w:w="1286" w:type="dxa"/>
            <w:vAlign w:val="center"/>
          </w:tcPr>
          <w:p w14:paraId="082D68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2057</w:t>
            </w:r>
          </w:p>
        </w:tc>
        <w:tc>
          <w:tcPr>
            <w:tcW w:w="735" w:type="dxa"/>
            <w:vAlign w:val="center"/>
          </w:tcPr>
          <w:p w14:paraId="2D4468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39" w:type="dxa"/>
            <w:vAlign w:val="center"/>
          </w:tcPr>
          <w:p w14:paraId="69588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50" w:type="dxa"/>
            <w:vAlign w:val="center"/>
          </w:tcPr>
          <w:p w14:paraId="65EA033F">
            <w:pPr>
              <w:jc w:val="center"/>
              <w:rPr>
                <w:rFonts w:hint="eastAsia" w:ascii="宋体" w:hAnsi="宋体" w:eastAsia="宋体" w:cs="宋体"/>
                <w:sz w:val="21"/>
                <w:szCs w:val="21"/>
              </w:rPr>
            </w:pPr>
          </w:p>
        </w:tc>
      </w:tr>
      <w:tr w14:paraId="206D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358013D5">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8035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bottom w:val="single" w:color="auto" w:sz="4" w:space="0"/>
              <w:right w:val="single" w:color="auto" w:sz="4" w:space="0"/>
            </w:tcBorders>
            <w:vAlign w:val="center"/>
          </w:tcPr>
          <w:p w14:paraId="4B43742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682" w:type="dxa"/>
            <w:tcBorders>
              <w:left w:val="single" w:color="auto" w:sz="4" w:space="0"/>
            </w:tcBorders>
            <w:vAlign w:val="center"/>
          </w:tcPr>
          <w:p w14:paraId="7B22D2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路灯电费、路灯维修（次）</w:t>
            </w:r>
          </w:p>
        </w:tc>
        <w:tc>
          <w:tcPr>
            <w:tcW w:w="1110" w:type="dxa"/>
            <w:vAlign w:val="center"/>
          </w:tcPr>
          <w:p w14:paraId="55821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1600</w:t>
            </w:r>
          </w:p>
        </w:tc>
        <w:tc>
          <w:tcPr>
            <w:tcW w:w="1286" w:type="dxa"/>
            <w:vAlign w:val="center"/>
          </w:tcPr>
          <w:p w14:paraId="3B6066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1600</w:t>
            </w:r>
          </w:p>
        </w:tc>
        <w:tc>
          <w:tcPr>
            <w:tcW w:w="735" w:type="dxa"/>
            <w:vAlign w:val="center"/>
          </w:tcPr>
          <w:p w14:paraId="2E87B8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39" w:type="dxa"/>
            <w:vAlign w:val="center"/>
          </w:tcPr>
          <w:p w14:paraId="38AE6D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50" w:type="dxa"/>
            <w:vAlign w:val="center"/>
          </w:tcPr>
          <w:p w14:paraId="72F5545C">
            <w:pPr>
              <w:jc w:val="center"/>
              <w:rPr>
                <w:rFonts w:hint="eastAsia" w:ascii="宋体" w:hAnsi="宋体" w:eastAsia="宋体" w:cs="宋体"/>
                <w:sz w:val="21"/>
                <w:szCs w:val="21"/>
              </w:rPr>
            </w:pPr>
          </w:p>
        </w:tc>
      </w:tr>
      <w:tr w14:paraId="7F3F6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084" w:type="dxa"/>
            <w:vMerge w:val="continue"/>
            <w:tcBorders>
              <w:left w:val="single" w:color="auto" w:sz="4" w:space="0"/>
              <w:right w:val="single" w:color="auto" w:sz="4" w:space="0"/>
            </w:tcBorders>
            <w:textDirection w:val="tbRlV"/>
            <w:vAlign w:val="top"/>
          </w:tcPr>
          <w:p w14:paraId="6D44BA89">
            <w:pPr>
              <w:pStyle w:val="11"/>
              <w:jc w:val="center"/>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1E0BA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33E274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682" w:type="dxa"/>
            <w:tcBorders>
              <w:left w:val="single" w:color="auto" w:sz="4" w:space="0"/>
            </w:tcBorders>
            <w:vAlign w:val="center"/>
          </w:tcPr>
          <w:p w14:paraId="3CBB7C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各项费用覆盖率</w:t>
            </w:r>
          </w:p>
        </w:tc>
        <w:tc>
          <w:tcPr>
            <w:tcW w:w="1110" w:type="dxa"/>
            <w:vAlign w:val="center"/>
          </w:tcPr>
          <w:p w14:paraId="526642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01D777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35" w:type="dxa"/>
            <w:vAlign w:val="center"/>
          </w:tcPr>
          <w:p w14:paraId="5BEE9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665A46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653BA10C">
            <w:pPr>
              <w:jc w:val="center"/>
              <w:rPr>
                <w:rFonts w:hint="eastAsia" w:ascii="宋体" w:hAnsi="宋体" w:eastAsia="宋体" w:cs="宋体"/>
                <w:sz w:val="21"/>
                <w:szCs w:val="21"/>
              </w:rPr>
            </w:pPr>
          </w:p>
        </w:tc>
      </w:tr>
      <w:tr w14:paraId="16B02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084" w:type="dxa"/>
            <w:vMerge w:val="continue"/>
            <w:tcBorders>
              <w:left w:val="single" w:color="auto" w:sz="4" w:space="0"/>
              <w:right w:val="single" w:color="auto" w:sz="4" w:space="0"/>
            </w:tcBorders>
            <w:textDirection w:val="tbRlV"/>
            <w:vAlign w:val="top"/>
          </w:tcPr>
          <w:p w14:paraId="2D1A8177">
            <w:pPr>
              <w:pStyle w:val="11"/>
              <w:jc w:val="center"/>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7DFEDC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2C73988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682" w:type="dxa"/>
            <w:tcBorders>
              <w:left w:val="single" w:color="auto" w:sz="4" w:space="0"/>
            </w:tcBorders>
            <w:vAlign w:val="center"/>
          </w:tcPr>
          <w:p w14:paraId="768A1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按期完成投资</w:t>
            </w:r>
          </w:p>
        </w:tc>
        <w:tc>
          <w:tcPr>
            <w:tcW w:w="1110" w:type="dxa"/>
            <w:vAlign w:val="center"/>
          </w:tcPr>
          <w:p w14:paraId="684B2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0835F1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35" w:type="dxa"/>
            <w:vAlign w:val="center"/>
          </w:tcPr>
          <w:p w14:paraId="74DEE8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593277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1865B3F3">
            <w:pPr>
              <w:jc w:val="center"/>
              <w:rPr>
                <w:rFonts w:hint="eastAsia" w:ascii="宋体" w:hAnsi="宋体" w:eastAsia="宋体" w:cs="宋体"/>
                <w:sz w:val="21"/>
                <w:szCs w:val="21"/>
              </w:rPr>
            </w:pPr>
          </w:p>
        </w:tc>
      </w:tr>
      <w:tr w14:paraId="0AF90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27E169FD">
            <w:pPr>
              <w:pStyle w:val="11"/>
              <w:jc w:val="center"/>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581FF50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0C36855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682" w:type="dxa"/>
            <w:tcBorders>
              <w:left w:val="single" w:color="auto" w:sz="4" w:space="0"/>
            </w:tcBorders>
            <w:vAlign w:val="center"/>
          </w:tcPr>
          <w:p w14:paraId="7DC9F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对经济发展的促进作用</w:t>
            </w:r>
          </w:p>
        </w:tc>
        <w:tc>
          <w:tcPr>
            <w:tcW w:w="1110" w:type="dxa"/>
            <w:vAlign w:val="center"/>
          </w:tcPr>
          <w:p w14:paraId="3DB614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6129CF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735" w:type="dxa"/>
            <w:vAlign w:val="center"/>
          </w:tcPr>
          <w:p w14:paraId="3305F7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3FDDD0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50" w:type="dxa"/>
            <w:vAlign w:val="center"/>
          </w:tcPr>
          <w:p w14:paraId="5BDBC192">
            <w:pPr>
              <w:jc w:val="center"/>
              <w:rPr>
                <w:rFonts w:hint="eastAsia" w:ascii="宋体" w:hAnsi="宋体" w:eastAsia="宋体" w:cs="宋体"/>
                <w:sz w:val="21"/>
                <w:szCs w:val="21"/>
              </w:rPr>
            </w:pPr>
          </w:p>
        </w:tc>
      </w:tr>
      <w:tr w14:paraId="1F05E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084" w:type="dxa"/>
            <w:vMerge w:val="continue"/>
            <w:tcBorders>
              <w:left w:val="single" w:color="auto" w:sz="4" w:space="0"/>
              <w:right w:val="single" w:color="auto" w:sz="4" w:space="0"/>
            </w:tcBorders>
            <w:textDirection w:val="tbRlV"/>
            <w:vAlign w:val="top"/>
          </w:tcPr>
          <w:p w14:paraId="16680819">
            <w:pPr>
              <w:pStyle w:val="11"/>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4762CB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1983057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682" w:type="dxa"/>
            <w:tcBorders>
              <w:left w:val="single" w:color="auto" w:sz="4" w:space="0"/>
            </w:tcBorders>
            <w:vAlign w:val="center"/>
          </w:tcPr>
          <w:p w14:paraId="13C14F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基本公共服务水平</w:t>
            </w:r>
          </w:p>
        </w:tc>
        <w:tc>
          <w:tcPr>
            <w:tcW w:w="1110" w:type="dxa"/>
            <w:vAlign w:val="center"/>
          </w:tcPr>
          <w:p w14:paraId="528A3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344AB1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735" w:type="dxa"/>
            <w:vAlign w:val="center"/>
          </w:tcPr>
          <w:p w14:paraId="7D9988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7E182D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50" w:type="dxa"/>
            <w:vAlign w:val="center"/>
          </w:tcPr>
          <w:p w14:paraId="15A19BB9">
            <w:pPr>
              <w:jc w:val="center"/>
              <w:rPr>
                <w:rFonts w:hint="eastAsia" w:ascii="宋体" w:hAnsi="宋体" w:eastAsia="宋体" w:cs="宋体"/>
                <w:sz w:val="21"/>
                <w:szCs w:val="21"/>
              </w:rPr>
            </w:pPr>
          </w:p>
        </w:tc>
      </w:tr>
      <w:tr w14:paraId="050E6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084" w:type="dxa"/>
            <w:vMerge w:val="continue"/>
            <w:tcBorders>
              <w:left w:val="single" w:color="auto" w:sz="4" w:space="0"/>
              <w:right w:val="single" w:color="auto" w:sz="4" w:space="0"/>
            </w:tcBorders>
            <w:textDirection w:val="tbRlV"/>
            <w:vAlign w:val="top"/>
          </w:tcPr>
          <w:p w14:paraId="7486010E">
            <w:pPr>
              <w:pStyle w:val="11"/>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57FFA6B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25A3B82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682" w:type="dxa"/>
            <w:tcBorders>
              <w:left w:val="single" w:color="auto" w:sz="4" w:space="0"/>
            </w:tcBorders>
            <w:vAlign w:val="center"/>
          </w:tcPr>
          <w:p w14:paraId="4C551D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环境安全水平</w:t>
            </w:r>
          </w:p>
        </w:tc>
        <w:tc>
          <w:tcPr>
            <w:tcW w:w="1110" w:type="dxa"/>
            <w:vAlign w:val="center"/>
          </w:tcPr>
          <w:p w14:paraId="5FD32D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6FEAC8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735" w:type="dxa"/>
            <w:vAlign w:val="center"/>
          </w:tcPr>
          <w:p w14:paraId="6DD7CA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739" w:type="dxa"/>
            <w:vAlign w:val="center"/>
          </w:tcPr>
          <w:p w14:paraId="7BD0F0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50" w:type="dxa"/>
            <w:vAlign w:val="center"/>
          </w:tcPr>
          <w:p w14:paraId="730C4905">
            <w:pPr>
              <w:jc w:val="center"/>
              <w:rPr>
                <w:rFonts w:hint="eastAsia" w:ascii="宋体" w:hAnsi="宋体" w:eastAsia="宋体" w:cs="宋体"/>
                <w:sz w:val="21"/>
                <w:szCs w:val="21"/>
              </w:rPr>
            </w:pPr>
          </w:p>
        </w:tc>
      </w:tr>
      <w:tr w14:paraId="0EC6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textDirection w:val="tbRlV"/>
            <w:vAlign w:val="top"/>
          </w:tcPr>
          <w:p w14:paraId="3A6F3FAE">
            <w:pPr>
              <w:pStyle w:val="11"/>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10B07E8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20B9C09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682" w:type="dxa"/>
            <w:tcBorders>
              <w:left w:val="single" w:color="auto" w:sz="4" w:space="0"/>
            </w:tcBorders>
            <w:vAlign w:val="center"/>
          </w:tcPr>
          <w:p w14:paraId="7A8E53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提升居民满意度和幸福感</w:t>
            </w:r>
          </w:p>
        </w:tc>
        <w:tc>
          <w:tcPr>
            <w:tcW w:w="1110" w:type="dxa"/>
            <w:vAlign w:val="center"/>
          </w:tcPr>
          <w:p w14:paraId="52872D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23E95D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735" w:type="dxa"/>
            <w:vAlign w:val="center"/>
          </w:tcPr>
          <w:p w14:paraId="3C09ED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739" w:type="dxa"/>
            <w:vAlign w:val="center"/>
          </w:tcPr>
          <w:p w14:paraId="7CE997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50" w:type="dxa"/>
            <w:vAlign w:val="center"/>
          </w:tcPr>
          <w:p w14:paraId="52C179F1">
            <w:pPr>
              <w:jc w:val="center"/>
              <w:rPr>
                <w:rFonts w:hint="eastAsia" w:ascii="宋体" w:hAnsi="宋体" w:eastAsia="宋体" w:cs="宋体"/>
                <w:sz w:val="21"/>
                <w:szCs w:val="21"/>
              </w:rPr>
            </w:pPr>
          </w:p>
        </w:tc>
      </w:tr>
      <w:tr w14:paraId="7162D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084" w:type="dxa"/>
            <w:vMerge w:val="continue"/>
            <w:tcBorders>
              <w:left w:val="single" w:color="auto" w:sz="4" w:space="0"/>
              <w:right w:val="single" w:color="auto" w:sz="4" w:space="0"/>
            </w:tcBorders>
            <w:textDirection w:val="tbRlV"/>
            <w:vAlign w:val="top"/>
          </w:tcPr>
          <w:p w14:paraId="19FB6B92">
            <w:pPr>
              <w:pStyle w:val="11"/>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03BAD32A">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0B9CBA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682" w:type="dxa"/>
            <w:tcBorders>
              <w:left w:val="single" w:color="auto" w:sz="4" w:space="0"/>
            </w:tcBorders>
            <w:vAlign w:val="center"/>
          </w:tcPr>
          <w:p w14:paraId="1BD90A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110" w:type="dxa"/>
            <w:vAlign w:val="center"/>
          </w:tcPr>
          <w:p w14:paraId="1587F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1286" w:type="dxa"/>
            <w:vAlign w:val="center"/>
          </w:tcPr>
          <w:p w14:paraId="07AE73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96</w:t>
            </w:r>
          </w:p>
        </w:tc>
        <w:tc>
          <w:tcPr>
            <w:tcW w:w="735" w:type="dxa"/>
            <w:vAlign w:val="center"/>
          </w:tcPr>
          <w:p w14:paraId="5F3C4F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75886F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2E027BCC">
            <w:pPr>
              <w:jc w:val="center"/>
              <w:rPr>
                <w:rFonts w:hint="eastAsia" w:ascii="宋体" w:hAnsi="宋体" w:eastAsia="宋体" w:cs="宋体"/>
                <w:sz w:val="21"/>
                <w:szCs w:val="21"/>
              </w:rPr>
            </w:pPr>
          </w:p>
        </w:tc>
      </w:tr>
      <w:tr w14:paraId="14183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084" w:type="dxa"/>
            <w:vMerge w:val="continue"/>
            <w:tcBorders>
              <w:left w:val="single" w:color="auto" w:sz="4" w:space="0"/>
              <w:right w:val="single" w:color="auto" w:sz="4" w:space="0"/>
            </w:tcBorders>
            <w:textDirection w:val="tbRlV"/>
            <w:vAlign w:val="top"/>
          </w:tcPr>
          <w:p w14:paraId="2A633EFD">
            <w:pPr>
              <w:pStyle w:val="11"/>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66FA4B9C">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5CCBEA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682" w:type="dxa"/>
            <w:tcBorders>
              <w:left w:val="single" w:color="auto" w:sz="4" w:space="0"/>
            </w:tcBorders>
            <w:vAlign w:val="center"/>
          </w:tcPr>
          <w:p w14:paraId="7AE11E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各项费用合计金额</w:t>
            </w:r>
          </w:p>
        </w:tc>
        <w:tc>
          <w:tcPr>
            <w:tcW w:w="1110" w:type="dxa"/>
            <w:vAlign w:val="center"/>
          </w:tcPr>
          <w:p w14:paraId="50ED6A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22424.53</w:t>
            </w:r>
          </w:p>
        </w:tc>
        <w:tc>
          <w:tcPr>
            <w:tcW w:w="1286" w:type="dxa"/>
            <w:vAlign w:val="center"/>
          </w:tcPr>
          <w:p w14:paraId="06AA1D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22424.53</w:t>
            </w:r>
          </w:p>
        </w:tc>
        <w:tc>
          <w:tcPr>
            <w:tcW w:w="735" w:type="dxa"/>
            <w:vAlign w:val="center"/>
          </w:tcPr>
          <w:p w14:paraId="678F10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1DE01D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7185DF0C">
            <w:pPr>
              <w:jc w:val="center"/>
              <w:rPr>
                <w:rFonts w:hint="eastAsia" w:ascii="宋体" w:hAnsi="宋体" w:eastAsia="宋体" w:cs="宋体"/>
                <w:sz w:val="21"/>
                <w:szCs w:val="21"/>
              </w:rPr>
            </w:pPr>
          </w:p>
        </w:tc>
      </w:tr>
      <w:tr w14:paraId="767F7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084" w:type="dxa"/>
            <w:vMerge w:val="continue"/>
            <w:tcBorders>
              <w:left w:val="single" w:color="auto" w:sz="4" w:space="0"/>
              <w:right w:val="single" w:color="auto" w:sz="4" w:space="0"/>
            </w:tcBorders>
            <w:textDirection w:val="tbRlV"/>
            <w:vAlign w:val="top"/>
          </w:tcPr>
          <w:p w14:paraId="0B2B490C">
            <w:pPr>
              <w:pStyle w:val="11"/>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4794B26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190F0DA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682" w:type="dxa"/>
            <w:tcBorders>
              <w:left w:val="single" w:color="auto" w:sz="4" w:space="0"/>
            </w:tcBorders>
            <w:vAlign w:val="center"/>
          </w:tcPr>
          <w:p w14:paraId="1745AA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0" w:type="dxa"/>
            <w:vAlign w:val="center"/>
          </w:tcPr>
          <w:p w14:paraId="380A1F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86" w:type="dxa"/>
            <w:vAlign w:val="center"/>
          </w:tcPr>
          <w:p w14:paraId="22B74C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35" w:type="dxa"/>
            <w:vAlign w:val="center"/>
          </w:tcPr>
          <w:p w14:paraId="0895B6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39" w:type="dxa"/>
            <w:vAlign w:val="center"/>
          </w:tcPr>
          <w:p w14:paraId="44894C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5A4FDCFA">
            <w:pPr>
              <w:jc w:val="center"/>
              <w:rPr>
                <w:rFonts w:hint="eastAsia" w:ascii="宋体" w:hAnsi="宋体" w:eastAsia="宋体" w:cs="宋体"/>
                <w:sz w:val="21"/>
                <w:szCs w:val="21"/>
              </w:rPr>
            </w:pPr>
          </w:p>
        </w:tc>
      </w:tr>
      <w:tr w14:paraId="0B16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bottom w:val="single" w:color="auto" w:sz="4" w:space="0"/>
              <w:right w:val="single" w:color="auto" w:sz="4" w:space="0"/>
            </w:tcBorders>
            <w:textDirection w:val="tbRlV"/>
            <w:vAlign w:val="top"/>
          </w:tcPr>
          <w:p w14:paraId="5BF8A34C">
            <w:pPr>
              <w:pStyle w:val="11"/>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7780EC4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57CEC2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682" w:type="dxa"/>
            <w:tcBorders>
              <w:left w:val="single" w:color="auto" w:sz="4" w:space="0"/>
            </w:tcBorders>
            <w:vAlign w:val="center"/>
          </w:tcPr>
          <w:p w14:paraId="4A8680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0" w:type="dxa"/>
            <w:vAlign w:val="center"/>
          </w:tcPr>
          <w:p w14:paraId="5D6591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86" w:type="dxa"/>
            <w:vAlign w:val="center"/>
          </w:tcPr>
          <w:p w14:paraId="0827E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35" w:type="dxa"/>
            <w:vAlign w:val="center"/>
          </w:tcPr>
          <w:p w14:paraId="1F51F5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39" w:type="dxa"/>
            <w:vAlign w:val="center"/>
          </w:tcPr>
          <w:p w14:paraId="331EC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50" w:type="dxa"/>
            <w:vAlign w:val="center"/>
          </w:tcPr>
          <w:p w14:paraId="476DEB33">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96.00</w:t>
            </w:r>
          </w:p>
        </w:tc>
        <w:tc>
          <w:tcPr>
            <w:tcW w:w="1450" w:type="dxa"/>
            <w:vAlign w:val="top"/>
          </w:tcPr>
          <w:p w14:paraId="433EE453">
            <w:pPr>
              <w:pStyle w:val="11"/>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CC0151E">
      <w:pPr>
        <w:rPr>
          <w:rFonts w:ascii="黑体" w:hAnsi="黑体" w:eastAsia="黑体" w:cs="黑体"/>
          <w:spacing w:val="-4"/>
          <w:sz w:val="31"/>
          <w:szCs w:val="31"/>
        </w:rPr>
      </w:pPr>
      <w:r>
        <w:rPr>
          <w:rFonts w:ascii="黑体" w:hAnsi="黑体" w:eastAsia="黑体" w:cs="黑体"/>
          <w:spacing w:val="-4"/>
          <w:sz w:val="31"/>
          <w:szCs w:val="31"/>
        </w:rPr>
        <w:br w:type="page"/>
      </w:r>
    </w:p>
    <w:p w14:paraId="3A64838F">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p>
    <w:p w14:paraId="3E38524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黑体" w:hAnsi="黑体" w:eastAsia="黑体" w:cs="黑体"/>
          <w:spacing w:val="-58"/>
          <w:sz w:val="31"/>
          <w:szCs w:val="31"/>
          <w:lang w:val="en-US" w:eastAsia="zh-CN"/>
        </w:rPr>
        <w:t>3</w:t>
      </w:r>
    </w:p>
    <w:p w14:paraId="09291083">
      <w:pPr>
        <w:spacing w:line="250" w:lineRule="auto"/>
        <w:rPr>
          <w:rFonts w:ascii="Arial"/>
          <w:sz w:val="21"/>
        </w:rPr>
      </w:pPr>
    </w:p>
    <w:p w14:paraId="1B730E3E">
      <w:pPr>
        <w:spacing w:line="250" w:lineRule="auto"/>
        <w:rPr>
          <w:rFonts w:ascii="Arial"/>
          <w:sz w:val="21"/>
        </w:rPr>
      </w:pPr>
    </w:p>
    <w:p w14:paraId="0BFBC655">
      <w:pPr>
        <w:spacing w:line="251" w:lineRule="auto"/>
        <w:rPr>
          <w:rFonts w:ascii="Arial"/>
          <w:sz w:val="21"/>
        </w:rPr>
      </w:pPr>
    </w:p>
    <w:p w14:paraId="5C27D172">
      <w:pPr>
        <w:spacing w:line="700" w:lineRule="exact"/>
        <w:jc w:val="both"/>
        <w:rPr>
          <w:rFonts w:ascii="黑体" w:hAnsi="黑体" w:eastAsia="黑体" w:cs="黑体"/>
          <w:color w:val="000000" w:themeColor="text1"/>
          <w:spacing w:val="2"/>
          <w:sz w:val="42"/>
          <w:szCs w:val="42"/>
          <w14:textFill>
            <w14:solidFill>
              <w14:schemeClr w14:val="tx1"/>
            </w14:solidFill>
          </w14:textFill>
        </w:rPr>
      </w:pPr>
    </w:p>
    <w:p w14:paraId="1176D4AC">
      <w:pPr>
        <w:spacing w:line="700" w:lineRule="exact"/>
        <w:jc w:val="center"/>
        <w:rPr>
          <w:rFonts w:ascii="黑体" w:hAnsi="黑体" w:eastAsia="黑体" w:cs="黑体"/>
          <w:color w:val="000000" w:themeColor="text1"/>
          <w:spacing w:val="2"/>
          <w:sz w:val="44"/>
          <w:szCs w:val="44"/>
          <w14:textFill>
            <w14:solidFill>
              <w14:schemeClr w14:val="tx1"/>
            </w14:solidFill>
          </w14:textFill>
        </w:rPr>
      </w:pPr>
      <w:r>
        <w:rPr>
          <w:rFonts w:hint="eastAsia" w:ascii="黑体" w:hAnsi="黑体" w:eastAsia="黑体" w:cs="黑体"/>
          <w:color w:val="000000" w:themeColor="text1"/>
          <w:spacing w:val="2"/>
          <w:sz w:val="44"/>
          <w:szCs w:val="44"/>
          <w14:textFill>
            <w14:solidFill>
              <w14:schemeClr w14:val="tx1"/>
            </w14:solidFill>
          </w14:textFill>
        </w:rPr>
        <w:t>202</w:t>
      </w:r>
      <w:r>
        <w:rPr>
          <w:rFonts w:hint="eastAsia" w:ascii="黑体" w:hAnsi="黑体" w:eastAsia="黑体" w:cs="黑体"/>
          <w:color w:val="000000" w:themeColor="text1"/>
          <w:spacing w:val="2"/>
          <w:sz w:val="44"/>
          <w:szCs w:val="44"/>
          <w:lang w:val="en-US" w:eastAsia="zh-CN"/>
          <w14:textFill>
            <w14:solidFill>
              <w14:schemeClr w14:val="tx1"/>
            </w14:solidFill>
          </w14:textFill>
        </w:rPr>
        <w:t>4</w:t>
      </w:r>
      <w:r>
        <w:rPr>
          <w:rFonts w:hint="eastAsia" w:ascii="黑体" w:hAnsi="黑体" w:eastAsia="黑体" w:cs="黑体"/>
          <w:color w:val="000000" w:themeColor="text1"/>
          <w:spacing w:val="2"/>
          <w:sz w:val="44"/>
          <w:szCs w:val="44"/>
          <w14:textFill>
            <w14:solidFill>
              <w14:schemeClr w14:val="tx1"/>
            </w14:solidFill>
          </w14:textFill>
        </w:rPr>
        <w:t>年度岳阳市岳阳楼区住房和城乡建设局</w:t>
      </w:r>
    </w:p>
    <w:p w14:paraId="1898D1A8">
      <w:pPr>
        <w:spacing w:line="700" w:lineRule="exact"/>
        <w:jc w:val="center"/>
        <w:rPr>
          <w:rFonts w:ascii="黑体" w:hAnsi="黑体" w:eastAsia="黑体" w:cs="黑体"/>
          <w:color w:val="000000" w:themeColor="text1"/>
          <w:spacing w:val="2"/>
          <w:sz w:val="44"/>
          <w:szCs w:val="44"/>
          <w14:textFill>
            <w14:solidFill>
              <w14:schemeClr w14:val="tx1"/>
            </w14:solidFill>
          </w14:textFill>
        </w:rPr>
      </w:pPr>
      <w:r>
        <w:rPr>
          <w:rFonts w:hint="eastAsia" w:ascii="黑体" w:hAnsi="黑体" w:eastAsia="黑体" w:cs="黑体"/>
          <w:color w:val="000000" w:themeColor="text1"/>
          <w:spacing w:val="2"/>
          <w:sz w:val="44"/>
          <w:szCs w:val="44"/>
          <w14:textFill>
            <w14:solidFill>
              <w14:schemeClr w14:val="tx1"/>
            </w14:solidFill>
          </w14:textFill>
        </w:rPr>
        <w:t>整体支出绩效自评报告</w:t>
      </w:r>
    </w:p>
    <w:p w14:paraId="4AA09339">
      <w:pPr>
        <w:jc w:val="left"/>
        <w:rPr>
          <w:rFonts w:ascii="黑体" w:hAnsi="黑体" w:eastAsia="黑体" w:cs="黑体"/>
          <w:color w:val="000000" w:themeColor="text1"/>
          <w:sz w:val="22"/>
          <w:szCs w:val="22"/>
          <w14:textFill>
            <w14:solidFill>
              <w14:schemeClr w14:val="tx1"/>
            </w14:solidFill>
          </w14:textFill>
        </w:rPr>
      </w:pPr>
    </w:p>
    <w:p w14:paraId="597D695D">
      <w:pPr>
        <w:jc w:val="left"/>
        <w:rPr>
          <w:rFonts w:ascii="仿宋" w:hAnsi="仿宋" w:eastAsia="仿宋" w:cs="仿宋"/>
          <w:color w:val="000000" w:themeColor="text1"/>
          <w:sz w:val="22"/>
          <w:szCs w:val="22"/>
          <w14:textFill>
            <w14:solidFill>
              <w14:schemeClr w14:val="tx1"/>
            </w14:solidFill>
          </w14:textFill>
        </w:rPr>
      </w:pPr>
    </w:p>
    <w:p w14:paraId="6B9C7AA8">
      <w:pPr>
        <w:jc w:val="left"/>
        <w:rPr>
          <w:rFonts w:ascii="仿宋" w:hAnsi="仿宋" w:eastAsia="仿宋" w:cs="仿宋"/>
          <w:color w:val="000000" w:themeColor="text1"/>
          <w:sz w:val="22"/>
          <w:szCs w:val="22"/>
          <w14:textFill>
            <w14:solidFill>
              <w14:schemeClr w14:val="tx1"/>
            </w14:solidFill>
          </w14:textFill>
        </w:rPr>
      </w:pPr>
    </w:p>
    <w:p w14:paraId="02F5C27C">
      <w:pPr>
        <w:jc w:val="left"/>
        <w:rPr>
          <w:rFonts w:ascii="仿宋" w:hAnsi="仿宋" w:eastAsia="仿宋" w:cs="仿宋"/>
          <w:color w:val="000000" w:themeColor="text1"/>
          <w:sz w:val="22"/>
          <w:szCs w:val="22"/>
          <w14:textFill>
            <w14:solidFill>
              <w14:schemeClr w14:val="tx1"/>
            </w14:solidFill>
          </w14:textFill>
        </w:rPr>
      </w:pPr>
    </w:p>
    <w:p w14:paraId="00042144">
      <w:pPr>
        <w:jc w:val="left"/>
        <w:rPr>
          <w:rFonts w:ascii="仿宋" w:hAnsi="仿宋" w:eastAsia="仿宋" w:cs="仿宋"/>
          <w:color w:val="000000" w:themeColor="text1"/>
          <w:sz w:val="22"/>
          <w:szCs w:val="22"/>
          <w14:textFill>
            <w14:solidFill>
              <w14:schemeClr w14:val="tx1"/>
            </w14:solidFill>
          </w14:textFill>
        </w:rPr>
      </w:pPr>
    </w:p>
    <w:p w14:paraId="2DA40EFB">
      <w:pPr>
        <w:jc w:val="left"/>
        <w:rPr>
          <w:rFonts w:ascii="仿宋" w:hAnsi="仿宋" w:eastAsia="仿宋" w:cs="仿宋"/>
          <w:color w:val="000000" w:themeColor="text1"/>
          <w:sz w:val="22"/>
          <w:szCs w:val="22"/>
          <w14:textFill>
            <w14:solidFill>
              <w14:schemeClr w14:val="tx1"/>
            </w14:solidFill>
          </w14:textFill>
        </w:rPr>
      </w:pPr>
    </w:p>
    <w:p w14:paraId="24FE9FFF">
      <w:pPr>
        <w:jc w:val="left"/>
        <w:rPr>
          <w:rFonts w:ascii="仿宋" w:hAnsi="仿宋" w:eastAsia="仿宋" w:cs="仿宋"/>
          <w:color w:val="000000" w:themeColor="text1"/>
          <w:sz w:val="22"/>
          <w:szCs w:val="22"/>
          <w14:textFill>
            <w14:solidFill>
              <w14:schemeClr w14:val="tx1"/>
            </w14:solidFill>
          </w14:textFill>
        </w:rPr>
      </w:pPr>
    </w:p>
    <w:p w14:paraId="44084FF4">
      <w:pPr>
        <w:jc w:val="left"/>
        <w:rPr>
          <w:rFonts w:ascii="仿宋" w:hAnsi="仿宋" w:eastAsia="仿宋" w:cs="仿宋"/>
          <w:color w:val="000000" w:themeColor="text1"/>
          <w:sz w:val="22"/>
          <w:szCs w:val="22"/>
          <w14:textFill>
            <w14:solidFill>
              <w14:schemeClr w14:val="tx1"/>
            </w14:solidFill>
          </w14:textFill>
        </w:rPr>
      </w:pPr>
    </w:p>
    <w:p w14:paraId="0F0AD109">
      <w:pPr>
        <w:jc w:val="left"/>
        <w:rPr>
          <w:rFonts w:ascii="仿宋" w:hAnsi="仿宋" w:eastAsia="仿宋" w:cs="仿宋"/>
          <w:color w:val="000000" w:themeColor="text1"/>
          <w:sz w:val="22"/>
          <w:szCs w:val="22"/>
          <w14:textFill>
            <w14:solidFill>
              <w14:schemeClr w14:val="tx1"/>
            </w14:solidFill>
          </w14:textFill>
        </w:rPr>
      </w:pPr>
    </w:p>
    <w:p w14:paraId="0DD91E3C">
      <w:pPr>
        <w:jc w:val="left"/>
        <w:rPr>
          <w:rFonts w:ascii="仿宋" w:hAnsi="仿宋" w:eastAsia="仿宋" w:cs="仿宋"/>
          <w:color w:val="000000" w:themeColor="text1"/>
          <w:sz w:val="22"/>
          <w:szCs w:val="22"/>
          <w14:textFill>
            <w14:solidFill>
              <w14:schemeClr w14:val="tx1"/>
            </w14:solidFill>
          </w14:textFill>
        </w:rPr>
      </w:pPr>
    </w:p>
    <w:p w14:paraId="4F4D4BD5">
      <w:pPr>
        <w:jc w:val="left"/>
        <w:rPr>
          <w:rFonts w:ascii="仿宋" w:hAnsi="仿宋" w:eastAsia="仿宋" w:cs="仿宋"/>
          <w:color w:val="000000" w:themeColor="text1"/>
          <w:sz w:val="22"/>
          <w:szCs w:val="22"/>
          <w14:textFill>
            <w14:solidFill>
              <w14:schemeClr w14:val="tx1"/>
            </w14:solidFill>
          </w14:textFill>
        </w:rPr>
      </w:pPr>
    </w:p>
    <w:p w14:paraId="59A13A97">
      <w:pPr>
        <w:jc w:val="left"/>
        <w:rPr>
          <w:rFonts w:ascii="仿宋" w:hAnsi="仿宋" w:eastAsia="仿宋" w:cs="仿宋"/>
          <w:color w:val="000000" w:themeColor="text1"/>
          <w:sz w:val="22"/>
          <w:szCs w:val="22"/>
          <w14:textFill>
            <w14:solidFill>
              <w14:schemeClr w14:val="tx1"/>
            </w14:solidFill>
          </w14:textFill>
        </w:rPr>
      </w:pPr>
    </w:p>
    <w:p w14:paraId="0F1D0CE8">
      <w:pPr>
        <w:jc w:val="left"/>
        <w:rPr>
          <w:rFonts w:ascii="仿宋" w:hAnsi="仿宋" w:eastAsia="仿宋" w:cs="仿宋"/>
          <w:color w:val="000000" w:themeColor="text1"/>
          <w:sz w:val="22"/>
          <w:szCs w:val="22"/>
          <w14:textFill>
            <w14:solidFill>
              <w14:schemeClr w14:val="tx1"/>
            </w14:solidFill>
          </w14:textFill>
        </w:rPr>
      </w:pPr>
    </w:p>
    <w:p w14:paraId="2EAEB595">
      <w:pPr>
        <w:jc w:val="left"/>
        <w:rPr>
          <w:rFonts w:ascii="仿宋" w:hAnsi="仿宋" w:eastAsia="仿宋" w:cs="仿宋"/>
          <w:color w:val="000000" w:themeColor="text1"/>
          <w:sz w:val="22"/>
          <w:szCs w:val="22"/>
          <w14:textFill>
            <w14:solidFill>
              <w14:schemeClr w14:val="tx1"/>
            </w14:solidFill>
          </w14:textFill>
        </w:rPr>
      </w:pPr>
    </w:p>
    <w:p w14:paraId="40E68009">
      <w:pPr>
        <w:jc w:val="left"/>
        <w:rPr>
          <w:rFonts w:ascii="仿宋" w:hAnsi="仿宋" w:eastAsia="仿宋" w:cs="仿宋"/>
          <w:color w:val="000000" w:themeColor="text1"/>
          <w:sz w:val="22"/>
          <w:szCs w:val="22"/>
          <w14:textFill>
            <w14:solidFill>
              <w14:schemeClr w14:val="tx1"/>
            </w14:solidFill>
          </w14:textFill>
        </w:rPr>
      </w:pPr>
    </w:p>
    <w:p w14:paraId="400DC07A">
      <w:pPr>
        <w:jc w:val="left"/>
        <w:rPr>
          <w:rFonts w:ascii="仿宋" w:hAnsi="仿宋" w:eastAsia="仿宋" w:cs="仿宋"/>
          <w:color w:val="000000" w:themeColor="text1"/>
          <w:sz w:val="22"/>
          <w:szCs w:val="22"/>
          <w14:textFill>
            <w14:solidFill>
              <w14:schemeClr w14:val="tx1"/>
            </w14:solidFill>
          </w14:textFill>
        </w:rPr>
      </w:pPr>
    </w:p>
    <w:p w14:paraId="29D2E53F">
      <w:pPr>
        <w:jc w:val="left"/>
        <w:rPr>
          <w:rFonts w:ascii="仿宋" w:hAnsi="仿宋" w:eastAsia="仿宋" w:cs="仿宋"/>
          <w:color w:val="000000" w:themeColor="text1"/>
          <w:sz w:val="22"/>
          <w:szCs w:val="22"/>
          <w14:textFill>
            <w14:solidFill>
              <w14:schemeClr w14:val="tx1"/>
            </w14:solidFill>
          </w14:textFill>
        </w:rPr>
      </w:pPr>
    </w:p>
    <w:p w14:paraId="22CA128C">
      <w:pPr>
        <w:jc w:val="left"/>
        <w:rPr>
          <w:rFonts w:ascii="仿宋" w:hAnsi="仿宋" w:eastAsia="仿宋" w:cs="仿宋"/>
          <w:color w:val="000000" w:themeColor="text1"/>
          <w:sz w:val="22"/>
          <w:szCs w:val="22"/>
          <w14:textFill>
            <w14:solidFill>
              <w14:schemeClr w14:val="tx1"/>
            </w14:solidFill>
          </w14:textFill>
        </w:rPr>
      </w:pPr>
    </w:p>
    <w:p w14:paraId="3CA876C0">
      <w:pPr>
        <w:jc w:val="left"/>
        <w:rPr>
          <w:rFonts w:ascii="仿宋" w:hAnsi="仿宋" w:eastAsia="仿宋" w:cs="仿宋"/>
          <w:color w:val="000000" w:themeColor="text1"/>
          <w:sz w:val="22"/>
          <w:szCs w:val="22"/>
          <w14:textFill>
            <w14:solidFill>
              <w14:schemeClr w14:val="tx1"/>
            </w14:solidFill>
          </w14:textFill>
        </w:rPr>
      </w:pPr>
    </w:p>
    <w:p w14:paraId="0632AF48">
      <w:pPr>
        <w:jc w:val="center"/>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部门(单位)名称：   ( 盖 章 )</w:t>
      </w:r>
    </w:p>
    <w:p w14:paraId="59C5EA09">
      <w:pPr>
        <w:jc w:val="center"/>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lang w:val="en-US" w:eastAsia="zh-CN"/>
          <w14:textFill>
            <w14:solidFill>
              <w14:schemeClr w14:val="tx1"/>
            </w14:solidFill>
          </w14:textFill>
        </w:rPr>
        <w:t>2024</w:t>
      </w:r>
      <w:r>
        <w:rPr>
          <w:rFonts w:hint="eastAsia" w:ascii="黑体" w:hAnsi="黑体" w:eastAsia="黑体" w:cs="黑体"/>
          <w:color w:val="000000" w:themeColor="text1"/>
          <w:sz w:val="36"/>
          <w:szCs w:val="36"/>
          <w14:textFill>
            <w14:solidFill>
              <w14:schemeClr w14:val="tx1"/>
            </w14:solidFill>
          </w14:textFill>
        </w:rPr>
        <w:t>年 5月 20日</w:t>
      </w:r>
    </w:p>
    <w:p w14:paraId="76295B06">
      <w:pPr>
        <w:jc w:val="left"/>
        <w:rPr>
          <w:rFonts w:ascii="仿宋" w:hAnsi="仿宋" w:eastAsia="仿宋" w:cs="仿宋"/>
          <w:color w:val="000000" w:themeColor="text1"/>
          <w:sz w:val="22"/>
          <w:szCs w:val="22"/>
          <w14:textFill>
            <w14:solidFill>
              <w14:schemeClr w14:val="tx1"/>
            </w14:solidFill>
          </w14:textFill>
        </w:rPr>
      </w:pPr>
    </w:p>
    <w:p w14:paraId="11491EB3">
      <w:pPr>
        <w:jc w:val="left"/>
        <w:rPr>
          <w:rFonts w:ascii="仿宋" w:hAnsi="仿宋" w:eastAsia="仿宋" w:cs="仿宋"/>
          <w:color w:val="000000" w:themeColor="text1"/>
          <w:sz w:val="22"/>
          <w:szCs w:val="22"/>
          <w14:textFill>
            <w14:solidFill>
              <w14:schemeClr w14:val="tx1"/>
            </w14:solidFill>
          </w14:textFill>
        </w:rPr>
      </w:pPr>
    </w:p>
    <w:p w14:paraId="236DA073">
      <w:pPr>
        <w:jc w:val="left"/>
        <w:rPr>
          <w:rFonts w:ascii="仿宋" w:hAnsi="仿宋" w:eastAsia="仿宋" w:cs="仿宋"/>
          <w:color w:val="000000" w:themeColor="text1"/>
          <w:sz w:val="22"/>
          <w:szCs w:val="22"/>
          <w14:textFill>
            <w14:solidFill>
              <w14:schemeClr w14:val="tx1"/>
            </w14:solidFill>
          </w14:textFill>
        </w:rPr>
      </w:pPr>
    </w:p>
    <w:p w14:paraId="1B24FCCD">
      <w:pPr>
        <w:jc w:val="left"/>
        <w:rPr>
          <w:rFonts w:ascii="仿宋" w:hAnsi="仿宋" w:eastAsia="仿宋" w:cs="仿宋"/>
          <w:color w:val="000000" w:themeColor="text1"/>
          <w:sz w:val="22"/>
          <w:szCs w:val="22"/>
          <w14:textFill>
            <w14:solidFill>
              <w14:schemeClr w14:val="tx1"/>
            </w14:solidFill>
          </w14:textFill>
        </w:rPr>
      </w:pPr>
    </w:p>
    <w:p w14:paraId="5932E4DD">
      <w:pPr>
        <w:spacing w:line="700" w:lineRule="exact"/>
        <w:jc w:val="center"/>
        <w:rPr>
          <w:rFonts w:hint="eastAsia" w:ascii="黑体" w:hAnsi="黑体" w:eastAsia="黑体" w:cs="黑体"/>
          <w:b/>
          <w:bCs/>
          <w:color w:val="000000" w:themeColor="text1"/>
          <w:sz w:val="44"/>
          <w:szCs w:val="44"/>
          <w14:textFill>
            <w14:solidFill>
              <w14:schemeClr w14:val="tx1"/>
            </w14:solidFill>
          </w14:textFill>
        </w:rPr>
      </w:pPr>
    </w:p>
    <w:p w14:paraId="628E3012">
      <w:pPr>
        <w:spacing w:line="700" w:lineRule="exact"/>
        <w:jc w:val="center"/>
        <w:rPr>
          <w:rFonts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lang w:val="en-US" w:eastAsia="zh-CN"/>
          <w14:textFill>
            <w14:solidFill>
              <w14:schemeClr w14:val="tx1"/>
            </w14:solidFill>
          </w14:textFill>
        </w:rPr>
        <w:t>2024</w:t>
      </w:r>
      <w:r>
        <w:rPr>
          <w:rFonts w:hint="eastAsia" w:ascii="黑体" w:hAnsi="黑体" w:eastAsia="黑体" w:cs="黑体"/>
          <w:b/>
          <w:bCs/>
          <w:color w:val="000000" w:themeColor="text1"/>
          <w:sz w:val="44"/>
          <w:szCs w:val="44"/>
          <w14:textFill>
            <w14:solidFill>
              <w14:schemeClr w14:val="tx1"/>
            </w14:solidFill>
          </w14:textFill>
        </w:rPr>
        <w:t>年度</w:t>
      </w:r>
      <w:r>
        <w:rPr>
          <w:rFonts w:hint="eastAsia" w:ascii="黑体" w:hAnsi="黑体" w:eastAsia="黑体" w:cs="黑体"/>
          <w:b/>
          <w:bCs/>
          <w:color w:val="000000" w:themeColor="text1"/>
          <w:sz w:val="44"/>
          <w:szCs w:val="44"/>
          <w:lang w:val="en-US" w:eastAsia="zh-CN"/>
          <w14:textFill>
            <w14:solidFill>
              <w14:schemeClr w14:val="tx1"/>
            </w14:solidFill>
          </w14:textFill>
        </w:rPr>
        <w:t>岳阳市</w:t>
      </w:r>
      <w:r>
        <w:rPr>
          <w:rFonts w:hint="eastAsia" w:ascii="黑体" w:hAnsi="黑体" w:eastAsia="黑体" w:cs="黑体"/>
          <w:b/>
          <w:bCs/>
          <w:color w:val="000000" w:themeColor="text1"/>
          <w:sz w:val="44"/>
          <w:szCs w:val="44"/>
          <w14:textFill>
            <w14:solidFill>
              <w14:schemeClr w14:val="tx1"/>
            </w14:solidFill>
          </w14:textFill>
        </w:rPr>
        <w:t>岳阳楼区</w:t>
      </w:r>
      <w:r>
        <w:rPr>
          <w:rFonts w:hint="eastAsia" w:ascii="黑体" w:hAnsi="黑体" w:eastAsia="黑体" w:cs="黑体"/>
          <w:b/>
          <w:bCs/>
          <w:color w:val="000000" w:themeColor="text1"/>
          <w:spacing w:val="2"/>
          <w:sz w:val="44"/>
          <w:szCs w:val="44"/>
          <w14:textFill>
            <w14:solidFill>
              <w14:schemeClr w14:val="tx1"/>
            </w14:solidFill>
          </w14:textFill>
        </w:rPr>
        <w:t>住房和城乡建设局</w:t>
      </w:r>
    </w:p>
    <w:p w14:paraId="1ECD0D19">
      <w:pPr>
        <w:spacing w:line="700" w:lineRule="exact"/>
        <w:jc w:val="center"/>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整体支出绩效自评报告</w:t>
      </w:r>
    </w:p>
    <w:p w14:paraId="06929261">
      <w:pPr>
        <w:pStyle w:val="2"/>
      </w:pPr>
    </w:p>
    <w:p w14:paraId="016A5E5F">
      <w:pPr>
        <w:jc w:val="left"/>
        <w:rPr>
          <w:rFonts w:ascii="仿宋" w:hAnsi="仿宋" w:eastAsia="仿宋" w:cs="仿宋"/>
          <w:color w:val="000000" w:themeColor="text1"/>
          <w:sz w:val="22"/>
          <w:szCs w:val="22"/>
          <w14:textFill>
            <w14:solidFill>
              <w14:schemeClr w14:val="tx1"/>
            </w14:solidFill>
          </w14:textFill>
        </w:rPr>
      </w:pPr>
    </w:p>
    <w:p w14:paraId="73430420">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黑体" w:hAnsi="黑体" w:eastAsia="黑体" w:cs="仿宋"/>
          <w:b/>
          <w:bCs/>
          <w:color w:val="000000" w:themeColor="text1"/>
          <w:sz w:val="32"/>
          <w:szCs w:val="32"/>
          <w14:textFill>
            <w14:solidFill>
              <w14:schemeClr w14:val="tx1"/>
            </w14:solidFill>
          </w14:textFill>
        </w:rPr>
      </w:pPr>
      <w:r>
        <w:rPr>
          <w:rFonts w:hint="eastAsia" w:ascii="黑体" w:hAnsi="黑体" w:eastAsia="黑体" w:cs="仿宋"/>
          <w:b/>
          <w:bCs/>
          <w:color w:val="000000" w:themeColor="text1"/>
          <w:kern w:val="2"/>
          <w:sz w:val="32"/>
          <w:szCs w:val="32"/>
          <w:lang w:val="en-US" w:eastAsia="zh-CN" w:bidi="ar-SA"/>
          <w14:textFill>
            <w14:solidFill>
              <w14:schemeClr w14:val="tx1"/>
            </w14:solidFill>
          </w14:textFill>
        </w:rPr>
        <w:t>一、</w:t>
      </w:r>
      <w:r>
        <w:rPr>
          <w:rFonts w:hint="eastAsia" w:ascii="黑体" w:hAnsi="黑体" w:eastAsia="黑体" w:cs="仿宋"/>
          <w:b/>
          <w:bCs/>
          <w:color w:val="000000" w:themeColor="text1"/>
          <w:sz w:val="32"/>
          <w:szCs w:val="32"/>
          <w14:textFill>
            <w14:solidFill>
              <w14:schemeClr w14:val="tx1"/>
            </w14:solidFill>
          </w14:textFill>
        </w:rPr>
        <w:t>单位基本情况</w:t>
      </w:r>
    </w:p>
    <w:p w14:paraId="445B5D83">
      <w:pPr>
        <w:keepNext w:val="0"/>
        <w:keepLines w:val="0"/>
        <w:pageBreakBefore w:val="0"/>
        <w:kinsoku/>
        <w:wordWrap/>
        <w:overflowPunct/>
        <w:topLinePunct w:val="0"/>
        <w:bidi w:val="0"/>
        <w:snapToGrid/>
        <w:spacing w:line="600" w:lineRule="exact"/>
        <w:ind w:firstLine="616" w:firstLineChars="200"/>
      </w:pPr>
      <w:r>
        <w:rPr>
          <w:rFonts w:hint="eastAsia" w:ascii="仿宋_GB2312" w:hAnsi="仿宋_GB2312" w:eastAsia="仿宋_GB2312" w:cs="宋体"/>
          <w:spacing w:val="-6"/>
          <w:sz w:val="32"/>
          <w:szCs w:val="32"/>
        </w:rPr>
        <w:t>岳阳楼区住建局是区人民政府工作部门，为正科级。</w:t>
      </w:r>
      <w:r>
        <w:rPr>
          <w:rFonts w:hint="eastAsia" w:ascii="仿宋_GB2312" w:hAnsi="仿宋_GB2312" w:eastAsia="仿宋_GB2312" w:cs="仿宋"/>
          <w:sz w:val="32"/>
          <w:szCs w:val="32"/>
          <w:lang w:val="zu-ZA"/>
        </w:rPr>
        <w:t>本部门现有干部职工7</w:t>
      </w:r>
      <w:r>
        <w:rPr>
          <w:rFonts w:hint="eastAsia" w:ascii="仿宋_GB2312" w:hAnsi="仿宋_GB2312" w:eastAsia="仿宋_GB2312" w:cs="仿宋"/>
          <w:sz w:val="32"/>
          <w:szCs w:val="32"/>
          <w:lang w:val="en-US" w:eastAsia="zh-CN"/>
        </w:rPr>
        <w:t>1</w:t>
      </w:r>
      <w:r>
        <w:rPr>
          <w:rFonts w:hint="eastAsia" w:ascii="仿宋_GB2312" w:hAnsi="仿宋_GB2312" w:eastAsia="仿宋_GB2312" w:cs="仿宋"/>
          <w:sz w:val="32"/>
          <w:szCs w:val="32"/>
          <w:lang w:val="zu-ZA"/>
        </w:rPr>
        <w:t>人，其中：公务员编制</w:t>
      </w:r>
      <w:r>
        <w:rPr>
          <w:rFonts w:hint="eastAsia" w:ascii="仿宋_GB2312" w:hAnsi="仿宋_GB2312" w:eastAsia="仿宋_GB2312" w:cs="仿宋"/>
          <w:sz w:val="32"/>
          <w:szCs w:val="32"/>
          <w:lang w:val="en-US" w:eastAsia="zh-CN"/>
        </w:rPr>
        <w:t>19</w:t>
      </w:r>
      <w:r>
        <w:rPr>
          <w:rFonts w:hint="eastAsia" w:ascii="仿宋_GB2312" w:hAnsi="仿宋_GB2312" w:eastAsia="仿宋_GB2312" w:cs="仿宋"/>
          <w:sz w:val="32"/>
          <w:szCs w:val="32"/>
          <w:lang w:val="zu-ZA"/>
        </w:rPr>
        <w:t>人，</w:t>
      </w:r>
      <w:r>
        <w:rPr>
          <w:rFonts w:hint="eastAsia" w:ascii="仿宋_GB2312" w:hAnsi="仿宋_GB2312" w:eastAsia="仿宋_GB2312" w:cs="仿宋"/>
          <w:sz w:val="32"/>
          <w:szCs w:val="32"/>
        </w:rPr>
        <w:t>全额</w:t>
      </w:r>
      <w:r>
        <w:rPr>
          <w:rFonts w:hint="eastAsia" w:ascii="仿宋_GB2312" w:hAnsi="仿宋_GB2312" w:eastAsia="仿宋_GB2312" w:cs="仿宋"/>
          <w:sz w:val="32"/>
          <w:szCs w:val="32"/>
          <w:lang w:val="zu-ZA"/>
        </w:rPr>
        <w:t>事业编制5</w:t>
      </w:r>
      <w:r>
        <w:rPr>
          <w:rFonts w:hint="eastAsia" w:ascii="仿宋_GB2312" w:hAnsi="仿宋_GB2312" w:eastAsia="仿宋_GB2312" w:cs="仿宋"/>
          <w:sz w:val="32"/>
          <w:szCs w:val="32"/>
          <w:lang w:val="en-US" w:eastAsia="zh-CN"/>
        </w:rPr>
        <w:t>2</w:t>
      </w:r>
      <w:r>
        <w:rPr>
          <w:rFonts w:hint="eastAsia" w:ascii="仿宋_GB2312" w:hAnsi="仿宋_GB2312" w:eastAsia="仿宋_GB2312" w:cs="仿宋"/>
          <w:sz w:val="32"/>
          <w:szCs w:val="32"/>
          <w:lang w:val="zu-ZA"/>
        </w:rPr>
        <w:t>人。内设</w:t>
      </w:r>
      <w:r>
        <w:rPr>
          <w:rFonts w:hint="eastAsia" w:ascii="仿宋_GB2312" w:hAnsi="仿宋_GB2312" w:eastAsia="仿宋_GB2312" w:cs="仿宋"/>
          <w:sz w:val="32"/>
          <w:szCs w:val="32"/>
        </w:rPr>
        <w:t>股室11个</w:t>
      </w:r>
      <w:r>
        <w:rPr>
          <w:rFonts w:hint="eastAsia" w:ascii="仿宋_GB2312" w:hAnsi="仿宋_GB2312" w:eastAsia="仿宋_GB2312" w:cs="仿宋"/>
          <w:sz w:val="32"/>
          <w:szCs w:val="32"/>
          <w:lang w:val="zu-ZA"/>
        </w:rPr>
        <w:t>：办公室、财务审计股、政工人事股、行政审批股、城市建设股、项目前期股、安全管理股、房屋管理股、</w:t>
      </w:r>
      <w:r>
        <w:rPr>
          <w:rFonts w:hint="eastAsia" w:ascii="仿宋_GB2312" w:hAnsi="仿宋_GB2312" w:eastAsia="仿宋_GB2312" w:cs="仿宋"/>
          <w:sz w:val="32"/>
          <w:szCs w:val="32"/>
        </w:rPr>
        <w:t>历史文化</w:t>
      </w:r>
      <w:r>
        <w:rPr>
          <w:rFonts w:hint="eastAsia" w:ascii="仿宋_GB2312" w:hAnsi="仿宋_GB2312" w:eastAsia="仿宋_GB2312" w:cs="仿宋"/>
          <w:sz w:val="32"/>
          <w:szCs w:val="32"/>
          <w:lang w:val="zu-ZA"/>
        </w:rPr>
        <w:t>名城保护股、村镇建设股、</w:t>
      </w:r>
      <w:r>
        <w:rPr>
          <w:rFonts w:hint="eastAsia" w:ascii="仿宋_GB2312" w:hAnsi="仿宋_GB2312" w:eastAsia="仿宋_GB2312" w:cs="仿宋"/>
          <w:sz w:val="32"/>
          <w:szCs w:val="32"/>
        </w:rPr>
        <w:t>网络</w:t>
      </w:r>
      <w:r>
        <w:rPr>
          <w:rFonts w:hint="eastAsia" w:ascii="仿宋_GB2312" w:hAnsi="仿宋_GB2312" w:eastAsia="仿宋_GB2312" w:cs="仿宋"/>
          <w:sz w:val="32"/>
          <w:szCs w:val="32"/>
          <w:lang w:val="zu-ZA"/>
        </w:rPr>
        <w:t>信息股；</w:t>
      </w:r>
      <w:r>
        <w:rPr>
          <w:rFonts w:hint="eastAsia" w:ascii="仿宋_GB2312" w:hAnsi="仿宋_GB2312" w:eastAsia="仿宋_GB2312" w:cs="仿宋"/>
          <w:sz w:val="32"/>
          <w:szCs w:val="32"/>
        </w:rPr>
        <w:t>所属事业单位6个</w:t>
      </w:r>
      <w:r>
        <w:rPr>
          <w:rFonts w:hint="eastAsia" w:ascii="仿宋_GB2312" w:hAnsi="仿宋_GB2312" w:eastAsia="仿宋_GB2312" w:cs="仿宋"/>
          <w:sz w:val="32"/>
          <w:szCs w:val="32"/>
          <w:lang w:val="zu-ZA"/>
        </w:rPr>
        <w:t>：岳阳楼区农村公路和船舶渡口服务中心、岳阳楼区交通质量安全服务中心、岳阳楼区棚户（旧城）区改造项目服务中心、岳阳楼区物业管理服务中心、岳阳楼区街巷建设服务中心、岳阳楼区墙体材料改革和散装水泥服务中心。</w:t>
      </w:r>
    </w:p>
    <w:p w14:paraId="3C1A972C">
      <w:pPr>
        <w:keepNext w:val="0"/>
        <w:keepLines w:val="0"/>
        <w:pageBreakBefore w:val="0"/>
        <w:kinsoku/>
        <w:wordWrap/>
        <w:overflowPunct/>
        <w:topLinePunct w:val="0"/>
        <w:bidi w:val="0"/>
        <w:snapToGrid/>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岳阳市岳阳楼区住房和城乡建设局主要职责为：</w:t>
      </w:r>
    </w:p>
    <w:p w14:paraId="3FEB6CFD">
      <w:pPr>
        <w:keepNext w:val="0"/>
        <w:keepLines w:val="0"/>
        <w:pageBreakBefore w:val="0"/>
        <w:kinsoku/>
        <w:wordWrap/>
        <w:overflowPunct/>
        <w:topLinePunct w:val="0"/>
        <w:bidi w:val="0"/>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贯彻执行国家有关住建、交通的法律、法规和政策，配合交通执法监督和检查。根据住建和交通发展总体布局，组织编制本级城市道路建设整体规划和公路、水路交通行业发展规划，并组织实施。</w:t>
      </w:r>
    </w:p>
    <w:p w14:paraId="444F00A1">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负责区重点工程建设，负责指导、管理市政工程建设工作；负责全区房屋管理、村镇建设、历史文化名城保护管理和农村危房改造工作，并组织实施；负责全区城建档案管理工作。</w:t>
      </w:r>
    </w:p>
    <w:p w14:paraId="1B56290E">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负责全区范围内低洼渍水地段的疏通改造及背街小巷的路面、路灯、下水道、井盖、消防栓的维护管理。</w:t>
      </w:r>
    </w:p>
    <w:p w14:paraId="522F1D58">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负责全区棚户（旧城）区、老旧小区改造项目的协调服务、业务指导、进度报送、管理考评及征收拆迁相关规章制度的拟定。</w:t>
      </w:r>
    </w:p>
    <w:p w14:paraId="4ACAF25A">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负责全区新型墙体材料的推广、应用，承担民用建筑节能、墙体材料革新及散装水泥管理工作。</w:t>
      </w:r>
    </w:p>
    <w:p w14:paraId="023431F4">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pacing w:val="-8"/>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rPr>
        <w:t>．</w:t>
      </w:r>
      <w:r>
        <w:rPr>
          <w:rFonts w:hint="eastAsia" w:ascii="仿宋_GB2312" w:hAnsi="仿宋_GB2312" w:eastAsia="仿宋_GB2312" w:cs="仿宋_GB2312"/>
          <w:spacing w:val="-8"/>
          <w:sz w:val="32"/>
          <w:szCs w:val="32"/>
        </w:rPr>
        <w:t>负责全区物业管理及物业维修基金的申报和使用工作。</w:t>
      </w:r>
    </w:p>
    <w:p w14:paraId="15078B6E">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负责本范围内的农村公路建设、养护和管理，实施公路路政管理，保护公路产权，参与规划公路沿线各种建筑设施；负责本区域范围内有关交通基础设施建设的协调工作。</w:t>
      </w:r>
    </w:p>
    <w:p w14:paraId="2686959E">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负责本区范围内已确定的船舶渡口安全管理；参与拟订物流业发展政策和措施，指导监督和服务全区物流中心的发展；负责</w:t>
      </w:r>
      <w:r>
        <w:rPr>
          <w:rFonts w:hint="eastAsia" w:ascii="仿宋_GB2312" w:hAnsi="仿宋_GB2312" w:eastAsia="仿宋_GB2312" w:cs="Tahoma"/>
          <w:kern w:val="0"/>
          <w:sz w:val="32"/>
        </w:rPr>
        <w:t>全区范围内校车行驶线路的初审工作；</w:t>
      </w:r>
      <w:r>
        <w:rPr>
          <w:rFonts w:hint="eastAsia" w:ascii="仿宋_GB2312" w:hAnsi="仿宋_GB2312" w:eastAsia="仿宋_GB2312" w:cs="仿宋_GB2312"/>
          <w:sz w:val="32"/>
          <w:szCs w:val="32"/>
        </w:rPr>
        <w:t>负责全区交通行业统计工作工作。</w:t>
      </w:r>
    </w:p>
    <w:p w14:paraId="2BA266C5">
      <w:pPr>
        <w:keepNext w:val="0"/>
        <w:keepLines w:val="0"/>
        <w:pageBreakBefore w:val="0"/>
        <w:kinsoku/>
        <w:wordWrap/>
        <w:overflowPunct/>
        <w:topLinePunct w:val="0"/>
        <w:bidi w:val="0"/>
        <w:snapToGrid/>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负责组织实施全区农村公路、小型桥梁、中小型防护工程及保障性住房项目质量安全监督工作，协助上级主管部门做好市政道路、干线公路、大中型桥梁、大型防护工程及隧道工程的质量安全监督工作。</w:t>
      </w:r>
    </w:p>
    <w:p w14:paraId="2F3A5C30">
      <w:pPr>
        <w:keepNext w:val="0"/>
        <w:keepLines w:val="0"/>
        <w:pageBreakBefore w:val="0"/>
        <w:kinsoku/>
        <w:wordWrap/>
        <w:overflowPunct/>
        <w:topLinePunct w:val="0"/>
        <w:bidi w:val="0"/>
        <w:snapToGrid/>
        <w:spacing w:line="600" w:lineRule="exact"/>
        <w:ind w:firstLine="640" w:firstLineChars="200"/>
      </w:pPr>
      <w:r>
        <w:rPr>
          <w:rFonts w:hint="eastAsia" w:ascii="仿宋_GB2312" w:hAnsi="仿宋_GB2312" w:eastAsia="仿宋_GB2312" w:cs="仿宋_GB2312"/>
          <w:sz w:val="32"/>
          <w:szCs w:val="32"/>
        </w:rPr>
        <w:t>10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负责本单位、本系统的信访维稳和安全生产工作；完成区委、区人民政府交办的其他任务。</w:t>
      </w:r>
    </w:p>
    <w:p w14:paraId="38003F17">
      <w:pPr>
        <w:keepNext w:val="0"/>
        <w:keepLines w:val="0"/>
        <w:pageBreakBefore w:val="0"/>
        <w:kinsoku/>
        <w:wordWrap/>
        <w:overflowPunct/>
        <w:topLinePunct w:val="0"/>
        <w:bidi w:val="0"/>
        <w:snapToGrid/>
        <w:spacing w:line="600" w:lineRule="exact"/>
        <w:ind w:firstLine="643" w:firstLineChars="200"/>
        <w:jc w:val="left"/>
        <w:rPr>
          <w:rFonts w:ascii="黑体" w:hAnsi="黑体" w:eastAsia="黑体" w:cs="仿宋"/>
          <w:b/>
          <w:bCs/>
          <w:color w:val="000000" w:themeColor="text1"/>
          <w:sz w:val="32"/>
          <w:szCs w:val="32"/>
          <w14:textFill>
            <w14:solidFill>
              <w14:schemeClr w14:val="tx1"/>
            </w14:solidFill>
          </w14:textFill>
        </w:rPr>
      </w:pPr>
      <w:r>
        <w:rPr>
          <w:rFonts w:hint="eastAsia" w:ascii="黑体" w:hAnsi="黑体" w:eastAsia="黑体" w:cs="仿宋"/>
          <w:b/>
          <w:bCs/>
          <w:color w:val="000000" w:themeColor="text1"/>
          <w:sz w:val="32"/>
          <w:szCs w:val="32"/>
          <w14:textFill>
            <w14:solidFill>
              <w14:schemeClr w14:val="tx1"/>
            </w14:solidFill>
          </w14:textFill>
        </w:rPr>
        <w:t>二、一般公共预算支出情况</w:t>
      </w:r>
    </w:p>
    <w:p w14:paraId="682186A2">
      <w:pPr>
        <w:keepNext w:val="0"/>
        <w:keepLines w:val="0"/>
        <w:pageBreakBefore w:val="0"/>
        <w:kinsoku/>
        <w:wordWrap/>
        <w:overflowPunct/>
        <w:topLinePunct w:val="0"/>
        <w:bidi w:val="0"/>
        <w:snapToGrid/>
        <w:spacing w:line="600" w:lineRule="exact"/>
        <w:ind w:firstLine="643" w:firstLineChars="200"/>
        <w:jc w:val="left"/>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(一)基本支出情况</w:t>
      </w:r>
    </w:p>
    <w:p w14:paraId="6DBEFFE9">
      <w:pPr>
        <w:keepNext w:val="0"/>
        <w:keepLines w:val="0"/>
        <w:pageBreakBefore w:val="0"/>
        <w:kinsoku/>
        <w:wordWrap/>
        <w:overflowPunct/>
        <w:topLinePunct w:val="0"/>
        <w:bidi w:val="0"/>
        <w:snapToGrid/>
        <w:spacing w:line="600" w:lineRule="exact"/>
        <w:ind w:firstLine="640" w:firstLineChars="200"/>
        <w:jc w:val="left"/>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sz w:val="32"/>
          <w:szCs w:val="32"/>
          <w:lang w:val="zu-ZA"/>
        </w:rPr>
        <w:t>年度财政拨款基本支出年初预算为</w:t>
      </w:r>
      <w:r>
        <w:rPr>
          <w:rFonts w:hint="eastAsia" w:ascii="仿宋" w:hAnsi="仿宋" w:eastAsia="仿宋" w:cs="仿宋"/>
          <w:color w:val="000000"/>
          <w:sz w:val="32"/>
          <w:szCs w:val="32"/>
          <w:lang w:val="en-US" w:eastAsia="zh-CN"/>
        </w:rPr>
        <w:t>1408.27</w:t>
      </w:r>
      <w:r>
        <w:rPr>
          <w:rFonts w:hint="eastAsia" w:ascii="仿宋" w:hAnsi="仿宋" w:eastAsia="仿宋" w:cs="仿宋"/>
          <w:color w:val="000000"/>
          <w:sz w:val="32"/>
          <w:szCs w:val="32"/>
          <w:lang w:val="zu-ZA"/>
        </w:rPr>
        <w:t>万元，基本支出决算为</w:t>
      </w:r>
      <w:r>
        <w:rPr>
          <w:rFonts w:hint="eastAsia" w:ascii="仿宋" w:hAnsi="仿宋" w:eastAsia="仿宋" w:cs="仿宋"/>
          <w:sz w:val="32"/>
          <w:szCs w:val="32"/>
          <w:lang w:val="zu-ZA"/>
        </w:rPr>
        <w:t>1</w:t>
      </w:r>
      <w:r>
        <w:rPr>
          <w:rFonts w:hint="eastAsia" w:ascii="仿宋" w:hAnsi="仿宋" w:eastAsia="仿宋" w:cs="仿宋"/>
          <w:sz w:val="32"/>
          <w:szCs w:val="32"/>
          <w:lang w:val="en-US" w:eastAsia="zh-CN"/>
        </w:rPr>
        <w:t>288.87</w:t>
      </w:r>
      <w:r>
        <w:rPr>
          <w:rFonts w:hint="eastAsia" w:ascii="仿宋" w:hAnsi="仿宋" w:eastAsia="仿宋" w:cs="仿宋"/>
          <w:sz w:val="32"/>
          <w:szCs w:val="32"/>
          <w:lang w:val="zu-ZA"/>
        </w:rPr>
        <w:t>万元，完成年初预算的</w:t>
      </w:r>
      <w:r>
        <w:rPr>
          <w:rFonts w:hint="eastAsia" w:ascii="仿宋" w:hAnsi="仿宋" w:eastAsia="仿宋" w:cs="仿宋"/>
          <w:sz w:val="32"/>
          <w:szCs w:val="32"/>
          <w:lang w:val="en-US" w:eastAsia="zh-CN"/>
        </w:rPr>
        <w:t>91</w:t>
      </w:r>
      <w:r>
        <w:rPr>
          <w:rFonts w:hint="eastAsia" w:ascii="仿宋" w:hAnsi="仿宋" w:eastAsia="仿宋" w:cs="仿宋"/>
          <w:sz w:val="32"/>
          <w:szCs w:val="32"/>
          <w:lang w:val="zu-ZA"/>
        </w:rPr>
        <w:t>%，</w:t>
      </w:r>
      <w:r>
        <w:rPr>
          <w:rFonts w:hint="eastAsia" w:ascii="仿宋" w:hAnsi="仿宋" w:eastAsia="仿宋" w:cs="仿宋"/>
          <w:sz w:val="32"/>
          <w:szCs w:val="32"/>
          <w:lang w:val="en-US" w:eastAsia="zh-CN"/>
        </w:rPr>
        <w:t>未</w:t>
      </w:r>
      <w:r>
        <w:rPr>
          <w:rFonts w:hint="eastAsia" w:ascii="仿宋" w:hAnsi="仿宋" w:eastAsia="仿宋" w:cs="仿宋"/>
          <w:sz w:val="32"/>
          <w:szCs w:val="32"/>
          <w:lang w:val="zu-ZA"/>
        </w:rPr>
        <w:t>超预算</w:t>
      </w:r>
      <w:r>
        <w:rPr>
          <w:rFonts w:hint="eastAsia" w:ascii="仿宋" w:hAnsi="仿宋" w:eastAsia="仿宋" w:cs="仿宋"/>
          <w:sz w:val="32"/>
          <w:szCs w:val="32"/>
        </w:rPr>
        <w:t>。</w:t>
      </w:r>
      <w:r>
        <w:rPr>
          <w:rFonts w:hint="eastAsia" w:ascii="仿宋" w:hAnsi="仿宋" w:eastAsia="仿宋" w:cs="仿宋"/>
          <w:color w:val="000000"/>
          <w:sz w:val="32"/>
          <w:szCs w:val="32"/>
          <w:lang w:val="zu-ZA"/>
        </w:rPr>
        <w:t>其中：人员经费</w:t>
      </w:r>
      <w:r>
        <w:rPr>
          <w:rFonts w:hint="eastAsia" w:ascii="仿宋" w:hAnsi="仿宋" w:eastAsia="仿宋" w:cs="仿宋"/>
          <w:sz w:val="32"/>
          <w:szCs w:val="32"/>
          <w:lang w:val="zu-ZA"/>
        </w:rPr>
        <w:t>1</w:t>
      </w:r>
      <w:r>
        <w:rPr>
          <w:rFonts w:hint="eastAsia" w:ascii="仿宋" w:hAnsi="仿宋" w:eastAsia="仿宋" w:cs="仿宋"/>
          <w:sz w:val="32"/>
          <w:szCs w:val="32"/>
          <w:lang w:val="en-US" w:eastAsia="zh-CN"/>
        </w:rPr>
        <w:t>131.49</w:t>
      </w:r>
      <w:r>
        <w:rPr>
          <w:rFonts w:hint="eastAsia" w:ascii="仿宋" w:hAnsi="仿宋" w:eastAsia="仿宋" w:cs="仿宋"/>
          <w:sz w:val="32"/>
          <w:szCs w:val="32"/>
          <w:lang w:val="zu-ZA"/>
        </w:rPr>
        <w:t>万元，占基本支出的</w:t>
      </w:r>
      <w:r>
        <w:rPr>
          <w:rFonts w:hint="eastAsia" w:ascii="仿宋" w:hAnsi="仿宋" w:eastAsia="仿宋" w:cs="仿宋"/>
          <w:sz w:val="32"/>
          <w:szCs w:val="32"/>
        </w:rPr>
        <w:t>8</w:t>
      </w:r>
      <w:r>
        <w:rPr>
          <w:rFonts w:hint="eastAsia" w:ascii="仿宋" w:hAnsi="仿宋" w:eastAsia="仿宋" w:cs="仿宋"/>
          <w:sz w:val="32"/>
          <w:szCs w:val="32"/>
          <w:lang w:val="en-US" w:eastAsia="zh-CN"/>
        </w:rPr>
        <w:t>8</w:t>
      </w:r>
      <w:r>
        <w:rPr>
          <w:rFonts w:hint="eastAsia" w:ascii="仿宋" w:hAnsi="仿宋" w:eastAsia="仿宋" w:cs="仿宋"/>
          <w:sz w:val="32"/>
          <w:szCs w:val="32"/>
          <w:lang w:val="zu-ZA"/>
        </w:rPr>
        <w:t>%</w:t>
      </w:r>
      <w:r>
        <w:rPr>
          <w:rFonts w:hint="eastAsia" w:ascii="仿宋" w:hAnsi="仿宋" w:eastAsia="仿宋" w:cs="仿宋"/>
          <w:color w:val="000000"/>
          <w:sz w:val="32"/>
          <w:szCs w:val="32"/>
          <w:lang w:val="zu-ZA"/>
        </w:rPr>
        <w:t>，主要包括：基本工资、津贴补贴、奖金、伙食补助费、机关事业单位基本养老保险缴费、职业年金缴费、职工基本医疗保险缴费、公务员医疗补助缴费、其他社会保障缴费、住房公积金、其他工资福利支出、退休费。公用经费</w:t>
      </w: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57.38</w:t>
      </w:r>
      <w:r>
        <w:rPr>
          <w:rFonts w:hint="eastAsia" w:ascii="仿宋" w:hAnsi="仿宋" w:eastAsia="仿宋" w:cs="仿宋"/>
          <w:color w:val="000000"/>
          <w:sz w:val="32"/>
          <w:szCs w:val="32"/>
          <w:lang w:val="zu-ZA"/>
        </w:rPr>
        <w:t>万元，占基本支出的</w:t>
      </w:r>
      <w:r>
        <w:rPr>
          <w:rFonts w:hint="eastAsia" w:ascii="仿宋" w:hAnsi="仿宋" w:eastAsia="仿宋" w:cs="仿宋"/>
          <w:sz w:val="32"/>
          <w:szCs w:val="32"/>
          <w:lang w:val="zu-ZA"/>
        </w:rPr>
        <w:t>1</w:t>
      </w:r>
      <w:r>
        <w:rPr>
          <w:rFonts w:hint="eastAsia" w:ascii="仿宋" w:hAnsi="仿宋" w:eastAsia="仿宋" w:cs="仿宋"/>
          <w:sz w:val="32"/>
          <w:szCs w:val="32"/>
          <w:lang w:val="en-US" w:eastAsia="zh-CN"/>
        </w:rPr>
        <w:t>2</w:t>
      </w:r>
      <w:r>
        <w:rPr>
          <w:rFonts w:hint="eastAsia" w:ascii="仿宋" w:hAnsi="仿宋" w:eastAsia="仿宋" w:cs="仿宋"/>
          <w:sz w:val="32"/>
          <w:szCs w:val="32"/>
          <w:lang w:val="zu-ZA"/>
        </w:rPr>
        <w:t>%，</w:t>
      </w:r>
      <w:r>
        <w:rPr>
          <w:rFonts w:hint="eastAsia" w:ascii="仿宋" w:hAnsi="仿宋" w:eastAsia="仿宋" w:cs="仿宋"/>
          <w:color w:val="000000"/>
          <w:sz w:val="32"/>
          <w:szCs w:val="32"/>
          <w:lang w:val="zu-ZA"/>
        </w:rPr>
        <w:t>主要包括：办公费、印刷费、水费、电费、邮电费、差旅费、维修（护）费、培训费、公务接待费、劳务费、工会经费、公务用车运行维护费、其他交通费用、其他商品和服务支出。</w:t>
      </w:r>
    </w:p>
    <w:p w14:paraId="3094C37F">
      <w:pPr>
        <w:keepNext w:val="0"/>
        <w:keepLines w:val="0"/>
        <w:pageBreakBefore w:val="0"/>
        <w:numPr>
          <w:ilvl w:val="0"/>
          <w:numId w:val="1"/>
        </w:numPr>
        <w:kinsoku/>
        <w:wordWrap/>
        <w:overflowPunct/>
        <w:topLinePunct w:val="0"/>
        <w:bidi w:val="0"/>
        <w:snapToGrid/>
        <w:spacing w:line="600" w:lineRule="exact"/>
        <w:ind w:firstLine="643" w:firstLineChars="200"/>
        <w:jc w:val="left"/>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202</w:t>
      </w:r>
      <w:r>
        <w:rPr>
          <w:rFonts w:hint="eastAsia" w:ascii="仿宋" w:hAnsi="仿宋" w:eastAsia="仿宋" w:cs="仿宋"/>
          <w:b/>
          <w:bCs/>
          <w:color w:val="000000" w:themeColor="text1"/>
          <w:sz w:val="32"/>
          <w:szCs w:val="32"/>
          <w:lang w:val="en-US" w:eastAsia="zh-CN"/>
          <w14:textFill>
            <w14:solidFill>
              <w14:schemeClr w14:val="tx1"/>
            </w14:solidFill>
          </w14:textFill>
        </w:rPr>
        <w:t>4</w:t>
      </w:r>
      <w:r>
        <w:rPr>
          <w:rFonts w:hint="eastAsia" w:ascii="仿宋" w:hAnsi="仿宋" w:eastAsia="仿宋" w:cs="仿宋"/>
          <w:b/>
          <w:bCs/>
          <w:color w:val="000000" w:themeColor="text1"/>
          <w:sz w:val="32"/>
          <w:szCs w:val="32"/>
          <w14:textFill>
            <w14:solidFill>
              <w14:schemeClr w14:val="tx1"/>
            </w14:solidFill>
          </w14:textFill>
        </w:rPr>
        <w:t>年项目预算情况</w:t>
      </w:r>
    </w:p>
    <w:p w14:paraId="715AA2C2">
      <w:pPr>
        <w:keepNext w:val="0"/>
        <w:keepLines w:val="0"/>
        <w:pageBreakBefore w:val="0"/>
        <w:kinsoku/>
        <w:wordWrap/>
        <w:overflowPunct/>
        <w:topLinePunct w:val="0"/>
        <w:bidi w:val="0"/>
        <w:snapToGrid/>
        <w:spacing w:line="600" w:lineRule="exact"/>
        <w:ind w:firstLine="643" w:firstLineChars="200"/>
        <w:jc w:val="left"/>
        <w:rPr>
          <w:rFonts w:hint="eastAsia" w:ascii="仿宋" w:hAnsi="仿宋" w:eastAsia="仿宋" w:cs="仿宋"/>
          <w:color w:val="000000"/>
          <w:sz w:val="32"/>
          <w:szCs w:val="32"/>
          <w:lang w:val="zu-ZA"/>
        </w:rPr>
      </w:pPr>
      <w:r>
        <w:rPr>
          <w:rFonts w:hint="eastAsia" w:ascii="仿宋" w:hAnsi="仿宋" w:eastAsia="仿宋" w:cs="仿宋"/>
          <w:b/>
          <w:bCs/>
          <w:color w:val="000000"/>
          <w:sz w:val="32"/>
          <w:szCs w:val="32"/>
          <w:lang w:val="zu-ZA"/>
        </w:rPr>
        <w:t>1、202</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lang w:val="zu-ZA"/>
        </w:rPr>
        <w:t>年专项资金安排落实、预算情况分析</w:t>
      </w:r>
    </w:p>
    <w:p w14:paraId="7CE1B846">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（1）12345热线、网格信息化及12319热线预算资金:1000万元；</w:t>
      </w:r>
    </w:p>
    <w:p w14:paraId="238A9D0B">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（2）农村公路项目预算资金：500万元；</w:t>
      </w:r>
    </w:p>
    <w:p w14:paraId="23DE8D60">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（3）路灯电费及维修预算资金：700万元；</w:t>
      </w:r>
    </w:p>
    <w:p w14:paraId="5852D66C">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（4）王家河面源整治项目预算资金：1</w:t>
      </w:r>
      <w:r>
        <w:rPr>
          <w:rFonts w:hint="eastAsia" w:ascii="仿宋" w:hAnsi="仿宋" w:eastAsia="仿宋" w:cs="仿宋"/>
          <w:color w:val="000000"/>
          <w:sz w:val="32"/>
          <w:szCs w:val="32"/>
          <w:lang w:val="en-US" w:eastAsia="zh-CN"/>
        </w:rPr>
        <w:t>30</w:t>
      </w:r>
      <w:r>
        <w:rPr>
          <w:rFonts w:hint="eastAsia" w:ascii="仿宋" w:hAnsi="仿宋" w:eastAsia="仿宋" w:cs="仿宋"/>
          <w:color w:val="000000"/>
          <w:sz w:val="32"/>
          <w:szCs w:val="32"/>
          <w:lang w:val="zu-ZA"/>
        </w:rPr>
        <w:t>万元；</w:t>
      </w:r>
    </w:p>
    <w:p w14:paraId="55D84735">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（5）污水运行费预算资金：</w:t>
      </w:r>
      <w:r>
        <w:rPr>
          <w:rFonts w:hint="eastAsia" w:ascii="仿宋" w:hAnsi="仿宋" w:eastAsia="仿宋" w:cs="仿宋"/>
          <w:color w:val="000000"/>
          <w:sz w:val="32"/>
          <w:szCs w:val="32"/>
          <w:lang w:val="en-US" w:eastAsia="zh-CN"/>
        </w:rPr>
        <w:t>320</w:t>
      </w:r>
      <w:r>
        <w:rPr>
          <w:rFonts w:hint="eastAsia" w:ascii="仿宋" w:hAnsi="仿宋" w:eastAsia="仿宋" w:cs="仿宋"/>
          <w:color w:val="000000"/>
          <w:sz w:val="32"/>
          <w:szCs w:val="32"/>
          <w:lang w:val="zu-ZA"/>
        </w:rPr>
        <w:t>万；</w:t>
      </w:r>
    </w:p>
    <w:p w14:paraId="6D3CAD46">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（6）既有住宅加装电梯补助</w:t>
      </w:r>
      <w:r>
        <w:rPr>
          <w:rFonts w:hint="eastAsia" w:ascii="仿宋" w:hAnsi="仿宋" w:eastAsia="仿宋" w:cs="仿宋"/>
          <w:color w:val="000000"/>
          <w:sz w:val="32"/>
          <w:szCs w:val="32"/>
          <w:lang w:val="en-US" w:eastAsia="zh-CN"/>
        </w:rPr>
        <w:t>预算</w:t>
      </w:r>
      <w:r>
        <w:rPr>
          <w:rFonts w:hint="eastAsia" w:ascii="仿宋" w:hAnsi="仿宋" w:eastAsia="仿宋" w:cs="仿宋"/>
          <w:color w:val="000000"/>
          <w:sz w:val="32"/>
          <w:szCs w:val="32"/>
          <w:lang w:val="zu-ZA"/>
        </w:rPr>
        <w:t>资金：</w:t>
      </w:r>
      <w:r>
        <w:rPr>
          <w:rFonts w:hint="eastAsia" w:ascii="仿宋" w:hAnsi="仿宋" w:eastAsia="仿宋" w:cs="仿宋"/>
          <w:color w:val="000000"/>
          <w:sz w:val="32"/>
          <w:szCs w:val="32"/>
          <w:lang w:val="en-US" w:eastAsia="zh-CN"/>
        </w:rPr>
        <w:t>2670</w:t>
      </w:r>
      <w:r>
        <w:rPr>
          <w:rFonts w:hint="eastAsia" w:ascii="仿宋" w:hAnsi="仿宋" w:eastAsia="仿宋" w:cs="仿宋"/>
          <w:color w:val="000000"/>
          <w:sz w:val="32"/>
          <w:szCs w:val="32"/>
          <w:lang w:val="zu-ZA"/>
        </w:rPr>
        <w:t>万元；</w:t>
      </w:r>
    </w:p>
    <w:p w14:paraId="255F73E9">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（7）文曲巷、天欣路道路工程建设</w:t>
      </w:r>
      <w:r>
        <w:rPr>
          <w:rFonts w:hint="eastAsia" w:ascii="仿宋" w:hAnsi="仿宋" w:eastAsia="仿宋" w:cs="仿宋"/>
          <w:color w:val="000000"/>
          <w:sz w:val="32"/>
          <w:szCs w:val="32"/>
          <w:lang w:val="zu-ZA"/>
        </w:rPr>
        <w:t>预算资金</w:t>
      </w:r>
      <w:r>
        <w:rPr>
          <w:rFonts w:hint="eastAsia" w:ascii="仿宋" w:hAnsi="仿宋" w:eastAsia="仿宋" w:cs="仿宋"/>
          <w:color w:val="000000"/>
          <w:sz w:val="32"/>
          <w:szCs w:val="32"/>
          <w:lang w:val="zu-ZA" w:eastAsia="zh-CN"/>
        </w:rPr>
        <w:t>：</w:t>
      </w:r>
      <w:r>
        <w:rPr>
          <w:rFonts w:hint="eastAsia" w:ascii="仿宋" w:hAnsi="仿宋" w:eastAsia="仿宋" w:cs="仿宋"/>
          <w:color w:val="000000"/>
          <w:sz w:val="32"/>
          <w:szCs w:val="32"/>
          <w:lang w:val="en-US" w:eastAsia="zh-CN"/>
        </w:rPr>
        <w:t>700万元；</w:t>
      </w:r>
    </w:p>
    <w:p w14:paraId="72169E98">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（8）新桥南路道路工程建设预算资金：650万；</w:t>
      </w:r>
    </w:p>
    <w:p w14:paraId="6F932570">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lang w:val="zu-ZA"/>
        </w:rPr>
        <w:t>）旧城改造（包括中央、省级及配套）项目资金：</w:t>
      </w:r>
      <w:r>
        <w:rPr>
          <w:rFonts w:hint="eastAsia" w:ascii="仿宋" w:hAnsi="仿宋" w:eastAsia="仿宋" w:cs="仿宋"/>
          <w:color w:val="000000"/>
          <w:sz w:val="32"/>
          <w:szCs w:val="32"/>
          <w:lang w:val="en-US" w:eastAsia="zh-CN"/>
        </w:rPr>
        <w:t>13683.09</w:t>
      </w:r>
      <w:r>
        <w:rPr>
          <w:rFonts w:hint="eastAsia" w:ascii="仿宋" w:hAnsi="仿宋" w:eastAsia="仿宋" w:cs="仿宋"/>
          <w:color w:val="000000"/>
          <w:sz w:val="32"/>
          <w:szCs w:val="32"/>
          <w:lang w:val="zu-ZA"/>
        </w:rPr>
        <w:t>万元；</w:t>
      </w:r>
    </w:p>
    <w:p w14:paraId="2583E0DE">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lang w:val="zu-ZA"/>
        </w:rPr>
        <w:t>）农村客运补贴资金及城市交通发展奖励</w:t>
      </w:r>
      <w:r>
        <w:rPr>
          <w:rFonts w:hint="eastAsia" w:ascii="仿宋" w:hAnsi="仿宋" w:eastAsia="仿宋" w:cs="仿宋"/>
          <w:color w:val="000000"/>
          <w:sz w:val="32"/>
          <w:szCs w:val="32"/>
          <w:lang w:val="en-US" w:eastAsia="zh-CN"/>
        </w:rPr>
        <w:t>预算</w:t>
      </w:r>
      <w:r>
        <w:rPr>
          <w:rFonts w:hint="eastAsia" w:ascii="仿宋" w:hAnsi="仿宋" w:eastAsia="仿宋" w:cs="仿宋"/>
          <w:color w:val="000000"/>
          <w:sz w:val="32"/>
          <w:szCs w:val="32"/>
          <w:lang w:val="zu-ZA"/>
        </w:rPr>
        <w:t>资金：</w:t>
      </w:r>
      <w:r>
        <w:rPr>
          <w:rFonts w:hint="eastAsia" w:ascii="仿宋" w:hAnsi="仿宋" w:eastAsia="仿宋" w:cs="仿宋"/>
          <w:color w:val="000000"/>
          <w:sz w:val="32"/>
          <w:szCs w:val="32"/>
          <w:lang w:val="en-US" w:eastAsia="zh-CN"/>
        </w:rPr>
        <w:t>1122.89</w:t>
      </w:r>
      <w:r>
        <w:rPr>
          <w:rFonts w:hint="eastAsia" w:ascii="仿宋" w:hAnsi="仿宋" w:eastAsia="仿宋" w:cs="仿宋"/>
          <w:color w:val="000000"/>
          <w:sz w:val="32"/>
          <w:szCs w:val="32"/>
          <w:lang w:val="zu-ZA"/>
        </w:rPr>
        <w:t>万元；</w:t>
      </w:r>
    </w:p>
    <w:p w14:paraId="4BFDE909">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lang w:val="zu-ZA"/>
        </w:rPr>
      </w:pPr>
      <w:r>
        <w:rPr>
          <w:rFonts w:hint="eastAsia" w:ascii="仿宋" w:hAnsi="仿宋" w:eastAsia="仿宋" w:cs="仿宋"/>
          <w:color w:val="000000"/>
          <w:sz w:val="32"/>
          <w:szCs w:val="32"/>
          <w:lang w:val="zu-ZA"/>
        </w:rPr>
        <w:t>（</w:t>
      </w: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lang w:val="zu-ZA"/>
        </w:rPr>
        <w:t>）特定目标类项目（业务工作经费）预算资金：</w:t>
      </w:r>
      <w:r>
        <w:rPr>
          <w:rFonts w:hint="eastAsia" w:ascii="仿宋" w:hAnsi="仿宋" w:eastAsia="仿宋" w:cs="仿宋"/>
          <w:color w:val="000000"/>
          <w:sz w:val="32"/>
          <w:szCs w:val="32"/>
          <w:lang w:val="en-US" w:eastAsia="zh-CN"/>
        </w:rPr>
        <w:t>167</w:t>
      </w:r>
      <w:r>
        <w:rPr>
          <w:rFonts w:hint="eastAsia" w:ascii="仿宋" w:hAnsi="仿宋" w:eastAsia="仿宋" w:cs="仿宋"/>
          <w:color w:val="000000"/>
          <w:sz w:val="32"/>
          <w:szCs w:val="32"/>
          <w:lang w:val="zu-ZA"/>
        </w:rPr>
        <w:t>万元。</w:t>
      </w:r>
    </w:p>
    <w:p w14:paraId="2B0B5D65">
      <w:pPr>
        <w:pStyle w:val="4"/>
        <w:keepNext w:val="0"/>
        <w:keepLines w:val="0"/>
        <w:pageBreakBefore w:val="0"/>
        <w:tabs>
          <w:tab w:val="left" w:pos="0"/>
        </w:tabs>
        <w:kinsoku/>
        <w:wordWrap/>
        <w:overflowPunct/>
        <w:topLinePunct w:val="0"/>
        <w:bidi w:val="0"/>
        <w:snapToGrid/>
        <w:spacing w:after="0" w:line="600" w:lineRule="exact"/>
        <w:ind w:left="0" w:leftChars="0" w:firstLine="643" w:firstLineChars="200"/>
        <w:rPr>
          <w:rFonts w:ascii="仿宋" w:hAnsi="仿宋" w:eastAsia="仿宋" w:cs="仿宋"/>
          <w:bCs/>
          <w:sz w:val="32"/>
          <w:szCs w:val="32"/>
        </w:rPr>
      </w:pPr>
      <w:r>
        <w:rPr>
          <w:rFonts w:hint="eastAsia" w:ascii="仿宋" w:hAnsi="仿宋" w:eastAsia="仿宋" w:cs="仿宋"/>
          <w:b/>
          <w:sz w:val="32"/>
          <w:szCs w:val="32"/>
        </w:rPr>
        <w:t>202</w:t>
      </w:r>
      <w:r>
        <w:rPr>
          <w:rFonts w:hint="eastAsia" w:ascii="仿宋" w:hAnsi="仿宋" w:eastAsia="仿宋" w:cs="仿宋"/>
          <w:b/>
          <w:sz w:val="32"/>
          <w:szCs w:val="32"/>
          <w:lang w:val="en-US" w:eastAsia="zh-CN"/>
        </w:rPr>
        <w:t>4</w:t>
      </w:r>
      <w:r>
        <w:rPr>
          <w:rFonts w:hint="eastAsia" w:ascii="仿宋" w:hAnsi="仿宋" w:eastAsia="仿宋" w:cs="仿宋"/>
          <w:b/>
          <w:sz w:val="32"/>
          <w:szCs w:val="32"/>
        </w:rPr>
        <w:t>年项目资金预算总投入</w:t>
      </w:r>
      <w:r>
        <w:rPr>
          <w:rFonts w:hint="eastAsia" w:ascii="仿宋" w:hAnsi="仿宋" w:eastAsia="仿宋" w:cs="仿宋"/>
          <w:b/>
          <w:sz w:val="32"/>
          <w:szCs w:val="32"/>
          <w:lang w:val="en-US" w:eastAsia="zh-CN"/>
        </w:rPr>
        <w:t>21642.98</w:t>
      </w:r>
      <w:r>
        <w:rPr>
          <w:rFonts w:hint="eastAsia" w:ascii="仿宋" w:hAnsi="仿宋" w:eastAsia="仿宋" w:cs="仿宋"/>
          <w:b/>
          <w:sz w:val="32"/>
          <w:szCs w:val="32"/>
        </w:rPr>
        <w:t>万元。</w:t>
      </w:r>
    </w:p>
    <w:p w14:paraId="5473D244">
      <w:pPr>
        <w:keepNext w:val="0"/>
        <w:keepLines w:val="0"/>
        <w:pageBreakBefore w:val="0"/>
        <w:kinsoku/>
        <w:wordWrap/>
        <w:overflowPunct/>
        <w:topLinePunct w:val="0"/>
        <w:bidi w:val="0"/>
        <w:snapToGrid/>
        <w:spacing w:line="600" w:lineRule="exact"/>
        <w:ind w:firstLine="643" w:firstLineChars="200"/>
        <w:jc w:val="left"/>
        <w:rPr>
          <w:rFonts w:hint="eastAsia" w:ascii="仿宋" w:hAnsi="仿宋" w:eastAsia="仿宋" w:cs="仿宋"/>
          <w:color w:val="000000"/>
          <w:sz w:val="32"/>
          <w:szCs w:val="32"/>
          <w:lang w:val="zu-ZA"/>
        </w:rPr>
      </w:pPr>
      <w:r>
        <w:rPr>
          <w:rFonts w:hint="eastAsia" w:ascii="仿宋" w:hAnsi="仿宋" w:eastAsia="仿宋" w:cs="仿宋"/>
          <w:b/>
          <w:bCs/>
          <w:color w:val="000000"/>
          <w:sz w:val="32"/>
          <w:szCs w:val="32"/>
          <w:lang w:val="zu-ZA"/>
        </w:rPr>
        <w:t>2、202</w:t>
      </w: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lang w:val="zu-ZA"/>
        </w:rPr>
        <w:t>年专项资金实际使用情况分析</w:t>
      </w:r>
    </w:p>
    <w:p w14:paraId="720D70D2">
      <w:pPr>
        <w:pStyle w:val="4"/>
        <w:keepNext w:val="0"/>
        <w:keepLines w:val="0"/>
        <w:pageBreakBefore w:val="0"/>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（1）12345热线、网格信息化及12319热线项目资金实际使用金额</w:t>
      </w:r>
      <w:r>
        <w:rPr>
          <w:rFonts w:hint="eastAsia" w:ascii="仿宋" w:hAnsi="仿宋" w:eastAsia="仿宋" w:cs="仿宋"/>
          <w:color w:val="000000"/>
          <w:kern w:val="2"/>
          <w:sz w:val="32"/>
          <w:szCs w:val="32"/>
          <w:lang w:val="en-US" w:eastAsia="zh-CN" w:bidi="ar-SA"/>
        </w:rPr>
        <w:t>941.41</w:t>
      </w:r>
      <w:r>
        <w:rPr>
          <w:rFonts w:hint="eastAsia" w:ascii="仿宋" w:hAnsi="仿宋" w:eastAsia="仿宋" w:cs="仿宋"/>
          <w:color w:val="000000"/>
          <w:kern w:val="2"/>
          <w:sz w:val="32"/>
          <w:szCs w:val="32"/>
          <w:lang w:val="zu-ZA" w:eastAsia="zh-CN" w:bidi="ar-SA"/>
        </w:rPr>
        <w:t>万元；</w:t>
      </w:r>
    </w:p>
    <w:p w14:paraId="65F3E32B">
      <w:pPr>
        <w:pStyle w:val="4"/>
        <w:keepNext w:val="0"/>
        <w:keepLines w:val="0"/>
        <w:pageBreakBefore w:val="0"/>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 xml:space="preserve">（2）农村公路项目资金实际使用金额 </w:t>
      </w:r>
      <w:r>
        <w:rPr>
          <w:rFonts w:hint="eastAsia" w:ascii="仿宋" w:hAnsi="仿宋" w:eastAsia="仿宋" w:cs="仿宋"/>
          <w:color w:val="000000"/>
          <w:kern w:val="2"/>
          <w:sz w:val="32"/>
          <w:szCs w:val="32"/>
          <w:lang w:val="en-US" w:eastAsia="zh-CN" w:bidi="ar-SA"/>
        </w:rPr>
        <w:t>341.93</w:t>
      </w:r>
      <w:r>
        <w:rPr>
          <w:rFonts w:hint="eastAsia" w:ascii="仿宋" w:hAnsi="仿宋" w:eastAsia="仿宋" w:cs="仿宋"/>
          <w:color w:val="000000"/>
          <w:kern w:val="2"/>
          <w:sz w:val="32"/>
          <w:szCs w:val="32"/>
          <w:lang w:val="zu-ZA" w:eastAsia="zh-CN" w:bidi="ar-SA"/>
        </w:rPr>
        <w:t>万元；</w:t>
      </w:r>
    </w:p>
    <w:p w14:paraId="5726D6BF">
      <w:pPr>
        <w:pStyle w:val="4"/>
        <w:keepNext w:val="0"/>
        <w:keepLines w:val="0"/>
        <w:pageBreakBefore w:val="0"/>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（3）路灯电费及维修项目资金实际使用金额6</w:t>
      </w:r>
      <w:r>
        <w:rPr>
          <w:rFonts w:hint="eastAsia" w:ascii="仿宋" w:hAnsi="仿宋" w:eastAsia="仿宋" w:cs="仿宋"/>
          <w:color w:val="000000"/>
          <w:kern w:val="2"/>
          <w:sz w:val="32"/>
          <w:szCs w:val="32"/>
          <w:lang w:val="en-US" w:eastAsia="zh-CN" w:bidi="ar-SA"/>
        </w:rPr>
        <w:t>07.54</w:t>
      </w:r>
      <w:r>
        <w:rPr>
          <w:rFonts w:hint="eastAsia" w:ascii="仿宋" w:hAnsi="仿宋" w:eastAsia="仿宋" w:cs="仿宋"/>
          <w:color w:val="000000"/>
          <w:kern w:val="2"/>
          <w:sz w:val="32"/>
          <w:szCs w:val="32"/>
          <w:lang w:val="zu-ZA" w:eastAsia="zh-CN" w:bidi="ar-SA"/>
        </w:rPr>
        <w:t>万元；</w:t>
      </w:r>
    </w:p>
    <w:p w14:paraId="7A22DF53">
      <w:pPr>
        <w:pStyle w:val="4"/>
        <w:keepNext w:val="0"/>
        <w:keepLines w:val="0"/>
        <w:pageBreakBefore w:val="0"/>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（4）王家河面源整治项目资金实际使用金额1</w:t>
      </w:r>
      <w:r>
        <w:rPr>
          <w:rFonts w:hint="eastAsia" w:ascii="仿宋" w:hAnsi="仿宋" w:eastAsia="仿宋" w:cs="仿宋"/>
          <w:color w:val="000000"/>
          <w:kern w:val="2"/>
          <w:sz w:val="32"/>
          <w:szCs w:val="32"/>
          <w:lang w:val="en-US" w:eastAsia="zh-CN" w:bidi="ar-SA"/>
        </w:rPr>
        <w:t>24.92</w:t>
      </w:r>
      <w:r>
        <w:rPr>
          <w:rFonts w:hint="eastAsia" w:ascii="仿宋" w:hAnsi="仿宋" w:eastAsia="仿宋" w:cs="仿宋"/>
          <w:color w:val="000000"/>
          <w:kern w:val="2"/>
          <w:sz w:val="32"/>
          <w:szCs w:val="32"/>
          <w:lang w:val="zu-ZA" w:eastAsia="zh-CN" w:bidi="ar-SA"/>
        </w:rPr>
        <w:t>万元；</w:t>
      </w:r>
    </w:p>
    <w:p w14:paraId="7ED20590">
      <w:pPr>
        <w:pStyle w:val="4"/>
        <w:keepNext w:val="0"/>
        <w:keepLines w:val="0"/>
        <w:pageBreakBefore w:val="0"/>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w:t>
      </w:r>
      <w:r>
        <w:rPr>
          <w:rFonts w:hint="eastAsia" w:ascii="仿宋" w:hAnsi="仿宋" w:eastAsia="仿宋" w:cs="仿宋"/>
          <w:color w:val="000000"/>
          <w:kern w:val="2"/>
          <w:sz w:val="32"/>
          <w:szCs w:val="32"/>
          <w:lang w:val="en-US" w:eastAsia="zh-CN" w:bidi="ar-SA"/>
        </w:rPr>
        <w:t>5</w:t>
      </w:r>
      <w:r>
        <w:rPr>
          <w:rFonts w:hint="eastAsia" w:ascii="仿宋" w:hAnsi="仿宋" w:eastAsia="仿宋" w:cs="仿宋"/>
          <w:color w:val="000000"/>
          <w:kern w:val="2"/>
          <w:sz w:val="32"/>
          <w:szCs w:val="32"/>
          <w:lang w:val="zu-ZA" w:eastAsia="zh-CN" w:bidi="ar-SA"/>
        </w:rPr>
        <w:t>）污水运行费实际使用金额：</w:t>
      </w:r>
      <w:r>
        <w:rPr>
          <w:rFonts w:hint="eastAsia" w:ascii="仿宋" w:hAnsi="仿宋" w:eastAsia="仿宋" w:cs="仿宋"/>
          <w:color w:val="000000"/>
          <w:kern w:val="2"/>
          <w:sz w:val="32"/>
          <w:szCs w:val="32"/>
          <w:lang w:val="en-US" w:eastAsia="zh-CN" w:bidi="ar-SA"/>
        </w:rPr>
        <w:t>263.04</w:t>
      </w:r>
      <w:r>
        <w:rPr>
          <w:rFonts w:hint="eastAsia" w:ascii="仿宋" w:hAnsi="仿宋" w:eastAsia="仿宋" w:cs="仿宋"/>
          <w:color w:val="000000"/>
          <w:kern w:val="2"/>
          <w:sz w:val="32"/>
          <w:szCs w:val="32"/>
          <w:lang w:val="zu-ZA" w:eastAsia="zh-CN" w:bidi="ar-SA"/>
        </w:rPr>
        <w:t>万元；</w:t>
      </w:r>
    </w:p>
    <w:p w14:paraId="71CBB6A0">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w:t>
      </w:r>
      <w:r>
        <w:rPr>
          <w:rFonts w:hint="eastAsia" w:ascii="仿宋" w:hAnsi="仿宋" w:eastAsia="仿宋" w:cs="仿宋"/>
          <w:color w:val="000000"/>
          <w:kern w:val="2"/>
          <w:sz w:val="32"/>
          <w:szCs w:val="32"/>
          <w:lang w:val="en-US" w:eastAsia="zh-CN" w:bidi="ar-SA"/>
        </w:rPr>
        <w:t>6</w:t>
      </w:r>
      <w:r>
        <w:rPr>
          <w:rFonts w:hint="eastAsia" w:ascii="仿宋" w:hAnsi="仿宋" w:eastAsia="仿宋" w:cs="仿宋"/>
          <w:color w:val="000000"/>
          <w:kern w:val="2"/>
          <w:sz w:val="32"/>
          <w:szCs w:val="32"/>
          <w:lang w:val="zu-ZA" w:eastAsia="zh-CN" w:bidi="ar-SA"/>
        </w:rPr>
        <w:t>）加装电梯安装补助实际使用金额：</w:t>
      </w:r>
      <w:r>
        <w:rPr>
          <w:rFonts w:hint="eastAsia" w:ascii="仿宋" w:hAnsi="仿宋" w:eastAsia="仿宋" w:cs="仿宋"/>
          <w:color w:val="000000"/>
          <w:kern w:val="2"/>
          <w:sz w:val="32"/>
          <w:szCs w:val="32"/>
          <w:lang w:val="en-US" w:eastAsia="zh-CN" w:bidi="ar-SA"/>
        </w:rPr>
        <w:t>2670</w:t>
      </w:r>
      <w:r>
        <w:rPr>
          <w:rFonts w:hint="eastAsia" w:ascii="仿宋" w:hAnsi="仿宋" w:eastAsia="仿宋" w:cs="仿宋"/>
          <w:color w:val="000000"/>
          <w:kern w:val="2"/>
          <w:sz w:val="32"/>
          <w:szCs w:val="32"/>
          <w:lang w:val="zu-ZA" w:eastAsia="zh-CN" w:bidi="ar-SA"/>
        </w:rPr>
        <w:t>万元；</w:t>
      </w:r>
    </w:p>
    <w:p w14:paraId="72C5D22C">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w:t>
      </w:r>
      <w:r>
        <w:rPr>
          <w:rFonts w:hint="eastAsia" w:ascii="仿宋" w:hAnsi="仿宋" w:eastAsia="仿宋" w:cs="仿宋"/>
          <w:color w:val="000000"/>
          <w:kern w:val="2"/>
          <w:sz w:val="32"/>
          <w:szCs w:val="32"/>
          <w:lang w:val="en-US" w:eastAsia="zh-CN" w:bidi="ar-SA"/>
        </w:rPr>
        <w:t>7</w:t>
      </w:r>
      <w:r>
        <w:rPr>
          <w:rFonts w:hint="eastAsia" w:ascii="仿宋" w:hAnsi="仿宋" w:eastAsia="仿宋" w:cs="仿宋"/>
          <w:color w:val="000000"/>
          <w:kern w:val="2"/>
          <w:sz w:val="32"/>
          <w:szCs w:val="32"/>
          <w:lang w:val="zu-ZA" w:eastAsia="zh-CN" w:bidi="ar-SA"/>
        </w:rPr>
        <w:t>）</w:t>
      </w:r>
      <w:r>
        <w:rPr>
          <w:rFonts w:hint="eastAsia" w:ascii="仿宋" w:hAnsi="仿宋" w:eastAsia="仿宋" w:cs="仿宋"/>
          <w:color w:val="000000"/>
          <w:kern w:val="2"/>
          <w:sz w:val="32"/>
          <w:szCs w:val="32"/>
          <w:lang w:val="en-US" w:eastAsia="zh-CN" w:bidi="ar-SA"/>
        </w:rPr>
        <w:t>文曲巷、天欣路道路工程建设</w:t>
      </w:r>
      <w:r>
        <w:rPr>
          <w:rFonts w:hint="eastAsia" w:ascii="仿宋" w:hAnsi="仿宋" w:eastAsia="仿宋" w:cs="仿宋"/>
          <w:color w:val="000000"/>
          <w:kern w:val="2"/>
          <w:sz w:val="32"/>
          <w:szCs w:val="32"/>
          <w:lang w:val="zu-ZA" w:eastAsia="zh-CN" w:bidi="ar-SA"/>
        </w:rPr>
        <w:t>实际使用金额：</w:t>
      </w:r>
      <w:r>
        <w:rPr>
          <w:rFonts w:hint="eastAsia" w:ascii="仿宋" w:hAnsi="仿宋" w:eastAsia="仿宋" w:cs="仿宋"/>
          <w:color w:val="000000"/>
          <w:kern w:val="2"/>
          <w:sz w:val="32"/>
          <w:szCs w:val="32"/>
          <w:lang w:val="en-US" w:eastAsia="zh-CN" w:bidi="ar-SA"/>
        </w:rPr>
        <w:t>618.03</w:t>
      </w:r>
      <w:r>
        <w:rPr>
          <w:rFonts w:hint="eastAsia" w:ascii="仿宋" w:hAnsi="仿宋" w:eastAsia="仿宋" w:cs="仿宋"/>
          <w:color w:val="000000"/>
          <w:kern w:val="2"/>
          <w:sz w:val="32"/>
          <w:szCs w:val="32"/>
          <w:lang w:val="zu-ZA" w:eastAsia="zh-CN" w:bidi="ar-SA"/>
        </w:rPr>
        <w:t>万元；</w:t>
      </w:r>
    </w:p>
    <w:p w14:paraId="5807EC0C">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en-US" w:eastAsia="zh-CN" w:bidi="ar-SA"/>
        </w:rPr>
        <w:t>（8）新桥南路道路工程建设实际使用金额：595.81元；</w:t>
      </w:r>
    </w:p>
    <w:p w14:paraId="085475C4">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hint="eastAsia" w:ascii="仿宋" w:hAnsi="仿宋" w:eastAsia="仿宋" w:cs="仿宋"/>
          <w:color w:val="000000"/>
          <w:kern w:val="2"/>
          <w:sz w:val="32"/>
          <w:szCs w:val="32"/>
          <w:lang w:val="zu-ZA" w:eastAsia="zh-CN" w:bidi="ar-SA"/>
        </w:rPr>
      </w:pPr>
      <w:r>
        <w:rPr>
          <w:rFonts w:hint="eastAsia" w:ascii="仿宋" w:hAnsi="仿宋" w:eastAsia="仿宋" w:cs="仿宋"/>
          <w:color w:val="000000"/>
          <w:kern w:val="2"/>
          <w:sz w:val="32"/>
          <w:szCs w:val="32"/>
          <w:lang w:val="zu-ZA" w:eastAsia="zh-CN" w:bidi="ar-SA"/>
        </w:rPr>
        <w:t>（</w:t>
      </w:r>
      <w:r>
        <w:rPr>
          <w:rFonts w:hint="eastAsia" w:ascii="仿宋" w:hAnsi="仿宋" w:eastAsia="仿宋" w:cs="仿宋"/>
          <w:color w:val="000000"/>
          <w:kern w:val="2"/>
          <w:sz w:val="32"/>
          <w:szCs w:val="32"/>
          <w:lang w:val="en-US" w:eastAsia="zh-CN" w:bidi="ar-SA"/>
        </w:rPr>
        <w:t>9</w:t>
      </w:r>
      <w:r>
        <w:rPr>
          <w:rFonts w:hint="eastAsia" w:ascii="仿宋" w:hAnsi="仿宋" w:eastAsia="仿宋" w:cs="仿宋"/>
          <w:color w:val="000000"/>
          <w:kern w:val="2"/>
          <w:sz w:val="32"/>
          <w:szCs w:val="32"/>
          <w:lang w:val="zu-ZA" w:eastAsia="zh-CN" w:bidi="ar-SA"/>
        </w:rPr>
        <w:t>）旧城改造中央、省级及配套项目资金（下拨给岳阳楼区汇城建设投资有限公司）：</w:t>
      </w:r>
      <w:r>
        <w:rPr>
          <w:rFonts w:hint="eastAsia" w:ascii="仿宋" w:hAnsi="仿宋" w:eastAsia="仿宋" w:cs="仿宋"/>
          <w:color w:val="000000"/>
          <w:kern w:val="2"/>
          <w:sz w:val="32"/>
          <w:szCs w:val="32"/>
          <w:lang w:val="en-US" w:eastAsia="zh-CN" w:bidi="ar-SA"/>
        </w:rPr>
        <w:t>13683.09</w:t>
      </w:r>
      <w:r>
        <w:rPr>
          <w:rFonts w:hint="eastAsia" w:ascii="仿宋" w:hAnsi="仿宋" w:eastAsia="仿宋" w:cs="仿宋"/>
          <w:color w:val="000000"/>
          <w:kern w:val="2"/>
          <w:sz w:val="32"/>
          <w:szCs w:val="32"/>
          <w:lang w:val="zu-ZA" w:eastAsia="zh-CN" w:bidi="ar-SA"/>
        </w:rPr>
        <w:t>万元；</w:t>
      </w:r>
    </w:p>
    <w:p w14:paraId="73C0EFB1">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hint="default"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（10）</w:t>
      </w:r>
      <w:r>
        <w:rPr>
          <w:rFonts w:hint="eastAsia" w:ascii="仿宋" w:hAnsi="仿宋" w:eastAsia="仿宋" w:cs="仿宋"/>
          <w:color w:val="000000"/>
          <w:kern w:val="2"/>
          <w:sz w:val="32"/>
          <w:szCs w:val="32"/>
          <w:lang w:val="zu-ZA" w:eastAsia="zh-CN" w:bidi="ar-SA"/>
        </w:rPr>
        <w:t>农村客运补贴资金及城市交通发展奖励实际使用资金：</w:t>
      </w:r>
      <w:r>
        <w:rPr>
          <w:rFonts w:hint="eastAsia" w:ascii="仿宋" w:hAnsi="仿宋" w:eastAsia="仿宋" w:cs="仿宋"/>
          <w:color w:val="000000"/>
          <w:kern w:val="2"/>
          <w:sz w:val="32"/>
          <w:szCs w:val="32"/>
          <w:lang w:val="en-US" w:eastAsia="zh-CN" w:bidi="ar-SA"/>
        </w:rPr>
        <w:t>1122.89</w:t>
      </w:r>
      <w:r>
        <w:rPr>
          <w:rFonts w:hint="eastAsia" w:ascii="仿宋" w:hAnsi="仿宋" w:eastAsia="仿宋" w:cs="仿宋"/>
          <w:color w:val="000000"/>
          <w:kern w:val="2"/>
          <w:sz w:val="32"/>
          <w:szCs w:val="32"/>
          <w:lang w:val="zu-ZA" w:eastAsia="zh-CN" w:bidi="ar-SA"/>
        </w:rPr>
        <w:t>万元；</w:t>
      </w:r>
    </w:p>
    <w:p w14:paraId="6B03749C">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1</w:t>
      </w:r>
      <w:r>
        <w:rPr>
          <w:rFonts w:hint="eastAsia" w:ascii="仿宋" w:hAnsi="仿宋" w:eastAsia="仿宋" w:cs="仿宋"/>
          <w:bCs/>
          <w:sz w:val="32"/>
          <w:szCs w:val="32"/>
        </w:rPr>
        <w:t>）特定目标类项目经费实际使用金额：</w:t>
      </w:r>
      <w:r>
        <w:rPr>
          <w:rFonts w:hint="eastAsia" w:ascii="仿宋" w:hAnsi="仿宋" w:eastAsia="仿宋" w:cs="仿宋"/>
          <w:bCs/>
          <w:sz w:val="32"/>
          <w:szCs w:val="32"/>
          <w:lang w:val="en-US" w:eastAsia="zh-CN"/>
        </w:rPr>
        <w:t>167</w:t>
      </w:r>
      <w:r>
        <w:rPr>
          <w:rFonts w:hint="eastAsia" w:ascii="仿宋" w:hAnsi="仿宋" w:eastAsia="仿宋" w:cs="仿宋"/>
          <w:bCs/>
          <w:sz w:val="32"/>
          <w:szCs w:val="32"/>
        </w:rPr>
        <w:t>万元。</w:t>
      </w:r>
    </w:p>
    <w:p w14:paraId="25A5252F">
      <w:pPr>
        <w:pStyle w:val="4"/>
        <w:keepNext w:val="0"/>
        <w:keepLines w:val="0"/>
        <w:pageBreakBefore w:val="0"/>
        <w:tabs>
          <w:tab w:val="left" w:pos="0"/>
        </w:tabs>
        <w:kinsoku/>
        <w:wordWrap/>
        <w:overflowPunct/>
        <w:topLinePunct w:val="0"/>
        <w:bidi w:val="0"/>
        <w:snapToGrid/>
        <w:spacing w:after="0" w:line="600" w:lineRule="exact"/>
        <w:ind w:left="0" w:leftChars="0" w:firstLine="643" w:firstLineChars="200"/>
        <w:rPr>
          <w:rFonts w:ascii="仿宋" w:hAnsi="仿宋" w:eastAsia="仿宋" w:cs="仿宋"/>
          <w:bCs/>
          <w:sz w:val="32"/>
          <w:szCs w:val="32"/>
        </w:rPr>
      </w:pPr>
      <w:r>
        <w:rPr>
          <w:rFonts w:hint="eastAsia" w:ascii="仿宋" w:hAnsi="仿宋" w:eastAsia="仿宋" w:cs="仿宋"/>
          <w:b/>
          <w:sz w:val="32"/>
          <w:szCs w:val="32"/>
        </w:rPr>
        <w:t>202</w:t>
      </w:r>
      <w:r>
        <w:rPr>
          <w:rFonts w:hint="eastAsia" w:ascii="仿宋" w:hAnsi="仿宋" w:eastAsia="仿宋" w:cs="仿宋"/>
          <w:b/>
          <w:sz w:val="32"/>
          <w:szCs w:val="32"/>
          <w:lang w:val="en-US" w:eastAsia="zh-CN"/>
        </w:rPr>
        <w:t>4</w:t>
      </w:r>
      <w:r>
        <w:rPr>
          <w:rFonts w:hint="eastAsia" w:ascii="仿宋" w:hAnsi="仿宋" w:eastAsia="仿宋" w:cs="仿宋"/>
          <w:b/>
          <w:sz w:val="32"/>
          <w:szCs w:val="32"/>
        </w:rPr>
        <w:t>年项目实际使用资金合计</w:t>
      </w:r>
      <w:r>
        <w:rPr>
          <w:rFonts w:hint="eastAsia" w:ascii="仿宋" w:hAnsi="仿宋" w:eastAsia="仿宋" w:cs="仿宋"/>
          <w:b/>
          <w:sz w:val="32"/>
          <w:szCs w:val="32"/>
          <w:lang w:val="en-US" w:eastAsia="zh-CN"/>
        </w:rPr>
        <w:t>21135.66</w:t>
      </w:r>
      <w:r>
        <w:rPr>
          <w:rFonts w:hint="eastAsia" w:ascii="仿宋" w:hAnsi="仿宋" w:eastAsia="仿宋" w:cs="仿宋"/>
          <w:b/>
          <w:sz w:val="32"/>
          <w:szCs w:val="32"/>
        </w:rPr>
        <w:t>万元，未超预算。</w:t>
      </w:r>
    </w:p>
    <w:p w14:paraId="0BDD9504">
      <w:pPr>
        <w:pStyle w:val="4"/>
        <w:keepNext w:val="0"/>
        <w:keepLines w:val="0"/>
        <w:pageBreakBefore w:val="0"/>
        <w:tabs>
          <w:tab w:val="left" w:pos="0"/>
        </w:tabs>
        <w:kinsoku/>
        <w:wordWrap/>
        <w:overflowPunct/>
        <w:topLinePunct w:val="0"/>
        <w:bidi w:val="0"/>
        <w:snapToGrid/>
        <w:spacing w:after="0" w:line="600" w:lineRule="exact"/>
        <w:ind w:left="0" w:leftChars="0" w:firstLine="640" w:firstLineChars="200"/>
        <w:rPr>
          <w:rFonts w:ascii="仿宋" w:hAnsi="仿宋" w:eastAsia="仿宋" w:cs="仿宋"/>
          <w:bCs/>
          <w:sz w:val="32"/>
          <w:szCs w:val="32"/>
        </w:rPr>
      </w:pPr>
      <w:r>
        <w:rPr>
          <w:rFonts w:hint="eastAsia" w:ascii="仿宋" w:hAnsi="仿宋" w:eastAsia="仿宋" w:cs="仿宋"/>
          <w:bCs/>
          <w:sz w:val="32"/>
          <w:szCs w:val="32"/>
        </w:rPr>
        <w:t>3、专项资金管理情况分析</w:t>
      </w:r>
    </w:p>
    <w:p w14:paraId="63708F31">
      <w:pPr>
        <w:keepNext w:val="0"/>
        <w:keepLines w:val="0"/>
        <w:pageBreakBefore w:val="0"/>
        <w:numPr>
          <w:ilvl w:val="0"/>
          <w:numId w:val="0"/>
        </w:numPr>
        <w:tabs>
          <w:tab w:val="left" w:pos="0"/>
        </w:tabs>
        <w:kinsoku/>
        <w:wordWrap/>
        <w:overflowPunct/>
        <w:topLinePunct w:val="0"/>
        <w:bidi w:val="0"/>
        <w:snapToGrid/>
        <w:spacing w:line="600" w:lineRule="exact"/>
        <w:ind w:left="0" w:leftChars="0" w:firstLine="640" w:firstLineChars="200"/>
        <w:rPr>
          <w:rFonts w:ascii="仿宋" w:hAnsi="仿宋" w:eastAsia="仿宋" w:cs="仿宋"/>
          <w:sz w:val="32"/>
          <w:szCs w:val="32"/>
        </w:rPr>
      </w:pPr>
      <w:r>
        <w:rPr>
          <w:rFonts w:ascii="仿宋" w:hAnsi="仿宋" w:eastAsia="仿宋" w:cs="仿宋"/>
          <w:kern w:val="2"/>
          <w:sz w:val="32"/>
          <w:szCs w:val="32"/>
          <w:lang w:val="en-US" w:eastAsia="zh-CN" w:bidi="ar-SA"/>
        </w:rPr>
        <w:t>（1）</w:t>
      </w:r>
      <w:r>
        <w:rPr>
          <w:rFonts w:hint="eastAsia" w:ascii="仿宋" w:hAnsi="仿宋" w:eastAsia="仿宋" w:cs="仿宋"/>
          <w:sz w:val="32"/>
          <w:szCs w:val="32"/>
          <w:shd w:val="clear" w:color="auto" w:fill="FFFFFF"/>
        </w:rPr>
        <w:t>专项资金实行“专人管理、专户储存、专账核算、专项使用”。</w:t>
      </w:r>
    </w:p>
    <w:p w14:paraId="6BD11B07">
      <w:pPr>
        <w:keepNext w:val="0"/>
        <w:keepLines w:val="0"/>
        <w:pageBreakBefore w:val="0"/>
        <w:numPr>
          <w:ilvl w:val="0"/>
          <w:numId w:val="0"/>
        </w:numPr>
        <w:tabs>
          <w:tab w:val="left" w:pos="0"/>
        </w:tabs>
        <w:kinsoku/>
        <w:wordWrap/>
        <w:overflowPunct/>
        <w:topLinePunct w:val="0"/>
        <w:bidi w:val="0"/>
        <w:snapToGrid/>
        <w:spacing w:line="600" w:lineRule="exact"/>
        <w:ind w:left="0" w:leftChars="0"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（2）专项资金实行经财政评审后，资金拨付一律转账结算，杜绝现金支付。</w:t>
      </w:r>
    </w:p>
    <w:p w14:paraId="3498B5A9">
      <w:pPr>
        <w:keepNext w:val="0"/>
        <w:keepLines w:val="0"/>
        <w:pageBreakBefore w:val="0"/>
        <w:numPr>
          <w:ilvl w:val="0"/>
          <w:numId w:val="0"/>
        </w:numPr>
        <w:tabs>
          <w:tab w:val="left" w:pos="0"/>
        </w:tabs>
        <w:kinsoku/>
        <w:wordWrap/>
        <w:overflowPunct/>
        <w:topLinePunct w:val="0"/>
        <w:bidi w:val="0"/>
        <w:snapToGrid/>
        <w:spacing w:line="600" w:lineRule="exact"/>
        <w:ind w:left="0" w:leftChars="0"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（3）专项资金报账拨付要附真实、有效、合法的凭证。</w:t>
      </w:r>
    </w:p>
    <w:p w14:paraId="2CB7601A">
      <w:pPr>
        <w:keepNext w:val="0"/>
        <w:keepLines w:val="0"/>
        <w:pageBreakBefore w:val="0"/>
        <w:numPr>
          <w:ilvl w:val="0"/>
          <w:numId w:val="0"/>
        </w:numPr>
        <w:tabs>
          <w:tab w:val="left" w:pos="0"/>
        </w:tabs>
        <w:kinsoku/>
        <w:wordWrap/>
        <w:overflowPunct/>
        <w:topLinePunct w:val="0"/>
        <w:bidi w:val="0"/>
        <w:snapToGrid/>
        <w:spacing w:line="600" w:lineRule="exact"/>
        <w:ind w:left="0" w:leftChars="0" w:firstLine="640"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sz w:val="32"/>
          <w:szCs w:val="32"/>
          <w:shd w:val="clear" w:color="auto" w:fill="FFFFFF"/>
        </w:rPr>
        <w:t>（4）加强审计监督，实行单项工程决算审计，整体项目验收审计，年度资金收支审计。</w:t>
      </w:r>
    </w:p>
    <w:p w14:paraId="1A10C299">
      <w:pPr>
        <w:keepNext w:val="0"/>
        <w:keepLines w:val="0"/>
        <w:pageBreakBefore w:val="0"/>
        <w:kinsoku/>
        <w:wordWrap/>
        <w:overflowPunct/>
        <w:topLinePunct w:val="0"/>
        <w:bidi w:val="0"/>
        <w:snapToGrid/>
        <w:spacing w:line="600" w:lineRule="exact"/>
        <w:ind w:firstLine="643" w:firstLineChars="200"/>
        <w:jc w:val="left"/>
        <w:rPr>
          <w:rFonts w:ascii="黑体" w:hAnsi="黑体" w:eastAsia="黑体" w:cs="仿宋"/>
          <w:b/>
          <w:bCs/>
          <w:color w:val="000000" w:themeColor="text1"/>
          <w:sz w:val="32"/>
          <w:szCs w:val="32"/>
          <w14:textFill>
            <w14:solidFill>
              <w14:schemeClr w14:val="tx1"/>
            </w14:solidFill>
          </w14:textFill>
        </w:rPr>
      </w:pPr>
      <w:r>
        <w:rPr>
          <w:rFonts w:hint="eastAsia" w:ascii="黑体" w:hAnsi="黑体" w:eastAsia="黑体" w:cs="仿宋"/>
          <w:b/>
          <w:bCs/>
          <w:color w:val="000000" w:themeColor="text1"/>
          <w:sz w:val="32"/>
          <w:szCs w:val="32"/>
          <w14:textFill>
            <w14:solidFill>
              <w14:schemeClr w14:val="tx1"/>
            </w14:solidFill>
          </w14:textFill>
        </w:rPr>
        <w:t>三、政府性基金预算支出情况</w:t>
      </w:r>
    </w:p>
    <w:p w14:paraId="04829C53">
      <w:pPr>
        <w:keepNext w:val="0"/>
        <w:keepLines w:val="0"/>
        <w:pageBreakBefore w:val="0"/>
        <w:kinsoku/>
        <w:wordWrap/>
        <w:overflowPunct/>
        <w:topLinePunct w:val="0"/>
        <w:bidi w:val="0"/>
        <w:snapToGrid/>
        <w:spacing w:after="2"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val="zu-ZA"/>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val="zu-ZA"/>
        </w:rPr>
        <w:t>年度</w:t>
      </w:r>
      <w:r>
        <w:rPr>
          <w:rFonts w:hint="eastAsia" w:ascii="仿宋" w:hAnsi="仿宋" w:eastAsia="仿宋" w:cs="仿宋"/>
          <w:color w:val="000000"/>
          <w:kern w:val="0"/>
          <w:sz w:val="32"/>
          <w:szCs w:val="32"/>
        </w:rPr>
        <w:t>本单位</w:t>
      </w:r>
      <w:r>
        <w:rPr>
          <w:rFonts w:hint="eastAsia" w:ascii="仿宋" w:hAnsi="仿宋" w:eastAsia="仿宋" w:cs="仿宋"/>
          <w:color w:val="000000"/>
          <w:sz w:val="32"/>
          <w:szCs w:val="32"/>
          <w:lang w:val="en-US" w:eastAsia="zh-CN"/>
        </w:rPr>
        <w:t>无</w:t>
      </w:r>
      <w:r>
        <w:rPr>
          <w:rFonts w:hint="eastAsia" w:ascii="仿宋" w:hAnsi="仿宋" w:eastAsia="仿宋" w:cs="仿宋"/>
          <w:color w:val="000000"/>
          <w:sz w:val="32"/>
          <w:szCs w:val="32"/>
          <w:lang w:val="zu-ZA"/>
        </w:rPr>
        <w:t>政府性基金预算</w:t>
      </w:r>
      <w:r>
        <w:rPr>
          <w:rFonts w:hint="eastAsia" w:ascii="仿宋" w:hAnsi="仿宋" w:eastAsia="仿宋" w:cs="仿宋"/>
          <w:color w:val="000000"/>
          <w:sz w:val="32"/>
          <w:szCs w:val="32"/>
          <w:lang w:val="en-US" w:eastAsia="zh-CN"/>
        </w:rPr>
        <w:t>支出</w:t>
      </w:r>
      <w:r>
        <w:rPr>
          <w:rFonts w:hint="eastAsia" w:ascii="仿宋" w:hAnsi="仿宋" w:eastAsia="仿宋" w:cs="仿宋"/>
          <w:sz w:val="32"/>
          <w:szCs w:val="32"/>
        </w:rPr>
        <w:t>。</w:t>
      </w:r>
    </w:p>
    <w:p w14:paraId="614E35C6">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b/>
          <w:bCs/>
          <w:color w:val="000000" w:themeColor="text1"/>
          <w:kern w:val="2"/>
          <w:sz w:val="32"/>
          <w:szCs w:val="32"/>
          <w:lang w:val="en-US" w:eastAsia="zh-CN" w:bidi="ar-SA"/>
          <w14:textFill>
            <w14:solidFill>
              <w14:schemeClr w14:val="tx1"/>
            </w14:solidFill>
          </w14:textFill>
        </w:rPr>
        <w:t>四、</w:t>
      </w:r>
      <w:r>
        <w:rPr>
          <w:rFonts w:hint="eastAsia" w:ascii="黑体" w:hAnsi="黑体" w:eastAsia="黑体" w:cs="仿宋"/>
          <w:b/>
          <w:bCs/>
          <w:color w:val="000000" w:themeColor="text1"/>
          <w:sz w:val="32"/>
          <w:szCs w:val="32"/>
          <w14:textFill>
            <w14:solidFill>
              <w14:schemeClr w14:val="tx1"/>
            </w14:solidFill>
          </w14:textFill>
        </w:rPr>
        <w:t>国有资本经营预算支出情况</w:t>
      </w:r>
    </w:p>
    <w:p w14:paraId="04A5F854">
      <w:pPr>
        <w:keepNext w:val="0"/>
        <w:keepLines w:val="0"/>
        <w:pageBreakBefore w:val="0"/>
        <w:kinsoku/>
        <w:wordWrap/>
        <w:overflowPunct/>
        <w:topLinePunct w:val="0"/>
        <w:autoSpaceDE w:val="0"/>
        <w:autoSpaceDN w:val="0"/>
        <w:bidi w:val="0"/>
        <w:adjustRightInd w:val="0"/>
        <w:snapToGrid/>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年度本单位无国有资本经营预算财政拨款支出。</w:t>
      </w:r>
    </w:p>
    <w:p w14:paraId="661075F9">
      <w:pPr>
        <w:keepNext w:val="0"/>
        <w:keepLines w:val="0"/>
        <w:pageBreakBefore w:val="0"/>
        <w:numPr>
          <w:ilvl w:val="0"/>
          <w:numId w:val="0"/>
        </w:numPr>
        <w:kinsoku/>
        <w:wordWrap/>
        <w:overflowPunct/>
        <w:topLinePunct w:val="0"/>
        <w:bidi w:val="0"/>
        <w:snapToGrid/>
        <w:spacing w:line="600" w:lineRule="exact"/>
        <w:ind w:firstLine="643" w:firstLineChars="200"/>
        <w:jc w:val="left"/>
        <w:rPr>
          <w:rFonts w:hint="eastAsia" w:ascii="仿宋" w:hAnsi="仿宋" w:eastAsia="仿宋" w:cs="仿宋"/>
          <w:b/>
          <w:bCs/>
          <w:color w:val="000000"/>
          <w:kern w:val="2"/>
          <w:sz w:val="32"/>
          <w:szCs w:val="32"/>
          <w:lang w:val="en-US" w:eastAsia="zh-CN" w:bidi="ar-SA"/>
        </w:rPr>
      </w:pPr>
      <w:r>
        <w:rPr>
          <w:rFonts w:hint="eastAsia" w:ascii="黑体" w:hAnsi="黑体" w:eastAsia="黑体" w:cs="仿宋"/>
          <w:b/>
          <w:bCs/>
          <w:color w:val="000000" w:themeColor="text1"/>
          <w:kern w:val="2"/>
          <w:sz w:val="32"/>
          <w:szCs w:val="32"/>
          <w:lang w:val="en-US" w:eastAsia="zh-CN" w:bidi="ar-SA"/>
          <w14:textFill>
            <w14:solidFill>
              <w14:schemeClr w14:val="tx1"/>
            </w14:solidFill>
          </w14:textFill>
        </w:rPr>
        <w:t>五、社会保险基</w:t>
      </w:r>
      <w:r>
        <w:rPr>
          <w:rFonts w:hint="eastAsia" w:ascii="黑体" w:hAnsi="黑体" w:eastAsia="黑体" w:cs="仿宋"/>
          <w:b/>
          <w:bCs/>
          <w:color w:val="000000" w:themeColor="text1"/>
          <w:sz w:val="32"/>
          <w:szCs w:val="32"/>
          <w14:textFill>
            <w14:solidFill>
              <w14:schemeClr w14:val="tx1"/>
            </w14:solidFill>
          </w14:textFill>
        </w:rPr>
        <w:t>金预算支出情况</w:t>
      </w:r>
    </w:p>
    <w:p w14:paraId="68DE4475">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（1）养老保险缴费支出年初预算为103.61万元，支出决算为97.13万元，完成年初预算的93%；</w:t>
      </w:r>
    </w:p>
    <w:p w14:paraId="575D7C42">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（2）医疗险缴费支出年初预算为41.44万元，支出决算为38.86万元，完成年初预算的93%；</w:t>
      </w:r>
    </w:p>
    <w:p w14:paraId="63206731">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0"/>
          <w:sz w:val="32"/>
          <w:szCs w:val="32"/>
        </w:rPr>
      </w:pPr>
      <w:r>
        <w:rPr>
          <w:rFonts w:ascii="仿宋" w:hAnsi="仿宋" w:eastAsia="仿宋" w:cs="仿宋"/>
          <w:color w:val="000000"/>
          <w:kern w:val="0"/>
          <w:sz w:val="32"/>
          <w:szCs w:val="32"/>
          <w:lang w:val="en-US" w:eastAsia="zh-CN" w:bidi="ar-SA"/>
        </w:rPr>
        <w:t>（3）</w:t>
      </w:r>
      <w:r>
        <w:rPr>
          <w:rFonts w:hint="eastAsia" w:ascii="仿宋" w:hAnsi="仿宋" w:eastAsia="仿宋" w:cs="仿宋"/>
          <w:color w:val="000000"/>
          <w:kern w:val="0"/>
          <w:sz w:val="32"/>
          <w:szCs w:val="32"/>
        </w:rPr>
        <w:t>残疾人保障金支出年初预算为4.</w:t>
      </w:r>
      <w:r>
        <w:rPr>
          <w:rFonts w:hint="eastAsia" w:ascii="仿宋" w:hAnsi="仿宋" w:eastAsia="仿宋" w:cs="仿宋"/>
          <w:color w:val="000000"/>
          <w:kern w:val="0"/>
          <w:sz w:val="32"/>
          <w:szCs w:val="32"/>
          <w:lang w:val="en-US" w:eastAsia="zh-CN"/>
        </w:rPr>
        <w:t>58</w:t>
      </w:r>
      <w:r>
        <w:rPr>
          <w:rFonts w:hint="eastAsia" w:ascii="仿宋" w:hAnsi="仿宋" w:eastAsia="仿宋" w:cs="仿宋"/>
          <w:color w:val="000000"/>
          <w:kern w:val="0"/>
          <w:sz w:val="32"/>
          <w:szCs w:val="32"/>
        </w:rPr>
        <w:t>万元，支出决算为4.</w:t>
      </w:r>
      <w:r>
        <w:rPr>
          <w:rFonts w:hint="eastAsia" w:ascii="仿宋" w:hAnsi="仿宋" w:eastAsia="仿宋" w:cs="仿宋"/>
          <w:color w:val="000000"/>
          <w:kern w:val="0"/>
          <w:sz w:val="32"/>
          <w:szCs w:val="32"/>
          <w:lang w:val="en-US" w:eastAsia="zh-CN"/>
        </w:rPr>
        <w:t>58</w:t>
      </w:r>
      <w:r>
        <w:rPr>
          <w:rFonts w:hint="eastAsia" w:ascii="仿宋" w:hAnsi="仿宋" w:eastAsia="仿宋" w:cs="仿宋"/>
          <w:color w:val="000000"/>
          <w:kern w:val="0"/>
          <w:sz w:val="32"/>
          <w:szCs w:val="32"/>
        </w:rPr>
        <w:t>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kern w:val="0"/>
          <w:sz w:val="32"/>
          <w:szCs w:val="32"/>
        </w:rPr>
        <w:t>完成年初预算的100%；</w:t>
      </w:r>
    </w:p>
    <w:p w14:paraId="4723C149">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0"/>
          <w:sz w:val="32"/>
          <w:szCs w:val="32"/>
        </w:rPr>
      </w:pPr>
      <w:r>
        <w:rPr>
          <w:rFonts w:ascii="仿宋" w:hAnsi="仿宋" w:eastAsia="仿宋" w:cs="仿宋"/>
          <w:color w:val="000000"/>
          <w:kern w:val="0"/>
          <w:sz w:val="32"/>
          <w:szCs w:val="32"/>
          <w:lang w:val="en-US" w:eastAsia="zh-CN" w:bidi="ar-SA"/>
        </w:rPr>
        <w:t>（4）</w:t>
      </w:r>
      <w:r>
        <w:rPr>
          <w:rFonts w:hint="eastAsia" w:ascii="仿宋" w:hAnsi="仿宋" w:eastAsia="仿宋" w:cs="仿宋"/>
          <w:color w:val="000000"/>
          <w:kern w:val="0"/>
          <w:sz w:val="32"/>
          <w:szCs w:val="32"/>
        </w:rPr>
        <w:t>住房公积金支出年初预算为</w:t>
      </w:r>
      <w:r>
        <w:rPr>
          <w:rFonts w:hint="eastAsia" w:ascii="仿宋" w:hAnsi="仿宋" w:eastAsia="仿宋" w:cs="仿宋"/>
          <w:color w:val="000000"/>
          <w:kern w:val="0"/>
          <w:sz w:val="32"/>
          <w:szCs w:val="32"/>
          <w:lang w:val="en-US" w:eastAsia="zh-CN"/>
        </w:rPr>
        <w:t>77.71</w:t>
      </w:r>
      <w:r>
        <w:rPr>
          <w:rFonts w:hint="eastAsia" w:ascii="仿宋" w:hAnsi="仿宋" w:eastAsia="仿宋" w:cs="仿宋"/>
          <w:color w:val="000000"/>
          <w:kern w:val="0"/>
          <w:sz w:val="32"/>
          <w:szCs w:val="32"/>
        </w:rPr>
        <w:t>万元，支出决算为</w:t>
      </w:r>
      <w:r>
        <w:rPr>
          <w:rFonts w:hint="eastAsia" w:ascii="仿宋" w:hAnsi="仿宋" w:eastAsia="仿宋" w:cs="仿宋"/>
          <w:color w:val="000000"/>
          <w:kern w:val="0"/>
          <w:sz w:val="32"/>
          <w:szCs w:val="32"/>
          <w:lang w:val="en-US" w:eastAsia="zh-CN"/>
        </w:rPr>
        <w:t>72.56</w:t>
      </w:r>
      <w:r>
        <w:rPr>
          <w:rFonts w:hint="eastAsia" w:ascii="仿宋" w:hAnsi="仿宋" w:eastAsia="仿宋" w:cs="仿宋"/>
          <w:color w:val="000000"/>
          <w:kern w:val="0"/>
          <w:sz w:val="32"/>
          <w:szCs w:val="32"/>
        </w:rPr>
        <w:t>万元，完成年初预算的</w:t>
      </w:r>
      <w:r>
        <w:rPr>
          <w:rFonts w:hint="eastAsia" w:ascii="仿宋" w:hAnsi="仿宋" w:eastAsia="仿宋" w:cs="仿宋"/>
          <w:color w:val="000000"/>
          <w:kern w:val="0"/>
          <w:sz w:val="32"/>
          <w:szCs w:val="32"/>
          <w:lang w:val="en-US" w:eastAsia="zh-CN"/>
        </w:rPr>
        <w:t>93</w:t>
      </w:r>
      <w:r>
        <w:rPr>
          <w:rFonts w:hint="eastAsia" w:ascii="仿宋" w:hAnsi="仿宋" w:eastAsia="仿宋" w:cs="仿宋"/>
          <w:color w:val="000000"/>
          <w:kern w:val="0"/>
          <w:sz w:val="32"/>
          <w:szCs w:val="32"/>
        </w:rPr>
        <w:t>%。</w:t>
      </w:r>
    </w:p>
    <w:p w14:paraId="3B33189C">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0"/>
          <w:sz w:val="32"/>
          <w:szCs w:val="32"/>
        </w:rPr>
      </w:pPr>
      <w:r>
        <w:rPr>
          <w:rFonts w:ascii="仿宋" w:hAnsi="仿宋" w:eastAsia="仿宋" w:cs="仿宋"/>
          <w:color w:val="000000"/>
          <w:kern w:val="0"/>
          <w:sz w:val="32"/>
          <w:szCs w:val="32"/>
          <w:lang w:val="en-US" w:eastAsia="zh-CN" w:bidi="ar-SA"/>
        </w:rPr>
        <w:t>（5）</w:t>
      </w:r>
      <w:r>
        <w:rPr>
          <w:rFonts w:hint="eastAsia" w:ascii="仿宋" w:hAnsi="仿宋" w:eastAsia="仿宋" w:cs="仿宋"/>
          <w:color w:val="000000"/>
          <w:kern w:val="0"/>
          <w:sz w:val="32"/>
          <w:szCs w:val="32"/>
        </w:rPr>
        <w:t>工伤保险支出年初预算为3.</w:t>
      </w:r>
      <w:r>
        <w:rPr>
          <w:rFonts w:hint="eastAsia" w:ascii="仿宋" w:hAnsi="仿宋" w:eastAsia="仿宋" w:cs="仿宋"/>
          <w:color w:val="000000"/>
          <w:kern w:val="0"/>
          <w:sz w:val="32"/>
          <w:szCs w:val="32"/>
          <w:lang w:val="en-US" w:eastAsia="zh-CN"/>
        </w:rPr>
        <w:t>05</w:t>
      </w:r>
      <w:r>
        <w:rPr>
          <w:rFonts w:hint="eastAsia" w:ascii="仿宋" w:hAnsi="仿宋" w:eastAsia="仿宋" w:cs="仿宋"/>
          <w:color w:val="000000"/>
          <w:kern w:val="0"/>
          <w:sz w:val="32"/>
          <w:szCs w:val="32"/>
        </w:rPr>
        <w:t>万元，支出决算为3.</w:t>
      </w:r>
      <w:r>
        <w:rPr>
          <w:rFonts w:hint="eastAsia" w:ascii="仿宋" w:hAnsi="仿宋" w:eastAsia="仿宋" w:cs="仿宋"/>
          <w:color w:val="000000"/>
          <w:kern w:val="0"/>
          <w:sz w:val="32"/>
          <w:szCs w:val="32"/>
          <w:lang w:val="en-US" w:eastAsia="zh-CN"/>
        </w:rPr>
        <w:t>05</w:t>
      </w:r>
      <w:r>
        <w:rPr>
          <w:rFonts w:hint="eastAsia" w:ascii="仿宋" w:hAnsi="仿宋" w:eastAsia="仿宋" w:cs="仿宋"/>
          <w:color w:val="000000"/>
          <w:kern w:val="0"/>
          <w:sz w:val="32"/>
          <w:szCs w:val="32"/>
        </w:rPr>
        <w:t>万元，完成年初预算的100%。</w:t>
      </w:r>
    </w:p>
    <w:p w14:paraId="2DA8D1BB">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黑体" w:hAnsi="黑体" w:eastAsia="黑体" w:cs="仿宋"/>
          <w:b/>
          <w:bCs/>
          <w:color w:val="000000" w:themeColor="text1"/>
          <w:sz w:val="32"/>
          <w:szCs w:val="32"/>
          <w14:textFill>
            <w14:solidFill>
              <w14:schemeClr w14:val="tx1"/>
            </w14:solidFill>
          </w14:textFill>
        </w:rPr>
      </w:pPr>
      <w:bookmarkStart w:id="0" w:name="_GoBack"/>
      <w:r>
        <w:rPr>
          <w:rFonts w:hint="eastAsia" w:ascii="黑体" w:hAnsi="黑体" w:eastAsia="黑体" w:cs="仿宋"/>
          <w:b/>
          <w:bCs/>
          <w:color w:val="000000" w:themeColor="text1"/>
          <w:sz w:val="32"/>
          <w:szCs w:val="32"/>
          <w14:textFill>
            <w14:solidFill>
              <w14:schemeClr w14:val="tx1"/>
            </w14:solidFill>
          </w14:textFill>
        </w:rPr>
        <w:t>六、部门整体支出绩效情况</w:t>
      </w:r>
    </w:p>
    <w:bookmarkEnd w:id="0"/>
    <w:p w14:paraId="2771264B">
      <w:pPr>
        <w:keepNext w:val="0"/>
        <w:keepLines w:val="0"/>
        <w:pageBreakBefore w:val="0"/>
        <w:kinsoku/>
        <w:wordWrap/>
        <w:overflowPunct/>
        <w:topLinePunct w:val="0"/>
        <w:bidi w:val="0"/>
        <w:snapToGrid/>
        <w:spacing w:line="600" w:lineRule="exact"/>
        <w:ind w:firstLine="643" w:firstLineChars="200"/>
        <w:rPr>
          <w:rFonts w:ascii="仿宋" w:hAnsi="仿宋" w:eastAsia="仿宋" w:cs="仿宋"/>
          <w:b/>
          <w:bCs w:val="0"/>
          <w:sz w:val="32"/>
          <w:szCs w:val="32"/>
        </w:rPr>
      </w:pPr>
      <w:r>
        <w:rPr>
          <w:rFonts w:hint="eastAsia" w:ascii="仿宋" w:hAnsi="仿宋" w:eastAsia="仿宋" w:cs="仿宋"/>
          <w:b/>
          <w:bCs w:val="0"/>
          <w:sz w:val="32"/>
          <w:szCs w:val="32"/>
        </w:rPr>
        <w:t>（一）专项组织情况分析</w:t>
      </w:r>
    </w:p>
    <w:p w14:paraId="3D666423">
      <w:pPr>
        <w:pStyle w:val="15"/>
        <w:keepNext w:val="0"/>
        <w:keepLines w:val="0"/>
        <w:pageBreakBefore w:val="0"/>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1、工程项目40万以下20万以上由区财政直接结算评审，其中20万以下由我局负责找第三方结算评审。</w:t>
      </w:r>
    </w:p>
    <w:p w14:paraId="5790F0DE">
      <w:pPr>
        <w:pStyle w:val="15"/>
        <w:keepNext w:val="0"/>
        <w:keepLines w:val="0"/>
        <w:pageBreakBefore w:val="0"/>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2、40万以上的工程项目先由区财政局对该项目进行预算评审；项目完工后再送区财政结算评审；</w:t>
      </w:r>
    </w:p>
    <w:p w14:paraId="06A11612">
      <w:pPr>
        <w:pStyle w:val="15"/>
        <w:keepNext w:val="0"/>
        <w:keepLines w:val="0"/>
        <w:pageBreakBefore w:val="0"/>
        <w:numPr>
          <w:ilvl w:val="0"/>
          <w:numId w:val="2"/>
        </w:numPr>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服务类项目5万元以上（含5万）由区财政负责预算评审，服务类项目5万元以下由我局负责预算评审；</w:t>
      </w:r>
    </w:p>
    <w:p w14:paraId="79A5F24B">
      <w:pPr>
        <w:pStyle w:val="15"/>
        <w:keepNext w:val="0"/>
        <w:keepLines w:val="0"/>
        <w:pageBreakBefore w:val="0"/>
        <w:numPr>
          <w:ilvl w:val="0"/>
          <w:numId w:val="2"/>
        </w:numPr>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工程类60万以上400万以下走政府采购招投标，60万元以下走政府电子卖场。</w:t>
      </w:r>
    </w:p>
    <w:p w14:paraId="45D5CA71">
      <w:pPr>
        <w:pStyle w:val="15"/>
        <w:keepNext w:val="0"/>
        <w:keepLines w:val="0"/>
        <w:pageBreakBefore w:val="0"/>
        <w:numPr>
          <w:ilvl w:val="0"/>
          <w:numId w:val="2"/>
        </w:numPr>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服务类50以上走政府采购招投标，50万以下走政府电子卖场。</w:t>
      </w:r>
    </w:p>
    <w:p w14:paraId="515FD512">
      <w:pPr>
        <w:pStyle w:val="15"/>
        <w:keepNext w:val="0"/>
        <w:keepLines w:val="0"/>
        <w:pageBreakBefore w:val="0"/>
        <w:numPr>
          <w:ilvl w:val="0"/>
          <w:numId w:val="2"/>
        </w:numPr>
        <w:kinsoku/>
        <w:wordWrap/>
        <w:overflowPunct/>
        <w:topLinePunct w:val="0"/>
        <w:bidi w:val="0"/>
        <w:snapToGrid/>
        <w:spacing w:after="0" w:line="600" w:lineRule="exact"/>
        <w:ind w:left="0" w:leftChars="0" w:firstLine="640" w:firstLineChars="200"/>
        <w:rPr>
          <w:rStyle w:val="16"/>
          <w:rFonts w:ascii="仿宋" w:hAnsi="仿宋" w:eastAsia="仿宋" w:cs="仿宋"/>
          <w:sz w:val="32"/>
          <w:szCs w:val="32"/>
        </w:rPr>
      </w:pPr>
      <w:r>
        <w:rPr>
          <w:rStyle w:val="16"/>
          <w:rFonts w:hint="eastAsia" w:ascii="仿宋" w:hAnsi="仿宋" w:eastAsia="仿宋" w:cs="仿宋"/>
          <w:sz w:val="32"/>
          <w:szCs w:val="32"/>
        </w:rPr>
        <w:t>货物类40万以上走政府采购招投标，40万以下走政府电子卖场。</w:t>
      </w:r>
    </w:p>
    <w:p w14:paraId="018C53F0">
      <w:pPr>
        <w:keepNext w:val="0"/>
        <w:keepLines w:val="0"/>
        <w:pageBreakBefore w:val="0"/>
        <w:tabs>
          <w:tab w:val="left" w:pos="0"/>
        </w:tabs>
        <w:kinsoku/>
        <w:wordWrap/>
        <w:overflowPunct/>
        <w:topLinePunct w:val="0"/>
        <w:bidi w:val="0"/>
        <w:snapToGrid/>
        <w:spacing w:line="600" w:lineRule="exact"/>
        <w:ind w:firstLine="643" w:firstLineChars="200"/>
        <w:rPr>
          <w:rFonts w:ascii="仿宋" w:hAnsi="仿宋" w:eastAsia="仿宋" w:cs="仿宋"/>
          <w:b/>
          <w:sz w:val="32"/>
          <w:szCs w:val="32"/>
        </w:rPr>
      </w:pPr>
      <w:r>
        <w:rPr>
          <w:rFonts w:hint="eastAsia" w:ascii="仿宋" w:hAnsi="仿宋" w:eastAsia="仿宋" w:cs="仿宋"/>
          <w:b/>
          <w:bCs w:val="0"/>
          <w:sz w:val="32"/>
          <w:szCs w:val="32"/>
        </w:rPr>
        <w:t>（二）专项管理情况分析</w:t>
      </w:r>
    </w:p>
    <w:p w14:paraId="5656B97E">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1、程序规范，依法实施。严格执行基本建设程序，依次推进项目准备、可行性研究报告审批、规划审批、初步设计及概算审批、施工图及预算审查、工程招投标、开工建设、竣工验收、工程结算、移交接管等环节工作。</w:t>
      </w:r>
    </w:p>
    <w:p w14:paraId="35E222D2">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2、问题导向，全程管控。针对政府公益建设项目管理过程中的技术经济脱节、参与各方责任缺失、工程变更随意等突出问题，靶向施策、精准管控。积极探索推行全过程工程咨询和工程项目管理，加强项目投资各环节管理衔接，健全“估算控制概算，概算控制预算，预算控制结算”管理体系。</w:t>
      </w:r>
    </w:p>
    <w:p w14:paraId="6459EED8">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3、职责明晰，失职倒查。严格落实项目投资全过程负责制、技术经济服务单位服务成果质量终身负责制、审查审核把关责任制，建立责任倒查追究机制，对因失职渎职而导致的投资控制异常、结算超预算的启动责任倒查和追究。</w:t>
      </w:r>
    </w:p>
    <w:p w14:paraId="1E87083D">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4、成立工程项目建设投资管控工作领导小组，由局长任组长，负责项目实施的分管副职任副组长，财务审计股、行政审批股、城市建设股、项目前期股负责人为成员，领导小组办公室设行政审批股，负责统筹协调、日常督办、条文解释等工作。领导小组下设项目建设技术专家咨询库，由戴冠东、李勇、张志、彭志海等3-5名专家组成。</w:t>
      </w:r>
    </w:p>
    <w:p w14:paraId="36D50025">
      <w:pPr>
        <w:pStyle w:val="7"/>
        <w:keepNext w:val="0"/>
        <w:keepLines w:val="0"/>
        <w:pageBreakBefore w:val="0"/>
        <w:widowControl/>
        <w:kinsoku/>
        <w:wordWrap/>
        <w:overflowPunct/>
        <w:topLinePunct w:val="0"/>
        <w:bidi w:val="0"/>
        <w:snapToGrid/>
        <w:spacing w:before="0" w:beforeAutospacing="0" w:after="0" w:afterAutospacing="0" w:line="600" w:lineRule="exact"/>
        <w:ind w:firstLine="643" w:firstLineChars="200"/>
        <w:jc w:val="both"/>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kern w:val="2"/>
          <w:sz w:val="32"/>
          <w:szCs w:val="32"/>
        </w:rPr>
        <w:t>（三）</w:t>
      </w:r>
      <w:r>
        <w:rPr>
          <w:rFonts w:hint="eastAsia" w:ascii="仿宋" w:hAnsi="仿宋" w:eastAsia="仿宋" w:cs="仿宋"/>
          <w:b/>
          <w:bCs/>
          <w:color w:val="000000" w:themeColor="text1"/>
          <w:sz w:val="32"/>
          <w:szCs w:val="32"/>
          <w14:textFill>
            <w14:solidFill>
              <w14:schemeClr w14:val="tx1"/>
            </w14:solidFill>
          </w14:textFill>
        </w:rPr>
        <w:t>运行成本情况分析</w:t>
      </w:r>
    </w:p>
    <w:p w14:paraId="089CD5D5">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color w:val="000000"/>
          <w:sz w:val="32"/>
          <w:szCs w:val="32"/>
          <w:lang w:val="zu-ZA"/>
        </w:rPr>
      </w:pPr>
      <w:r>
        <w:rPr>
          <w:rFonts w:hint="eastAsia" w:ascii="仿宋" w:hAnsi="仿宋" w:eastAsia="仿宋" w:cs="仿宋"/>
          <w:color w:val="000000"/>
          <w:sz w:val="32"/>
          <w:szCs w:val="32"/>
          <w:lang w:val="zu-ZA"/>
        </w:rPr>
        <w:t>（</w:t>
      </w:r>
      <w:r>
        <w:rPr>
          <w:rFonts w:hint="eastAsia" w:ascii="仿宋" w:hAnsi="仿宋" w:eastAsia="仿宋" w:cs="仿宋"/>
          <w:color w:val="000000"/>
          <w:sz w:val="32"/>
          <w:szCs w:val="32"/>
        </w:rPr>
        <w:t>1</w:t>
      </w:r>
      <w:r>
        <w:rPr>
          <w:rFonts w:hint="eastAsia" w:ascii="仿宋" w:hAnsi="仿宋" w:eastAsia="仿宋" w:cs="仿宋"/>
          <w:color w:val="000000"/>
          <w:sz w:val="32"/>
          <w:szCs w:val="32"/>
          <w:lang w:val="zu-ZA"/>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val="zu-ZA"/>
        </w:rPr>
        <w:t>年度财政拨款基本支出年初预算为</w:t>
      </w: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408.27</w:t>
      </w:r>
      <w:r>
        <w:rPr>
          <w:rFonts w:hint="eastAsia" w:ascii="仿宋" w:hAnsi="仿宋" w:eastAsia="仿宋" w:cs="仿宋"/>
          <w:color w:val="000000"/>
          <w:sz w:val="32"/>
          <w:szCs w:val="32"/>
          <w:lang w:val="zu-ZA"/>
        </w:rPr>
        <w:t>万元，支出决算为</w:t>
      </w:r>
      <w:r>
        <w:rPr>
          <w:rFonts w:hint="eastAsia" w:ascii="仿宋" w:hAnsi="仿宋" w:eastAsia="仿宋" w:cs="仿宋"/>
          <w:color w:val="000000"/>
          <w:sz w:val="32"/>
          <w:szCs w:val="32"/>
          <w:lang w:val="en-US" w:eastAsia="zh-CN"/>
        </w:rPr>
        <w:t>1288.87</w:t>
      </w:r>
      <w:r>
        <w:rPr>
          <w:rFonts w:hint="eastAsia" w:ascii="仿宋" w:hAnsi="仿宋" w:eastAsia="仿宋" w:cs="仿宋"/>
          <w:color w:val="000000"/>
          <w:sz w:val="32"/>
          <w:szCs w:val="32"/>
          <w:lang w:val="zu-ZA"/>
        </w:rPr>
        <w:t>万元，完成年初预算的</w:t>
      </w:r>
      <w:r>
        <w:rPr>
          <w:rFonts w:hint="eastAsia" w:ascii="仿宋" w:hAnsi="仿宋" w:eastAsia="仿宋" w:cs="仿宋"/>
          <w:color w:val="000000"/>
          <w:sz w:val="32"/>
          <w:szCs w:val="32"/>
          <w:lang w:val="en-US" w:eastAsia="zh-CN"/>
        </w:rPr>
        <w:t>91</w:t>
      </w:r>
      <w:r>
        <w:rPr>
          <w:rFonts w:hint="eastAsia" w:ascii="仿宋" w:hAnsi="仿宋" w:eastAsia="仿宋" w:cs="仿宋"/>
          <w:color w:val="000000"/>
          <w:sz w:val="32"/>
          <w:szCs w:val="32"/>
          <w:lang w:val="zu-ZA"/>
        </w:rPr>
        <w:t>%；</w:t>
      </w:r>
      <w:r>
        <w:rPr>
          <w:rFonts w:hint="eastAsia" w:ascii="仿宋" w:hAnsi="仿宋" w:eastAsia="仿宋" w:cs="仿宋"/>
          <w:color w:val="000000"/>
          <w:sz w:val="32"/>
          <w:szCs w:val="32"/>
          <w:lang w:val="en-US" w:eastAsia="zh-CN"/>
        </w:rPr>
        <w:t>未超</w:t>
      </w:r>
      <w:r>
        <w:rPr>
          <w:rFonts w:hint="eastAsia" w:ascii="仿宋" w:hAnsi="仿宋" w:eastAsia="仿宋" w:cs="仿宋"/>
          <w:color w:val="000000"/>
          <w:sz w:val="32"/>
          <w:szCs w:val="32"/>
          <w:lang w:val="zu-ZA"/>
        </w:rPr>
        <w:t>预算。</w:t>
      </w:r>
    </w:p>
    <w:p w14:paraId="7B1DDA3C">
      <w:pPr>
        <w:pStyle w:val="7"/>
        <w:keepNext w:val="0"/>
        <w:keepLines w:val="0"/>
        <w:pageBreakBefore w:val="0"/>
        <w:widowControl/>
        <w:kinsoku/>
        <w:wordWrap/>
        <w:overflowPunct/>
        <w:topLinePunct w:val="0"/>
        <w:bidi w:val="0"/>
        <w:snapToGrid/>
        <w:spacing w:before="0" w:beforeAutospacing="0" w:after="0" w:afterAutospacing="0" w:line="60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（2）202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年项目资金的年初预算</w:t>
      </w:r>
      <w:r>
        <w:rPr>
          <w:rFonts w:hint="eastAsia" w:ascii="仿宋" w:hAnsi="仿宋" w:eastAsia="仿宋" w:cs="仿宋"/>
          <w:b/>
          <w:sz w:val="32"/>
          <w:szCs w:val="32"/>
          <w:lang w:val="en-US" w:eastAsia="zh-CN"/>
        </w:rPr>
        <w:t>21642.98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zu-ZA"/>
        </w:rPr>
        <w:t>支出决算为</w:t>
      </w:r>
      <w:r>
        <w:rPr>
          <w:rFonts w:hint="eastAsia" w:ascii="仿宋" w:hAnsi="仿宋" w:eastAsia="仿宋" w:cs="仿宋"/>
          <w:b/>
          <w:sz w:val="32"/>
          <w:szCs w:val="32"/>
          <w:lang w:val="en-US" w:eastAsia="zh-CN"/>
        </w:rPr>
        <w:t>21135.66</w:t>
      </w:r>
      <w:r>
        <w:rPr>
          <w:rFonts w:hint="eastAsia" w:ascii="仿宋" w:hAnsi="仿宋" w:eastAsia="仿宋" w:cs="仿宋"/>
          <w:color w:val="000000"/>
          <w:sz w:val="32"/>
          <w:szCs w:val="32"/>
          <w:lang w:val="zu-ZA"/>
        </w:rPr>
        <w:t>万元，完成年初预算的</w:t>
      </w:r>
      <w:r>
        <w:rPr>
          <w:rFonts w:hint="eastAsia" w:ascii="仿宋" w:hAnsi="仿宋" w:eastAsia="仿宋" w:cs="仿宋"/>
          <w:color w:val="000000"/>
          <w:sz w:val="32"/>
          <w:szCs w:val="32"/>
        </w:rPr>
        <w:t>9</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lang w:val="zu-ZA"/>
        </w:rPr>
        <w:t>%；决算数小于年初预算数的</w:t>
      </w:r>
      <w:r>
        <w:rPr>
          <w:rFonts w:hint="eastAsia" w:ascii="仿宋" w:hAnsi="仿宋" w:eastAsia="仿宋" w:cs="仿宋"/>
          <w:sz w:val="32"/>
          <w:szCs w:val="32"/>
        </w:rPr>
        <w:t>主要原因是：</w:t>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sz w:val="32"/>
          <w:szCs w:val="32"/>
          <w:lang w:val="zu-ZA"/>
        </w:rPr>
        <w:t>20</w:t>
      </w: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年各项目成本进行了严格的控制，</w:t>
      </w:r>
      <w:r>
        <w:rPr>
          <w:rFonts w:hint="eastAsia" w:ascii="仿宋" w:hAnsi="仿宋" w:eastAsia="仿宋" w:cs="仿宋"/>
          <w:spacing w:val="-6"/>
          <w:sz w:val="32"/>
          <w:szCs w:val="32"/>
        </w:rPr>
        <w:t>未超预算。</w:t>
      </w:r>
    </w:p>
    <w:p w14:paraId="590A94F8">
      <w:pPr>
        <w:keepNext w:val="0"/>
        <w:keepLines w:val="0"/>
        <w:pageBreakBefore w:val="0"/>
        <w:kinsoku/>
        <w:wordWrap/>
        <w:overflowPunct/>
        <w:topLinePunct w:val="0"/>
        <w:bidi w:val="0"/>
        <w:snapToGrid/>
        <w:spacing w:line="600" w:lineRule="exact"/>
        <w:ind w:firstLine="643" w:firstLineChars="200"/>
        <w:jc w:val="left"/>
        <w:rPr>
          <w:rFonts w:ascii="仿宋" w:hAnsi="仿宋" w:eastAsia="仿宋" w:cs="仿宋"/>
          <w:b/>
          <w:bCs/>
          <w:sz w:val="32"/>
          <w:szCs w:val="32"/>
        </w:rPr>
      </w:pPr>
      <w:r>
        <w:rPr>
          <w:rFonts w:hint="eastAsia" w:ascii="仿宋" w:hAnsi="仿宋" w:eastAsia="仿宋" w:cs="仿宋"/>
          <w:b/>
          <w:bCs/>
          <w:color w:val="000000" w:themeColor="text1"/>
          <w:sz w:val="32"/>
          <w:szCs w:val="32"/>
          <w14:textFill>
            <w14:solidFill>
              <w14:schemeClr w14:val="tx1"/>
            </w14:solidFill>
          </w14:textFill>
        </w:rPr>
        <w:t>（四）</w:t>
      </w:r>
      <w:r>
        <w:rPr>
          <w:rFonts w:hint="eastAsia" w:ascii="仿宋" w:hAnsi="仿宋" w:eastAsia="仿宋" w:cs="仿宋"/>
          <w:b/>
          <w:bCs/>
          <w:sz w:val="32"/>
          <w:szCs w:val="32"/>
        </w:rPr>
        <w:t>社会效益</w:t>
      </w:r>
    </w:p>
    <w:p w14:paraId="376A91B1">
      <w:pPr>
        <w:keepNext w:val="0"/>
        <w:keepLines w:val="0"/>
        <w:pageBreakBefore w:val="0"/>
        <w:kinsoku/>
        <w:wordWrap/>
        <w:overflowPunct/>
        <w:topLinePunct w:val="0"/>
        <w:bidi w:val="0"/>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（1）202</w:t>
      </w:r>
      <w:r>
        <w:rPr>
          <w:rFonts w:hint="eastAsia" w:ascii="仿宋" w:hAnsi="仿宋" w:eastAsia="仿宋" w:cs="仿宋"/>
          <w:sz w:val="32"/>
          <w:szCs w:val="32"/>
          <w:lang w:val="en-US" w:eastAsia="zh-CN"/>
        </w:rPr>
        <w:t>4</w:t>
      </w:r>
      <w:r>
        <w:rPr>
          <w:rFonts w:hint="eastAsia" w:ascii="仿宋" w:hAnsi="仿宋" w:eastAsia="仿宋" w:cs="仿宋"/>
          <w:sz w:val="32"/>
          <w:szCs w:val="32"/>
        </w:rPr>
        <w:t>年农村公路养护及改造改善农村交通出行条件，完善路网结构，减少拥堵、缩短通行时间，降低运输成本，改善农民生产生活条件，改善村容村貌，提高政府威信;维护社会发展公平等社会效益显著。通过近年来的交通基础设施投入运行，已显著的拉动了上述道路沿线的农村经济发展，农村群众生产、生活模式趋向多元化。</w:t>
      </w:r>
    </w:p>
    <w:p w14:paraId="43C0FC79">
      <w:pPr>
        <w:keepNext w:val="0"/>
        <w:keepLines w:val="0"/>
        <w:pageBreakBefore w:val="0"/>
        <w:kinsoku/>
        <w:wordWrap/>
        <w:overflowPunct/>
        <w:topLinePunct w:val="0"/>
        <w:bidi w:val="0"/>
        <w:snapToGrid/>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rPr>
        <w:t>（2）</w:t>
      </w:r>
      <w:r>
        <w:rPr>
          <w:rFonts w:hint="eastAsia" w:ascii="仿宋" w:hAnsi="仿宋" w:eastAsia="仿宋" w:cs="仿宋"/>
          <w:color w:val="000000"/>
          <w:sz w:val="32"/>
          <w:szCs w:val="32"/>
        </w:rPr>
        <w:t>12345、1231热线、网格信息化及应急项目、路灯维修、污水净化等对区域经济发展产生了间接效益。解决背街小巷的路不平、水不通、灯不亮、</w:t>
      </w:r>
      <w:r>
        <w:rPr>
          <w:rFonts w:hint="eastAsia" w:ascii="仿宋" w:hAnsi="仿宋" w:eastAsia="仿宋" w:cs="仿宋"/>
          <w:color w:val="000000"/>
          <w:sz w:val="32"/>
          <w:szCs w:val="32"/>
          <w:lang w:val="zu-ZA"/>
        </w:rPr>
        <w:t>管网错接、污水</w:t>
      </w:r>
      <w:r>
        <w:rPr>
          <w:rFonts w:hint="eastAsia" w:ascii="仿宋" w:hAnsi="仿宋" w:eastAsia="仿宋" w:cs="仿宋"/>
          <w:color w:val="000000"/>
          <w:sz w:val="32"/>
          <w:szCs w:val="32"/>
        </w:rPr>
        <w:t>的问题，健全了交通微循环的市政基础设施，间接提高了区域经济发展的质量，推进了区域城市化进程。从宏观上改善了区域投资环境，提升区域区位条件，促进区域生产要素的提高。微观上促进区域经济增长，提升区域内的经济运行效率。</w:t>
      </w:r>
    </w:p>
    <w:p w14:paraId="1764DB5D">
      <w:pPr>
        <w:keepNext w:val="0"/>
        <w:keepLines w:val="0"/>
        <w:pageBreakBefore w:val="0"/>
        <w:numPr>
          <w:ilvl w:val="0"/>
          <w:numId w:val="0"/>
        </w:numPr>
        <w:kinsoku/>
        <w:wordWrap/>
        <w:overflowPunct/>
        <w:topLinePunct w:val="0"/>
        <w:bidi w:val="0"/>
        <w:snapToGrid/>
        <w:spacing w:line="600" w:lineRule="exact"/>
        <w:ind w:firstLine="640" w:firstLineChars="200"/>
        <w:jc w:val="left"/>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w:t>
      </w:r>
      <w:r>
        <w:rPr>
          <w:rFonts w:hint="eastAsia" w:ascii="仿宋" w:hAnsi="仿宋" w:eastAsia="仿宋"/>
          <w:sz w:val="32"/>
          <w:szCs w:val="32"/>
        </w:rPr>
        <w:t>老旧小区改造，首先，这一过程有效解决了人口聚集、资源浪费等问题，在提高城市空间利用效率的同时，节约了土地资源；其次，老旧小区改造提升了城市基础设施水平和居民品质，改善了人居环境，提升了居民的居住舒适度。</w:t>
      </w:r>
    </w:p>
    <w:p w14:paraId="39AD8260">
      <w:pPr>
        <w:keepNext w:val="0"/>
        <w:keepLines w:val="0"/>
        <w:pageBreakBefore w:val="0"/>
        <w:numPr>
          <w:ilvl w:val="0"/>
          <w:numId w:val="0"/>
        </w:numPr>
        <w:kinsoku/>
        <w:wordWrap/>
        <w:overflowPunct/>
        <w:topLinePunct w:val="0"/>
        <w:bidi w:val="0"/>
        <w:snapToGrid/>
        <w:spacing w:line="600" w:lineRule="exact"/>
        <w:ind w:firstLine="640" w:firstLineChars="20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4）</w:t>
      </w:r>
      <w:r>
        <w:rPr>
          <w:rFonts w:hint="eastAsia" w:ascii="仿宋" w:hAnsi="仿宋" w:eastAsia="仿宋"/>
          <w:sz w:val="32"/>
          <w:szCs w:val="32"/>
        </w:rPr>
        <w:t>老旧小区</w:t>
      </w:r>
      <w:r>
        <w:rPr>
          <w:rFonts w:hint="eastAsia" w:ascii="仿宋" w:hAnsi="仿宋" w:eastAsia="仿宋" w:cs="仿宋"/>
          <w:color w:val="000000"/>
          <w:kern w:val="0"/>
          <w:sz w:val="32"/>
          <w:szCs w:val="32"/>
          <w:lang w:val="en-US" w:eastAsia="zh-CN"/>
        </w:rPr>
        <w:t>加装电梯，显著提升居民生活质量，尤其老年人和行动不方便者；促进社区适老化和老无障碍环境建设；增强居民的幸福感和获得感；盘活老旧小区资源，促进城市更新；拉动相关产业发展和经济内需；体现政府关怀，提升政府形象。</w:t>
      </w:r>
    </w:p>
    <w:p w14:paraId="52E0D5D7">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仿宋" w:hAnsi="仿宋" w:eastAsia="仿宋" w:cs="仿宋"/>
          <w:b/>
          <w:bCs/>
          <w:sz w:val="32"/>
          <w:szCs w:val="32"/>
        </w:rPr>
      </w:pPr>
      <w:r>
        <w:rPr>
          <w:rFonts w:hint="eastAsia" w:ascii="仿宋" w:hAnsi="仿宋" w:eastAsia="仿宋" w:cs="仿宋"/>
          <w:b/>
          <w:bCs/>
          <w:color w:val="000000" w:themeColor="text1"/>
          <w:sz w:val="32"/>
          <w:szCs w:val="32"/>
          <w14:textFill>
            <w14:solidFill>
              <w14:schemeClr w14:val="tx1"/>
            </w14:solidFill>
          </w14:textFill>
        </w:rPr>
        <w:t>（五）可持续影响</w:t>
      </w:r>
    </w:p>
    <w:p w14:paraId="51ED9751">
      <w:pPr>
        <w:keepNext w:val="0"/>
        <w:keepLines w:val="0"/>
        <w:pageBreakBefore w:val="0"/>
        <w:kinsoku/>
        <w:wordWrap/>
        <w:overflowPunct/>
        <w:topLinePunct w:val="0"/>
        <w:bidi w:val="0"/>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（1）202</w:t>
      </w:r>
      <w:r>
        <w:rPr>
          <w:rFonts w:hint="eastAsia" w:ascii="仿宋" w:hAnsi="仿宋" w:eastAsia="仿宋" w:cs="仿宋"/>
          <w:sz w:val="32"/>
          <w:szCs w:val="32"/>
          <w:lang w:val="en-US" w:eastAsia="zh-CN"/>
        </w:rPr>
        <w:t>4</w:t>
      </w:r>
      <w:r>
        <w:rPr>
          <w:rFonts w:hint="eastAsia" w:ascii="仿宋" w:hAnsi="仿宋" w:eastAsia="仿宋" w:cs="仿宋"/>
          <w:sz w:val="32"/>
          <w:szCs w:val="32"/>
        </w:rPr>
        <w:t>年农村公路的建设养护工程项目是实现农民经济发展的基础设施，是推动农民共同富裕的措施，是实现可持续发展的途径。随着建设养护工程项目的开展，城乡间的交流将愈发频繁，随之带来的乡村经济发展机会、就业机会与日俱增；自然资源得到更好的开发与保护；人民生活水平日渐提高。强化宣传和积极引导沿线广大农村群众参与管理、养护，发挥好民生工程的长期效益，促进城乡之间、区域之间的运输通达能力的可持续影响不断增大。</w:t>
      </w:r>
    </w:p>
    <w:p w14:paraId="5F305B10">
      <w:pPr>
        <w:keepNext w:val="0"/>
        <w:keepLines w:val="0"/>
        <w:pageBreakBefore w:val="0"/>
        <w:kinsoku/>
        <w:wordWrap/>
        <w:overflowPunct/>
        <w:topLinePunct w:val="0"/>
        <w:bidi w:val="0"/>
        <w:snapToGrid/>
        <w:spacing w:line="6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color w:val="000000"/>
          <w:sz w:val="32"/>
          <w:szCs w:val="32"/>
        </w:rPr>
        <w:t>12345、12319热线及应急工程、污水净化、路灯维修等项目的实施，都是从小事着手，通过解决群众周边路不平、水不通等硬件设施维护的小问题，实际上是极大的缓解了人民群众日益增长的美好生活需要和不平衡不充分的发展之间的矛盾，该项目的实施对经济社会、对自然环境和资源保护都有着可持续发展的影响。</w:t>
      </w:r>
    </w:p>
    <w:p w14:paraId="4ED7C194">
      <w:pPr>
        <w:keepNext w:val="0"/>
        <w:keepLines w:val="0"/>
        <w:pageBreakBefore w:val="0"/>
        <w:kinsoku/>
        <w:wordWrap/>
        <w:overflowPunct/>
        <w:topLinePunct w:val="0"/>
        <w:bidi w:val="0"/>
        <w:snapToGrid/>
        <w:spacing w:line="60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color w:val="000000"/>
          <w:sz w:val="32"/>
          <w:szCs w:val="32"/>
        </w:rPr>
        <w:t>通过城市基础设施项目的实施，美化了市容市貌，促进了社会和谐发展，改善了人居环境、提高了城市品味，</w:t>
      </w:r>
      <w:r>
        <w:rPr>
          <w:rFonts w:hint="eastAsia" w:ascii="仿宋" w:hAnsi="仿宋" w:eastAsia="仿宋" w:cs="仿宋"/>
          <w:sz w:val="32"/>
          <w:szCs w:val="32"/>
        </w:rPr>
        <w:t>切实改善居民周边环境，改善了水体水质，</w:t>
      </w:r>
      <w:r>
        <w:rPr>
          <w:rFonts w:hint="eastAsia" w:ascii="仿宋" w:hAnsi="仿宋" w:eastAsia="仿宋" w:cs="仿宋"/>
          <w:color w:val="000000"/>
          <w:sz w:val="32"/>
          <w:szCs w:val="32"/>
        </w:rPr>
        <w:t>产生了较好的经济效益和社会效益，居民满意度大幅提高。</w:t>
      </w:r>
    </w:p>
    <w:p w14:paraId="7934EF92">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仿宋"/>
          <w:b/>
          <w:bCs/>
          <w:color w:val="000000" w:themeColor="text1"/>
          <w:sz w:val="32"/>
          <w:szCs w:val="32"/>
          <w14:textFill>
            <w14:solidFill>
              <w14:schemeClr w14:val="tx1"/>
            </w14:solidFill>
          </w14:textFill>
        </w:rPr>
        <w:t>七、存在的问题及原因分析</w:t>
      </w:r>
    </w:p>
    <w:p w14:paraId="423A8B59">
      <w:pPr>
        <w:keepNext w:val="0"/>
        <w:keepLines w:val="0"/>
        <w:pageBreakBefore w:val="0"/>
        <w:kinsoku/>
        <w:wordWrap/>
        <w:overflowPunct/>
        <w:topLinePunct w:val="0"/>
        <w:bidi w:val="0"/>
        <w:snapToGrid/>
        <w:spacing w:line="600" w:lineRule="exact"/>
        <w:ind w:firstLine="640" w:firstLineChars="200"/>
      </w:pPr>
      <w:r>
        <w:rPr>
          <w:rFonts w:hint="eastAsia" w:ascii="仿宋" w:hAnsi="仿宋" w:eastAsia="仿宋"/>
          <w:sz w:val="32"/>
          <w:szCs w:val="32"/>
        </w:rPr>
        <w:t>一是预算管理制度不够完善，相应的管理制度没有得到有效执行；二是项目实施管理</w:t>
      </w:r>
      <w:r>
        <w:rPr>
          <w:rFonts w:hint="eastAsia" w:ascii="仿宋" w:hAnsi="仿宋" w:eastAsia="仿宋"/>
          <w:sz w:val="32"/>
          <w:szCs w:val="32"/>
          <w:lang w:val="en-US" w:eastAsia="zh-CN"/>
        </w:rPr>
        <w:t>进一步</w:t>
      </w:r>
      <w:r>
        <w:rPr>
          <w:rFonts w:hint="eastAsia" w:ascii="仿宋" w:hAnsi="仿宋" w:eastAsia="仿宋"/>
          <w:sz w:val="32"/>
          <w:szCs w:val="32"/>
        </w:rPr>
        <w:t>规范，项目按期完成；三是预算编制不够合理，一般预算经费较少，存在资金缺口。</w:t>
      </w:r>
    </w:p>
    <w:p w14:paraId="7BE0A9C3">
      <w:pPr>
        <w:keepNext w:val="0"/>
        <w:keepLines w:val="0"/>
        <w:pageBreakBefore w:val="0"/>
        <w:numPr>
          <w:ilvl w:val="0"/>
          <w:numId w:val="0"/>
        </w:numPr>
        <w:kinsoku/>
        <w:wordWrap/>
        <w:overflowPunct/>
        <w:topLinePunct w:val="0"/>
        <w:bidi w:val="0"/>
        <w:snapToGrid/>
        <w:spacing w:line="600" w:lineRule="exact"/>
        <w:ind w:firstLine="643" w:firstLineChars="200"/>
        <w:jc w:val="left"/>
        <w:rPr>
          <w:rFonts w:ascii="仿宋" w:hAnsi="仿宋" w:eastAsia="仿宋" w:cs="仿宋"/>
          <w:b/>
          <w:bCs/>
          <w:color w:val="000000" w:themeColor="text1"/>
          <w:sz w:val="32"/>
          <w:szCs w:val="32"/>
          <w14:textFill>
            <w14:solidFill>
              <w14:schemeClr w14:val="tx1"/>
            </w14:solidFill>
          </w14:textFill>
        </w:rPr>
      </w:pPr>
      <w:r>
        <w:rPr>
          <w:rFonts w:hint="eastAsia" w:ascii="黑体" w:hAnsi="黑体" w:eastAsia="黑体" w:cs="仿宋"/>
          <w:b/>
          <w:bCs/>
          <w:color w:val="000000" w:themeColor="text1"/>
          <w:sz w:val="32"/>
          <w:szCs w:val="32"/>
          <w:lang w:val="en-US" w:eastAsia="zh-CN"/>
          <w14:textFill>
            <w14:solidFill>
              <w14:schemeClr w14:val="tx1"/>
            </w14:solidFill>
          </w14:textFill>
        </w:rPr>
        <w:t>八、</w:t>
      </w:r>
      <w:r>
        <w:rPr>
          <w:rFonts w:hint="eastAsia" w:ascii="黑体" w:hAnsi="黑体" w:eastAsia="黑体" w:cs="仿宋"/>
          <w:b/>
          <w:bCs/>
          <w:color w:val="000000" w:themeColor="text1"/>
          <w:sz w:val="32"/>
          <w:szCs w:val="32"/>
          <w14:textFill>
            <w14:solidFill>
              <w14:schemeClr w14:val="tx1"/>
            </w14:solidFill>
          </w14:textFill>
        </w:rPr>
        <w:t>下一步改进措施</w:t>
      </w:r>
    </w:p>
    <w:p w14:paraId="144A3FD7">
      <w:pPr>
        <w:keepNext w:val="0"/>
        <w:keepLines w:val="0"/>
        <w:pageBreakBefore w:val="0"/>
        <w:kinsoku/>
        <w:wordWrap/>
        <w:overflowPunct/>
        <w:topLinePunct w:val="0"/>
        <w:autoSpaceDE w:val="0"/>
        <w:autoSpaceDN w:val="0"/>
        <w:bidi w:val="0"/>
        <w:adjustRightInd w:val="0"/>
        <w:snapToGrid/>
        <w:spacing w:line="600" w:lineRule="exact"/>
        <w:ind w:firstLine="640" w:firstLineChars="20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sz w:val="32"/>
          <w:szCs w:val="32"/>
        </w:rPr>
        <w:t>一是根据实际情况完善预算管理制度等财务制度，强化行政管理职能，确保预算管理制度得到贯彻落实；二是</w:t>
      </w:r>
      <w:r>
        <w:rPr>
          <w:rFonts w:hint="eastAsia" w:ascii="仿宋_GB2312" w:hAnsi="仿宋_GB2312" w:eastAsia="仿宋_GB2312" w:cs="宋体"/>
          <w:sz w:val="32"/>
          <w:szCs w:val="30"/>
        </w:rPr>
        <w:t>加强工程进度管理，规范工作流程，及时按照要求完成建设任务；</w:t>
      </w:r>
      <w:r>
        <w:rPr>
          <w:rFonts w:hint="eastAsia" w:ascii="仿宋" w:hAnsi="仿宋" w:eastAsia="仿宋"/>
          <w:sz w:val="32"/>
          <w:szCs w:val="32"/>
        </w:rPr>
        <w:t>三是加强预算管理，定期做好预算执行情况分析，按照预算规定的项目和用途严格财务审核，经费支出严格按预算规定项目的支出内容进行财务核算，在预算金额内严格控制费用的支出。</w:t>
      </w:r>
    </w:p>
    <w:p w14:paraId="487A5C07">
      <w:pPr>
        <w:keepNext w:val="0"/>
        <w:keepLines w:val="0"/>
        <w:pageBreakBefore w:val="0"/>
        <w:numPr>
          <w:ilvl w:val="0"/>
          <w:numId w:val="0"/>
        </w:numPr>
        <w:kinsoku/>
        <w:wordWrap/>
        <w:overflowPunct/>
        <w:topLinePunct w:val="0"/>
        <w:bidi w:val="0"/>
        <w:snapToGrid/>
        <w:spacing w:line="600" w:lineRule="exact"/>
        <w:ind w:firstLine="643" w:firstLineChars="200"/>
        <w:jc w:val="left"/>
        <w:rPr>
          <w:rFonts w:hint="eastAsia" w:ascii="黑体" w:hAnsi="黑体" w:eastAsia="黑体" w:cs="仿宋"/>
          <w:b/>
          <w:bCs/>
          <w:color w:val="000000" w:themeColor="text1"/>
          <w:sz w:val="32"/>
          <w:szCs w:val="32"/>
          <w:lang w:val="en-US" w:eastAsia="zh-CN"/>
          <w14:textFill>
            <w14:solidFill>
              <w14:schemeClr w14:val="tx1"/>
            </w14:solidFill>
          </w14:textFill>
        </w:rPr>
      </w:pPr>
      <w:r>
        <w:rPr>
          <w:rFonts w:hint="eastAsia" w:ascii="黑体" w:hAnsi="黑体" w:eastAsia="黑体" w:cs="仿宋"/>
          <w:b/>
          <w:bCs/>
          <w:color w:val="000000" w:themeColor="text1"/>
          <w:sz w:val="32"/>
          <w:szCs w:val="32"/>
          <w:lang w:val="en-US" w:eastAsia="zh-CN"/>
          <w14:textFill>
            <w14:solidFill>
              <w14:schemeClr w14:val="tx1"/>
            </w14:solidFill>
          </w14:textFill>
        </w:rPr>
        <w:t>九、部门整体支出绩效自评结果拟应用和公开情况</w:t>
      </w:r>
    </w:p>
    <w:p w14:paraId="1C66F996">
      <w:pPr>
        <w:keepNext w:val="0"/>
        <w:keepLines w:val="0"/>
        <w:pageBreakBefore w:val="0"/>
        <w:kinsoku/>
        <w:wordWrap/>
        <w:overflowPunct/>
        <w:topLinePunct w:val="0"/>
        <w:bidi w:val="0"/>
        <w:snapToGrid/>
        <w:spacing w:line="600" w:lineRule="exact"/>
        <w:ind w:firstLine="640" w:firstLineChars="200"/>
        <w:jc w:val="left"/>
        <w:rPr>
          <w:rFonts w:hint="eastAsia" w:ascii="仿宋_GB2312" w:hAnsi="仿宋_GB2312" w:eastAsia="仿宋_GB2312" w:cs="仿宋_GB2312"/>
          <w:sz w:val="32"/>
          <w:szCs w:val="32"/>
        </w:rPr>
      </w:pPr>
      <w:r>
        <w:rPr>
          <w:rFonts w:hint="eastAsia" w:ascii="仿宋" w:hAnsi="仿宋" w:eastAsia="仿宋" w:cs="仿宋"/>
          <w:color w:val="000000" w:themeColor="text1"/>
          <w:sz w:val="32"/>
          <w:szCs w:val="32"/>
          <w14:textFill>
            <w14:solidFill>
              <w14:schemeClr w14:val="tx1"/>
            </w14:solidFill>
          </w14:textFill>
        </w:rPr>
        <w:t>其他需要说明的情况</w:t>
      </w: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ED6743C-D732-4AEB-860F-D1F06802B8AC}"/>
  </w:font>
  <w:font w:name="黑体">
    <w:panose1 w:val="02010609060101010101"/>
    <w:charset w:val="86"/>
    <w:family w:val="auto"/>
    <w:pitch w:val="default"/>
    <w:sig w:usb0="800002BF" w:usb1="38CF7CFA" w:usb2="00000016" w:usb3="00000000" w:csb0="00040001" w:csb1="00000000"/>
    <w:embedRegular r:id="rId2" w:fontKey="{D0121BB4-6751-4605-B370-ED4B4E9A39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FC316E69-6A19-40C8-AABA-74518C95DF89}"/>
  </w:font>
  <w:font w:name="方正小标宋简体">
    <w:panose1 w:val="02010600010101010101"/>
    <w:charset w:val="86"/>
    <w:family w:val="auto"/>
    <w:pitch w:val="default"/>
    <w:sig w:usb0="00000001" w:usb1="080E0000" w:usb2="00000000" w:usb3="00000000" w:csb0="00040000" w:csb1="00000000"/>
    <w:embedRegular r:id="rId4" w:fontKey="{BE3FADA0-6AB6-4776-8DF6-1C6B10F416AA}"/>
  </w:font>
  <w:font w:name="新宋体">
    <w:panose1 w:val="02010609030101010101"/>
    <w:charset w:val="86"/>
    <w:family w:val="auto"/>
    <w:pitch w:val="default"/>
    <w:sig w:usb0="00000203" w:usb1="288F0000" w:usb2="00000006" w:usb3="00000000" w:csb0="00040001" w:csb1="00000000"/>
    <w:embedRegular r:id="rId5" w:fontKey="{12409D35-CF4E-4549-BD7F-F471376D53F2}"/>
  </w:font>
  <w:font w:name="仿宋_GB2312">
    <w:altName w:val="仿宋"/>
    <w:panose1 w:val="02010609030101010101"/>
    <w:charset w:val="86"/>
    <w:family w:val="auto"/>
    <w:pitch w:val="default"/>
    <w:sig w:usb0="00000000" w:usb1="00000000" w:usb2="00000000" w:usb3="00000000" w:csb0="00040000" w:csb1="00000000"/>
    <w:embedRegular r:id="rId6" w:fontKey="{2CC1DA0C-5E7D-4D0C-9794-ED32FB660015}"/>
  </w:font>
  <w:font w:name="Tahoma">
    <w:panose1 w:val="020B0604030504040204"/>
    <w:charset w:val="00"/>
    <w:family w:val="swiss"/>
    <w:pitch w:val="default"/>
    <w:sig w:usb0="E1002EFF" w:usb1="C000605B" w:usb2="00000029" w:usb3="00000000" w:csb0="200101FF" w:csb1="20280000"/>
    <w:embedRegular r:id="rId7" w:fontKey="{AE883112-7442-4E4B-9934-42AF493FE9A9}"/>
  </w:font>
  <w:font w:name="WPSEMBED4">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ED87">
    <w:pPr>
      <w:pStyle w:val="3"/>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E4AD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A6E4AD2">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3"/>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8066"/>
    <w:multiLevelType w:val="singleLevel"/>
    <w:tmpl w:val="83FA8066"/>
    <w:lvl w:ilvl="0" w:tentative="0">
      <w:start w:val="3"/>
      <w:numFmt w:val="decimal"/>
      <w:suff w:val="nothing"/>
      <w:lvlText w:val="%1、"/>
      <w:lvlJc w:val="left"/>
    </w:lvl>
  </w:abstractNum>
  <w:abstractNum w:abstractNumId="1">
    <w:nsid w:val="3CA74E7D"/>
    <w:multiLevelType w:val="singleLevel"/>
    <w:tmpl w:val="3CA74E7D"/>
    <w:lvl w:ilvl="0" w:tentative="0">
      <w:start w:val="2"/>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9F4D88"/>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C592B"/>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01427"/>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4253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4F67558"/>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0685"/>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16441"/>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EC2EE2"/>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E71D5C"/>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88337F"/>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9E4042"/>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5BB1"/>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7F118B"/>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650387"/>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53BD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Body Text Indent 2"/>
    <w:basedOn w:val="1"/>
    <w:qFormat/>
    <w:uiPriority w:val="0"/>
    <w:pPr>
      <w:spacing w:after="120" w:line="480" w:lineRule="auto"/>
      <w:ind w:left="20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_Style 1"/>
    <w:basedOn w:val="1"/>
    <w:qFormat/>
    <w:uiPriority w:val="0"/>
  </w:style>
  <w:style w:type="paragraph" w:customStyle="1" w:styleId="13">
    <w:name w:val="BodyText1I2"/>
    <w:basedOn w:val="14"/>
    <w:qFormat/>
    <w:uiPriority w:val="0"/>
    <w:pPr>
      <w:spacing w:after="0"/>
    </w:pPr>
  </w:style>
  <w:style w:type="paragraph" w:customStyle="1" w:styleId="14">
    <w:name w:val="BodyTextIndent"/>
    <w:basedOn w:val="1"/>
    <w:qFormat/>
    <w:uiPriority w:val="0"/>
    <w:pPr>
      <w:spacing w:after="120"/>
      <w:ind w:left="200" w:leftChars="200"/>
      <w:textAlignment w:val="baseline"/>
    </w:pPr>
  </w:style>
  <w:style w:type="paragraph" w:customStyle="1" w:styleId="15">
    <w:name w:val="BodyTextIndent2"/>
    <w:basedOn w:val="1"/>
    <w:qFormat/>
    <w:uiPriority w:val="0"/>
    <w:pPr>
      <w:widowControl/>
      <w:spacing w:after="120" w:line="480" w:lineRule="auto"/>
      <w:ind w:left="200" w:leftChars="200"/>
      <w:textAlignment w:val="baseline"/>
    </w:pPr>
    <w:rPr>
      <w:rFonts w:cs="Times New Roman"/>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6126</Words>
  <Characters>7160</Characters>
  <Lines>0</Lines>
  <Paragraphs>0</Paragraphs>
  <TotalTime>2</TotalTime>
  <ScaleCrop>false</ScaleCrop>
  <LinksUpToDate>false</LinksUpToDate>
  <CharactersWithSpaces>7182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烟雨胡同</cp:lastModifiedBy>
  <dcterms:modified xsi:type="dcterms:W3CDTF">2026-09-03T15:28:59Z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87AA8B3FFABD48B7B5D9349E7CC00620_13</vt:lpwstr>
  </property>
  <property fmtid="{D5CDD505-2E9C-101B-9397-08002B2CF9AE}" pid="4" name="KSOTemplateDocerSaveRecord">
    <vt:lpwstr>eyJoZGlkIjoiZWFkMzQ0MzRlNzcyNjcwMGM5NjNmNDc2MTJiNzBhYzgiLCJ1c2VySWQiOiI0MTIxMDY5NjYifQ==</vt:lpwstr>
  </property>
</Properties>
</file>