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3A5D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黑体" w:hAnsi="黑体" w:eastAsia="黑体" w:cs="黑体"/>
          <w:b w:val="0"/>
          <w:bCs w:val="0"/>
          <w:color w:val="000000"/>
          <w:spacing w:val="1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000000"/>
          <w:spacing w:val="10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b w:val="0"/>
          <w:bCs w:val="0"/>
          <w:color w:val="000000"/>
          <w:spacing w:val="10"/>
          <w:sz w:val="32"/>
          <w:szCs w:val="32"/>
          <w:lang w:val="en-US" w:eastAsia="zh-CN"/>
        </w:rPr>
        <w:t>1</w:t>
      </w:r>
    </w:p>
    <w:p w14:paraId="4BBB85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right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</w:rPr>
        <w:t>年度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  <w:t>预算单位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</w:rPr>
        <w:t>整体支出绩效评价基础数据表</w:t>
      </w:r>
    </w:p>
    <w:p w14:paraId="0781CB95">
      <w:pPr>
        <w:spacing w:line="115" w:lineRule="exact"/>
        <w:rPr>
          <w:rFonts w:ascii="Calibri" w:hAnsi="Calibri" w:eastAsia="宋体" w:cs="Times New Roman"/>
          <w:color w:val="000000"/>
        </w:rPr>
      </w:pPr>
    </w:p>
    <w:tbl>
      <w:tblPr>
        <w:tblStyle w:val="7"/>
        <w:tblW w:w="966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850"/>
        <w:gridCol w:w="825"/>
        <w:gridCol w:w="990"/>
        <w:gridCol w:w="1140"/>
        <w:gridCol w:w="1185"/>
        <w:gridCol w:w="810"/>
        <w:gridCol w:w="869"/>
      </w:tblGrid>
      <w:tr w14:paraId="2D8FA2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3850" w:type="dxa"/>
            <w:tcBorders>
              <w:bottom w:val="nil"/>
            </w:tcBorders>
            <w:noWrap w:val="0"/>
            <w:vAlign w:val="center"/>
          </w:tcPr>
          <w:p w14:paraId="48F635B7">
            <w:pPr>
              <w:spacing w:before="33" w:line="198" w:lineRule="auto"/>
              <w:ind w:right="118" w:rightChars="0"/>
              <w:jc w:val="center"/>
              <w:rPr>
                <w:rFonts w:hint="eastAsia" w:ascii="宋体" w:hAnsi="宋体" w:eastAsia="宋体" w:cs="宋体"/>
                <w:color w:val="000000"/>
                <w:spacing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2"/>
                <w:sz w:val="24"/>
                <w:szCs w:val="24"/>
              </w:rPr>
              <w:t>预算</w:t>
            </w:r>
            <w:r>
              <w:rPr>
                <w:rFonts w:hint="eastAsia" w:ascii="宋体" w:hAnsi="宋体" w:eastAsia="宋体" w:cs="宋体"/>
                <w:color w:val="000000"/>
                <w:spacing w:val="2"/>
                <w:sz w:val="24"/>
                <w:szCs w:val="24"/>
                <w:lang w:eastAsia="zh-CN"/>
              </w:rPr>
              <w:t>单位</w:t>
            </w:r>
            <w:r>
              <w:rPr>
                <w:rFonts w:hint="eastAsia" w:ascii="宋体" w:hAnsi="宋体" w:eastAsia="宋体" w:cs="宋体"/>
                <w:color w:val="000000"/>
                <w:spacing w:val="2"/>
                <w:sz w:val="24"/>
                <w:szCs w:val="24"/>
              </w:rPr>
              <w:t>名称</w:t>
            </w:r>
          </w:p>
        </w:tc>
        <w:tc>
          <w:tcPr>
            <w:tcW w:w="5819" w:type="dxa"/>
            <w:gridSpan w:val="6"/>
            <w:noWrap w:val="0"/>
            <w:vAlign w:val="center"/>
          </w:tcPr>
          <w:p w14:paraId="4BE6B102">
            <w:pPr>
              <w:spacing w:before="103" w:line="219" w:lineRule="auto"/>
              <w:ind w:left="708"/>
              <w:jc w:val="center"/>
              <w:rPr>
                <w:rFonts w:hint="default" w:ascii="宋体" w:hAnsi="宋体" w:eastAsia="宋体" w:cs="宋体"/>
                <w:color w:val="000000"/>
                <w:spacing w:val="-2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-2"/>
                <w:sz w:val="24"/>
                <w:szCs w:val="24"/>
                <w:lang w:val="en-US" w:eastAsia="zh-CN"/>
              </w:rPr>
              <w:t>岳阳市岳阳楼区供销合作联社</w:t>
            </w:r>
          </w:p>
        </w:tc>
      </w:tr>
      <w:tr w14:paraId="046EC4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3850" w:type="dxa"/>
            <w:vMerge w:val="restart"/>
            <w:tcBorders>
              <w:bottom w:val="nil"/>
            </w:tcBorders>
            <w:noWrap w:val="0"/>
            <w:vAlign w:val="top"/>
          </w:tcPr>
          <w:p w14:paraId="1DD67F8D">
            <w:pPr>
              <w:spacing w:before="262" w:line="219" w:lineRule="auto"/>
              <w:ind w:left="575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3"/>
                <w:sz w:val="24"/>
                <w:szCs w:val="24"/>
              </w:rPr>
              <w:t>财政供养人员情况(人)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68DFC5CA">
            <w:pPr>
              <w:spacing w:before="103" w:line="219" w:lineRule="auto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-3"/>
                <w:sz w:val="24"/>
                <w:szCs w:val="24"/>
              </w:rPr>
              <w:t>编制数</w:t>
            </w:r>
          </w:p>
        </w:tc>
        <w:tc>
          <w:tcPr>
            <w:tcW w:w="2325" w:type="dxa"/>
            <w:gridSpan w:val="2"/>
            <w:noWrap w:val="0"/>
            <w:vAlign w:val="top"/>
          </w:tcPr>
          <w:p w14:paraId="148A1BC2">
            <w:pPr>
              <w:spacing w:before="83" w:line="219" w:lineRule="auto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-1"/>
                <w:sz w:val="24"/>
                <w:szCs w:val="24"/>
                <w:lang w:eastAsia="zh-CN"/>
              </w:rPr>
              <w:t>202</w:t>
            </w:r>
            <w:r>
              <w:rPr>
                <w:rFonts w:hint="eastAsia" w:ascii="宋体" w:hAnsi="宋体" w:eastAsia="宋体" w:cs="宋体"/>
                <w:color w:val="000000"/>
                <w:spacing w:val="-1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000000"/>
                <w:spacing w:val="-1"/>
                <w:sz w:val="24"/>
                <w:szCs w:val="24"/>
              </w:rPr>
              <w:t>年实际在职人数</w:t>
            </w:r>
          </w:p>
        </w:tc>
        <w:tc>
          <w:tcPr>
            <w:tcW w:w="1679" w:type="dxa"/>
            <w:gridSpan w:val="2"/>
            <w:noWrap w:val="0"/>
            <w:vAlign w:val="top"/>
          </w:tcPr>
          <w:p w14:paraId="3C3AB531">
            <w:pPr>
              <w:spacing w:before="103" w:line="219" w:lineRule="auto"/>
              <w:ind w:left="708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-2"/>
                <w:sz w:val="24"/>
                <w:szCs w:val="24"/>
              </w:rPr>
              <w:t>控制率</w:t>
            </w:r>
          </w:p>
        </w:tc>
      </w:tr>
      <w:tr w14:paraId="02CBC9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850" w:type="dxa"/>
            <w:vMerge w:val="continue"/>
            <w:tcBorders>
              <w:top w:val="nil"/>
            </w:tcBorders>
            <w:noWrap w:val="0"/>
            <w:vAlign w:val="top"/>
          </w:tcPr>
          <w:p w14:paraId="02CF748C">
            <w:pPr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815" w:type="dxa"/>
            <w:gridSpan w:val="2"/>
            <w:noWrap w:val="0"/>
            <w:vAlign w:val="top"/>
          </w:tcPr>
          <w:p w14:paraId="084D1E14"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49</w:t>
            </w:r>
          </w:p>
        </w:tc>
        <w:tc>
          <w:tcPr>
            <w:tcW w:w="2325" w:type="dxa"/>
            <w:gridSpan w:val="2"/>
            <w:noWrap w:val="0"/>
            <w:vAlign w:val="top"/>
          </w:tcPr>
          <w:p w14:paraId="78321523"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45</w:t>
            </w:r>
          </w:p>
        </w:tc>
        <w:tc>
          <w:tcPr>
            <w:tcW w:w="1679" w:type="dxa"/>
            <w:gridSpan w:val="2"/>
            <w:noWrap w:val="0"/>
            <w:vAlign w:val="top"/>
          </w:tcPr>
          <w:p w14:paraId="359F3037">
            <w:pPr>
              <w:jc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91.84%</w:t>
            </w:r>
          </w:p>
        </w:tc>
      </w:tr>
      <w:tr w14:paraId="3800AD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3850" w:type="dxa"/>
            <w:noWrap w:val="0"/>
            <w:vAlign w:val="top"/>
          </w:tcPr>
          <w:p w14:paraId="6D9FFC8B">
            <w:pPr>
              <w:spacing w:before="140" w:line="202" w:lineRule="auto"/>
              <w:ind w:left="68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4"/>
                <w:sz w:val="24"/>
                <w:szCs w:val="24"/>
              </w:rPr>
              <w:t>经费控制情况(万元)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0D123C3D">
            <w:pPr>
              <w:spacing w:before="119" w:line="219" w:lineRule="auto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-2"/>
                <w:sz w:val="24"/>
                <w:szCs w:val="24"/>
              </w:rPr>
              <w:t>202</w:t>
            </w:r>
            <w:r>
              <w:rPr>
                <w:rFonts w:hint="eastAsia" w:ascii="宋体" w:hAnsi="宋体" w:eastAsia="宋体" w:cs="宋体"/>
                <w:color w:val="000000"/>
                <w:spacing w:val="-2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color w:val="000000"/>
                <w:spacing w:val="-2"/>
                <w:sz w:val="24"/>
                <w:szCs w:val="24"/>
              </w:rPr>
              <w:t>年决算数</w:t>
            </w:r>
          </w:p>
        </w:tc>
        <w:tc>
          <w:tcPr>
            <w:tcW w:w="2325" w:type="dxa"/>
            <w:gridSpan w:val="2"/>
            <w:noWrap w:val="0"/>
            <w:vAlign w:val="top"/>
          </w:tcPr>
          <w:p w14:paraId="29E63B35">
            <w:pPr>
              <w:spacing w:before="119" w:line="219" w:lineRule="auto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-2"/>
                <w:sz w:val="24"/>
                <w:szCs w:val="24"/>
                <w:lang w:eastAsia="zh-CN"/>
              </w:rPr>
              <w:t>202</w:t>
            </w:r>
            <w:r>
              <w:rPr>
                <w:rFonts w:hint="eastAsia" w:ascii="宋体" w:hAnsi="宋体" w:eastAsia="宋体" w:cs="宋体"/>
                <w:color w:val="000000"/>
                <w:spacing w:val="-2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000000"/>
                <w:spacing w:val="-2"/>
                <w:sz w:val="24"/>
                <w:szCs w:val="24"/>
              </w:rPr>
              <w:t>年预算数</w:t>
            </w:r>
          </w:p>
        </w:tc>
        <w:tc>
          <w:tcPr>
            <w:tcW w:w="1679" w:type="dxa"/>
            <w:gridSpan w:val="2"/>
            <w:noWrap w:val="0"/>
            <w:vAlign w:val="top"/>
          </w:tcPr>
          <w:p w14:paraId="207AF424">
            <w:pPr>
              <w:spacing w:before="76" w:line="219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-4"/>
                <w:sz w:val="24"/>
                <w:szCs w:val="24"/>
                <w:lang w:eastAsia="zh-CN"/>
              </w:rPr>
              <w:t>202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-4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-4"/>
                <w:sz w:val="24"/>
                <w:szCs w:val="24"/>
              </w:rPr>
              <w:t>年决算数</w:t>
            </w:r>
          </w:p>
        </w:tc>
      </w:tr>
      <w:tr w14:paraId="2F7F1E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noWrap w:val="0"/>
            <w:vAlign w:val="top"/>
          </w:tcPr>
          <w:p w14:paraId="2696B3E3">
            <w:pPr>
              <w:spacing w:before="141" w:line="202" w:lineRule="auto"/>
              <w:ind w:left="11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3"/>
                <w:sz w:val="24"/>
                <w:szCs w:val="24"/>
              </w:rPr>
              <w:t>三公经费</w:t>
            </w:r>
          </w:p>
        </w:tc>
        <w:tc>
          <w:tcPr>
            <w:tcW w:w="1815" w:type="dxa"/>
            <w:gridSpan w:val="2"/>
            <w:noWrap w:val="0"/>
            <w:vAlign w:val="center"/>
          </w:tcPr>
          <w:p w14:paraId="7CE5C15B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325" w:type="dxa"/>
            <w:gridSpan w:val="2"/>
            <w:noWrap w:val="0"/>
            <w:vAlign w:val="center"/>
          </w:tcPr>
          <w:p w14:paraId="3DF94207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679" w:type="dxa"/>
            <w:gridSpan w:val="2"/>
            <w:noWrap w:val="0"/>
            <w:vAlign w:val="center"/>
          </w:tcPr>
          <w:p w14:paraId="3EE1CD8B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0.06</w:t>
            </w:r>
          </w:p>
        </w:tc>
      </w:tr>
      <w:tr w14:paraId="388CEC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850" w:type="dxa"/>
            <w:noWrap w:val="0"/>
            <w:vAlign w:val="top"/>
          </w:tcPr>
          <w:p w14:paraId="0FC20451">
            <w:pPr>
              <w:spacing w:before="149" w:line="193" w:lineRule="auto"/>
              <w:ind w:left="41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1、公务用车购置和维护经费</w:t>
            </w:r>
          </w:p>
        </w:tc>
        <w:tc>
          <w:tcPr>
            <w:tcW w:w="1815" w:type="dxa"/>
            <w:gridSpan w:val="2"/>
            <w:noWrap w:val="0"/>
            <w:vAlign w:val="center"/>
          </w:tcPr>
          <w:p w14:paraId="7A3BDE48">
            <w:pPr>
              <w:jc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2325" w:type="dxa"/>
            <w:gridSpan w:val="2"/>
            <w:noWrap w:val="0"/>
            <w:vAlign w:val="center"/>
          </w:tcPr>
          <w:p w14:paraId="47F5DAC3">
            <w:pPr>
              <w:jc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020D05D1">
            <w:pPr>
              <w:jc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</w:p>
        </w:tc>
      </w:tr>
      <w:tr w14:paraId="61AD9C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noWrap w:val="0"/>
            <w:vAlign w:val="top"/>
          </w:tcPr>
          <w:p w14:paraId="3EC18039">
            <w:pPr>
              <w:spacing w:before="81" w:line="219" w:lineRule="auto"/>
              <w:ind w:left="81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-2"/>
                <w:sz w:val="24"/>
                <w:szCs w:val="24"/>
              </w:rPr>
              <w:t>其中：公车购置</w:t>
            </w:r>
          </w:p>
        </w:tc>
        <w:tc>
          <w:tcPr>
            <w:tcW w:w="1815" w:type="dxa"/>
            <w:gridSpan w:val="2"/>
            <w:noWrap w:val="0"/>
            <w:vAlign w:val="center"/>
          </w:tcPr>
          <w:p w14:paraId="4D0181DE">
            <w:pPr>
              <w:jc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2325" w:type="dxa"/>
            <w:gridSpan w:val="2"/>
            <w:noWrap w:val="0"/>
            <w:vAlign w:val="center"/>
          </w:tcPr>
          <w:p w14:paraId="62C2ADBE">
            <w:pPr>
              <w:jc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5F525663">
            <w:pPr>
              <w:jc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</w:p>
        </w:tc>
      </w:tr>
      <w:tr w14:paraId="2F789F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3850" w:type="dxa"/>
            <w:noWrap w:val="0"/>
            <w:vAlign w:val="top"/>
          </w:tcPr>
          <w:p w14:paraId="05B258C5">
            <w:pPr>
              <w:spacing w:before="91" w:line="219" w:lineRule="auto"/>
              <w:ind w:left="142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2"/>
                <w:sz w:val="24"/>
                <w:szCs w:val="24"/>
              </w:rPr>
              <w:t>公车运行维护</w:t>
            </w:r>
          </w:p>
        </w:tc>
        <w:tc>
          <w:tcPr>
            <w:tcW w:w="1815" w:type="dxa"/>
            <w:gridSpan w:val="2"/>
            <w:noWrap w:val="0"/>
            <w:vAlign w:val="center"/>
          </w:tcPr>
          <w:p w14:paraId="37A106EA">
            <w:pPr>
              <w:jc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2325" w:type="dxa"/>
            <w:gridSpan w:val="2"/>
            <w:noWrap w:val="0"/>
            <w:vAlign w:val="center"/>
          </w:tcPr>
          <w:p w14:paraId="6F984296">
            <w:pPr>
              <w:jc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2B7310AD">
            <w:pPr>
              <w:jc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</w:p>
        </w:tc>
      </w:tr>
      <w:tr w14:paraId="5B366B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3850" w:type="dxa"/>
            <w:noWrap w:val="0"/>
            <w:vAlign w:val="top"/>
          </w:tcPr>
          <w:p w14:paraId="545D8D7E">
            <w:pPr>
              <w:spacing w:before="81" w:line="220" w:lineRule="auto"/>
              <w:ind w:left="38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2"/>
                <w:sz w:val="24"/>
                <w:szCs w:val="24"/>
              </w:rPr>
              <w:t>2、出国经费</w:t>
            </w:r>
          </w:p>
        </w:tc>
        <w:tc>
          <w:tcPr>
            <w:tcW w:w="1815" w:type="dxa"/>
            <w:gridSpan w:val="2"/>
            <w:noWrap w:val="0"/>
            <w:vAlign w:val="center"/>
          </w:tcPr>
          <w:p w14:paraId="10401AE7">
            <w:pPr>
              <w:jc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2325" w:type="dxa"/>
            <w:gridSpan w:val="2"/>
            <w:noWrap w:val="0"/>
            <w:vAlign w:val="center"/>
          </w:tcPr>
          <w:p w14:paraId="6E31F5B5">
            <w:pPr>
              <w:jc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49966641">
            <w:pPr>
              <w:jc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</w:p>
        </w:tc>
      </w:tr>
      <w:tr w14:paraId="6A0CF5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850" w:type="dxa"/>
            <w:noWrap w:val="0"/>
            <w:vAlign w:val="top"/>
          </w:tcPr>
          <w:p w14:paraId="4779CE3F">
            <w:pPr>
              <w:spacing w:before="82" w:line="219" w:lineRule="auto"/>
              <w:ind w:left="38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sz w:val="24"/>
                <w:szCs w:val="24"/>
              </w:rPr>
              <w:t>3、公务接待</w:t>
            </w:r>
          </w:p>
        </w:tc>
        <w:tc>
          <w:tcPr>
            <w:tcW w:w="1815" w:type="dxa"/>
            <w:gridSpan w:val="2"/>
            <w:noWrap w:val="0"/>
            <w:vAlign w:val="center"/>
          </w:tcPr>
          <w:p w14:paraId="520A897F">
            <w:pPr>
              <w:jc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2325" w:type="dxa"/>
            <w:gridSpan w:val="2"/>
            <w:noWrap w:val="0"/>
            <w:vAlign w:val="center"/>
          </w:tcPr>
          <w:p w14:paraId="751328E5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679" w:type="dxa"/>
            <w:gridSpan w:val="2"/>
            <w:noWrap w:val="0"/>
            <w:vAlign w:val="center"/>
          </w:tcPr>
          <w:p w14:paraId="78B4B553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0.06</w:t>
            </w:r>
          </w:p>
        </w:tc>
      </w:tr>
      <w:tr w14:paraId="38E080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noWrap w:val="0"/>
            <w:vAlign w:val="top"/>
          </w:tcPr>
          <w:p w14:paraId="0039C57F">
            <w:pPr>
              <w:spacing w:before="143" w:line="200" w:lineRule="auto"/>
              <w:ind w:left="8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19"/>
                <w:sz w:val="24"/>
                <w:szCs w:val="24"/>
              </w:rPr>
              <w:t>项目支出：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center"/>
          </w:tcPr>
          <w:p w14:paraId="2FA5CF01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3524.56</w:t>
            </w:r>
          </w:p>
        </w:tc>
        <w:tc>
          <w:tcPr>
            <w:tcW w:w="2325" w:type="dxa"/>
            <w:gridSpan w:val="2"/>
            <w:noWrap w:val="0"/>
            <w:vAlign w:val="center"/>
          </w:tcPr>
          <w:p w14:paraId="41AD4872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157</w:t>
            </w:r>
          </w:p>
        </w:tc>
        <w:tc>
          <w:tcPr>
            <w:tcW w:w="1679" w:type="dxa"/>
            <w:gridSpan w:val="2"/>
            <w:shd w:val="clear" w:color="auto" w:fill="FFFFFF"/>
            <w:noWrap w:val="0"/>
            <w:vAlign w:val="center"/>
          </w:tcPr>
          <w:p w14:paraId="1987D215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10999.11</w:t>
            </w:r>
          </w:p>
        </w:tc>
      </w:tr>
      <w:tr w14:paraId="446AAE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850" w:type="dxa"/>
            <w:noWrap w:val="0"/>
            <w:vAlign w:val="top"/>
          </w:tcPr>
          <w:p w14:paraId="0EE06136">
            <w:pPr>
              <w:spacing w:before="133" w:line="200" w:lineRule="auto"/>
              <w:ind w:left="38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sz w:val="24"/>
                <w:szCs w:val="24"/>
              </w:rPr>
              <w:t>1、业务工作经费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center"/>
          </w:tcPr>
          <w:p w14:paraId="227BA861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3524.56</w:t>
            </w:r>
          </w:p>
        </w:tc>
        <w:tc>
          <w:tcPr>
            <w:tcW w:w="2325" w:type="dxa"/>
            <w:gridSpan w:val="2"/>
            <w:noWrap w:val="0"/>
            <w:vAlign w:val="center"/>
          </w:tcPr>
          <w:p w14:paraId="4DC0025F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157</w:t>
            </w:r>
          </w:p>
        </w:tc>
        <w:tc>
          <w:tcPr>
            <w:tcW w:w="1679" w:type="dxa"/>
            <w:gridSpan w:val="2"/>
            <w:noWrap w:val="0"/>
            <w:vAlign w:val="center"/>
          </w:tcPr>
          <w:p w14:paraId="1DA3B242">
            <w:pPr>
              <w:jc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10999.11</w:t>
            </w:r>
          </w:p>
        </w:tc>
      </w:tr>
      <w:tr w14:paraId="57379A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3850" w:type="dxa"/>
            <w:noWrap w:val="0"/>
            <w:vAlign w:val="top"/>
          </w:tcPr>
          <w:p w14:paraId="73F2D390">
            <w:pPr>
              <w:spacing w:before="143" w:line="209" w:lineRule="auto"/>
              <w:ind w:left="38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sz w:val="24"/>
                <w:szCs w:val="24"/>
              </w:rPr>
              <w:t>2、运行维护经费</w:t>
            </w:r>
          </w:p>
        </w:tc>
        <w:tc>
          <w:tcPr>
            <w:tcW w:w="1815" w:type="dxa"/>
            <w:gridSpan w:val="2"/>
            <w:noWrap w:val="0"/>
            <w:vAlign w:val="center"/>
          </w:tcPr>
          <w:p w14:paraId="3D479744">
            <w:pPr>
              <w:jc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2325" w:type="dxa"/>
            <w:gridSpan w:val="2"/>
            <w:noWrap w:val="0"/>
            <w:vAlign w:val="center"/>
          </w:tcPr>
          <w:p w14:paraId="731B2197">
            <w:pPr>
              <w:jc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32787F51">
            <w:pPr>
              <w:jc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</w:p>
        </w:tc>
      </w:tr>
      <w:tr w14:paraId="4D36D0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850" w:type="dxa"/>
            <w:noWrap w:val="0"/>
            <w:vAlign w:val="top"/>
          </w:tcPr>
          <w:p w14:paraId="41AF9C07">
            <w:pPr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......</w:t>
            </w:r>
          </w:p>
        </w:tc>
        <w:tc>
          <w:tcPr>
            <w:tcW w:w="1815" w:type="dxa"/>
            <w:gridSpan w:val="2"/>
            <w:noWrap w:val="0"/>
            <w:vAlign w:val="center"/>
          </w:tcPr>
          <w:p w14:paraId="265D71FB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325" w:type="dxa"/>
            <w:gridSpan w:val="2"/>
            <w:noWrap w:val="0"/>
            <w:vAlign w:val="center"/>
          </w:tcPr>
          <w:p w14:paraId="60F6046A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70E9C983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739469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3850" w:type="dxa"/>
            <w:noWrap w:val="0"/>
            <w:vAlign w:val="top"/>
          </w:tcPr>
          <w:p w14:paraId="1EDC5FBE">
            <w:pPr>
              <w:spacing w:before="93" w:line="219" w:lineRule="auto"/>
              <w:ind w:firstLine="488" w:firstLineChars="200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2"/>
                <w:sz w:val="24"/>
                <w:szCs w:val="24"/>
              </w:rPr>
              <w:t>3、</w:t>
            </w:r>
            <w:r>
              <w:rPr>
                <w:rFonts w:hint="eastAsia" w:ascii="宋体" w:hAnsi="宋体" w:eastAsia="宋体" w:cs="宋体"/>
                <w:color w:val="000000"/>
                <w:spacing w:val="2"/>
                <w:sz w:val="24"/>
                <w:szCs w:val="24"/>
                <w:lang w:eastAsia="zh-CN"/>
              </w:rPr>
              <w:t>区</w:t>
            </w:r>
            <w:r>
              <w:rPr>
                <w:rFonts w:hint="eastAsia" w:ascii="宋体" w:hAnsi="宋体" w:eastAsia="宋体" w:cs="宋体"/>
                <w:color w:val="000000"/>
                <w:spacing w:val="2"/>
                <w:sz w:val="24"/>
                <w:szCs w:val="24"/>
              </w:rPr>
              <w:t>级专项资金</w:t>
            </w:r>
            <w:r>
              <w:rPr>
                <w:rFonts w:hint="eastAsia" w:ascii="宋体" w:hAnsi="宋体" w:eastAsia="宋体" w:cs="宋体"/>
                <w:color w:val="000000"/>
                <w:spacing w:val="2"/>
                <w:sz w:val="21"/>
                <w:szCs w:val="21"/>
              </w:rPr>
              <w:t>(一个专项一行)</w:t>
            </w:r>
          </w:p>
        </w:tc>
        <w:tc>
          <w:tcPr>
            <w:tcW w:w="1815" w:type="dxa"/>
            <w:gridSpan w:val="2"/>
            <w:noWrap w:val="0"/>
            <w:vAlign w:val="center"/>
          </w:tcPr>
          <w:p w14:paraId="1B256F36">
            <w:pPr>
              <w:jc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2325" w:type="dxa"/>
            <w:gridSpan w:val="2"/>
            <w:noWrap w:val="0"/>
            <w:vAlign w:val="center"/>
          </w:tcPr>
          <w:p w14:paraId="52CCC9F4">
            <w:pPr>
              <w:jc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679" w:type="dxa"/>
            <w:gridSpan w:val="2"/>
            <w:shd w:val="clear" w:color="auto" w:fill="FFFFFF"/>
            <w:noWrap w:val="0"/>
            <w:vAlign w:val="center"/>
          </w:tcPr>
          <w:p w14:paraId="3EE4F9D6">
            <w:pPr>
              <w:jc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</w:p>
        </w:tc>
      </w:tr>
      <w:tr w14:paraId="2A6403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noWrap w:val="0"/>
            <w:vAlign w:val="top"/>
          </w:tcPr>
          <w:p w14:paraId="6B34ED1D">
            <w:pPr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815" w:type="dxa"/>
            <w:gridSpan w:val="2"/>
            <w:noWrap w:val="0"/>
            <w:vAlign w:val="center"/>
          </w:tcPr>
          <w:p w14:paraId="0C040015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325" w:type="dxa"/>
            <w:gridSpan w:val="2"/>
            <w:noWrap w:val="0"/>
            <w:vAlign w:val="center"/>
          </w:tcPr>
          <w:p w14:paraId="164F5D52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595FB82B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</w:p>
        </w:tc>
      </w:tr>
      <w:tr w14:paraId="73B964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850" w:type="dxa"/>
            <w:noWrap w:val="0"/>
            <w:vAlign w:val="top"/>
          </w:tcPr>
          <w:p w14:paraId="66B2916E">
            <w:pPr>
              <w:spacing w:before="85" w:line="220" w:lineRule="auto"/>
              <w:ind w:firstLine="492" w:firstLineChars="200"/>
              <w:jc w:val="left"/>
              <w:rPr>
                <w:rFonts w:hint="eastAsia" w:ascii="宋体" w:hAnsi="宋体" w:eastAsia="宋体" w:cs="宋体"/>
                <w:color w:val="000000"/>
                <w:spacing w:val="3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3"/>
                <w:sz w:val="24"/>
                <w:szCs w:val="24"/>
                <w:lang w:val="en-US" w:eastAsia="zh-CN"/>
              </w:rPr>
              <w:t>4、上级转移支付</w:t>
            </w:r>
            <w:r>
              <w:rPr>
                <w:rFonts w:hint="eastAsia" w:ascii="宋体" w:hAnsi="宋体" w:eastAsia="宋体" w:cs="宋体"/>
                <w:color w:val="000000"/>
                <w:spacing w:val="2"/>
                <w:sz w:val="21"/>
                <w:szCs w:val="21"/>
              </w:rPr>
              <w:t>(一个专项一行</w:t>
            </w:r>
            <w:r>
              <w:rPr>
                <w:rFonts w:hint="eastAsia" w:ascii="宋体" w:hAnsi="宋体" w:eastAsia="宋体" w:cs="宋体"/>
                <w:color w:val="000000"/>
                <w:spacing w:val="2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1815" w:type="dxa"/>
            <w:gridSpan w:val="2"/>
            <w:noWrap w:val="0"/>
            <w:vAlign w:val="center"/>
          </w:tcPr>
          <w:p w14:paraId="05F29E17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2325" w:type="dxa"/>
            <w:gridSpan w:val="2"/>
            <w:noWrap w:val="0"/>
            <w:vAlign w:val="center"/>
          </w:tcPr>
          <w:p w14:paraId="5FE1EF32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65DAE0FA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</w:p>
        </w:tc>
      </w:tr>
      <w:tr w14:paraId="38D300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850" w:type="dxa"/>
            <w:noWrap w:val="0"/>
            <w:vAlign w:val="top"/>
          </w:tcPr>
          <w:p w14:paraId="327CCEC0">
            <w:pPr>
              <w:spacing w:before="85" w:line="220" w:lineRule="auto"/>
              <w:ind w:left="9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3"/>
                <w:sz w:val="24"/>
                <w:szCs w:val="24"/>
              </w:rPr>
              <w:t>公用经费</w:t>
            </w:r>
          </w:p>
        </w:tc>
        <w:tc>
          <w:tcPr>
            <w:tcW w:w="1815" w:type="dxa"/>
            <w:gridSpan w:val="2"/>
            <w:noWrap w:val="0"/>
            <w:vAlign w:val="center"/>
          </w:tcPr>
          <w:p w14:paraId="02456781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80.03</w:t>
            </w:r>
          </w:p>
        </w:tc>
        <w:tc>
          <w:tcPr>
            <w:tcW w:w="2325" w:type="dxa"/>
            <w:gridSpan w:val="2"/>
            <w:noWrap w:val="0"/>
            <w:vAlign w:val="center"/>
          </w:tcPr>
          <w:p w14:paraId="7E42B152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81</w:t>
            </w:r>
          </w:p>
        </w:tc>
        <w:tc>
          <w:tcPr>
            <w:tcW w:w="1679" w:type="dxa"/>
            <w:gridSpan w:val="2"/>
            <w:noWrap w:val="0"/>
            <w:vAlign w:val="center"/>
          </w:tcPr>
          <w:p w14:paraId="76664140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78.61</w:t>
            </w:r>
          </w:p>
        </w:tc>
      </w:tr>
      <w:tr w14:paraId="1DA529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noWrap w:val="0"/>
            <w:vAlign w:val="top"/>
          </w:tcPr>
          <w:p w14:paraId="6EE51B88">
            <w:pPr>
              <w:spacing w:before="85" w:line="219" w:lineRule="auto"/>
              <w:ind w:left="38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sz w:val="24"/>
                <w:szCs w:val="24"/>
              </w:rPr>
              <w:t>其中：办公经费</w:t>
            </w:r>
          </w:p>
        </w:tc>
        <w:tc>
          <w:tcPr>
            <w:tcW w:w="1815" w:type="dxa"/>
            <w:gridSpan w:val="2"/>
            <w:noWrap w:val="0"/>
            <w:vAlign w:val="center"/>
          </w:tcPr>
          <w:p w14:paraId="47EADDE6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6.4</w:t>
            </w:r>
          </w:p>
        </w:tc>
        <w:tc>
          <w:tcPr>
            <w:tcW w:w="2325" w:type="dxa"/>
            <w:gridSpan w:val="2"/>
            <w:noWrap w:val="0"/>
            <w:vAlign w:val="center"/>
          </w:tcPr>
          <w:p w14:paraId="22EE6108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679" w:type="dxa"/>
            <w:gridSpan w:val="2"/>
            <w:noWrap w:val="0"/>
            <w:vAlign w:val="center"/>
          </w:tcPr>
          <w:p w14:paraId="0794CDA1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3.96</w:t>
            </w:r>
          </w:p>
        </w:tc>
      </w:tr>
      <w:tr w14:paraId="3BECC5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850" w:type="dxa"/>
            <w:noWrap w:val="0"/>
            <w:vAlign w:val="top"/>
          </w:tcPr>
          <w:p w14:paraId="67A77F19">
            <w:pPr>
              <w:spacing w:before="135" w:line="198" w:lineRule="auto"/>
              <w:ind w:left="111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sz w:val="24"/>
                <w:szCs w:val="24"/>
              </w:rPr>
              <w:t>水费、电费、差旅费</w:t>
            </w:r>
          </w:p>
        </w:tc>
        <w:tc>
          <w:tcPr>
            <w:tcW w:w="1815" w:type="dxa"/>
            <w:gridSpan w:val="2"/>
            <w:noWrap w:val="0"/>
            <w:vAlign w:val="center"/>
          </w:tcPr>
          <w:p w14:paraId="79E51ADB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2325" w:type="dxa"/>
            <w:gridSpan w:val="2"/>
            <w:noWrap w:val="0"/>
            <w:vAlign w:val="center"/>
          </w:tcPr>
          <w:p w14:paraId="11026F47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679" w:type="dxa"/>
            <w:gridSpan w:val="2"/>
            <w:noWrap w:val="0"/>
            <w:vAlign w:val="center"/>
          </w:tcPr>
          <w:p w14:paraId="48DB2DC8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3.37</w:t>
            </w:r>
          </w:p>
        </w:tc>
      </w:tr>
      <w:tr w14:paraId="54B1BD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850" w:type="dxa"/>
            <w:noWrap w:val="0"/>
            <w:vAlign w:val="top"/>
          </w:tcPr>
          <w:p w14:paraId="53F3A168">
            <w:pPr>
              <w:spacing w:before="144" w:line="198" w:lineRule="auto"/>
              <w:ind w:left="112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-1"/>
                <w:sz w:val="24"/>
                <w:szCs w:val="24"/>
              </w:rPr>
              <w:t>会议费、培训费</w:t>
            </w:r>
          </w:p>
        </w:tc>
        <w:tc>
          <w:tcPr>
            <w:tcW w:w="1815" w:type="dxa"/>
            <w:gridSpan w:val="2"/>
            <w:noWrap w:val="0"/>
            <w:vAlign w:val="center"/>
          </w:tcPr>
          <w:p w14:paraId="4CC735FC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0.69</w:t>
            </w:r>
          </w:p>
        </w:tc>
        <w:tc>
          <w:tcPr>
            <w:tcW w:w="2325" w:type="dxa"/>
            <w:gridSpan w:val="2"/>
            <w:noWrap w:val="0"/>
            <w:vAlign w:val="center"/>
          </w:tcPr>
          <w:p w14:paraId="52D6E523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0.7</w:t>
            </w:r>
          </w:p>
        </w:tc>
        <w:tc>
          <w:tcPr>
            <w:tcW w:w="1679" w:type="dxa"/>
            <w:gridSpan w:val="2"/>
            <w:noWrap w:val="0"/>
            <w:vAlign w:val="center"/>
          </w:tcPr>
          <w:p w14:paraId="216696C2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0.07</w:t>
            </w:r>
          </w:p>
        </w:tc>
      </w:tr>
      <w:tr w14:paraId="034634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850" w:type="dxa"/>
            <w:noWrap w:val="0"/>
            <w:vAlign w:val="top"/>
          </w:tcPr>
          <w:p w14:paraId="402C01D7">
            <w:pPr>
              <w:spacing w:before="145" w:line="189" w:lineRule="auto"/>
              <w:ind w:left="10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-1"/>
                <w:sz w:val="24"/>
                <w:szCs w:val="24"/>
              </w:rPr>
              <w:t>政府采购金额</w:t>
            </w:r>
          </w:p>
        </w:tc>
        <w:tc>
          <w:tcPr>
            <w:tcW w:w="1815" w:type="dxa"/>
            <w:gridSpan w:val="2"/>
            <w:noWrap w:val="0"/>
            <w:vAlign w:val="center"/>
          </w:tcPr>
          <w:p w14:paraId="2FF6627C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80.09</w:t>
            </w:r>
          </w:p>
        </w:tc>
        <w:tc>
          <w:tcPr>
            <w:tcW w:w="2325" w:type="dxa"/>
            <w:gridSpan w:val="2"/>
            <w:noWrap w:val="0"/>
            <w:vAlign w:val="center"/>
          </w:tcPr>
          <w:p w14:paraId="71B3C574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253.5</w:t>
            </w:r>
          </w:p>
        </w:tc>
        <w:tc>
          <w:tcPr>
            <w:tcW w:w="1679" w:type="dxa"/>
            <w:gridSpan w:val="2"/>
            <w:noWrap w:val="0"/>
            <w:vAlign w:val="center"/>
          </w:tcPr>
          <w:p w14:paraId="1F0D76A5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88.99</w:t>
            </w:r>
          </w:p>
        </w:tc>
      </w:tr>
      <w:tr w14:paraId="14062C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noWrap w:val="0"/>
            <w:vAlign w:val="top"/>
          </w:tcPr>
          <w:p w14:paraId="039E6527">
            <w:pPr>
              <w:spacing w:before="145" w:line="198" w:lineRule="auto"/>
              <w:ind w:left="11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sz w:val="24"/>
                <w:szCs w:val="24"/>
              </w:rPr>
              <w:t>部门基本支出预算调整</w:t>
            </w:r>
          </w:p>
        </w:tc>
        <w:tc>
          <w:tcPr>
            <w:tcW w:w="1815" w:type="dxa"/>
            <w:gridSpan w:val="2"/>
            <w:noWrap w:val="0"/>
            <w:vAlign w:val="center"/>
          </w:tcPr>
          <w:p w14:paraId="591F698A">
            <w:pPr>
              <w:jc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325" w:type="dxa"/>
            <w:gridSpan w:val="2"/>
            <w:noWrap w:val="0"/>
            <w:vAlign w:val="center"/>
          </w:tcPr>
          <w:p w14:paraId="217077C7">
            <w:pPr>
              <w:jc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679" w:type="dxa"/>
            <w:gridSpan w:val="2"/>
            <w:noWrap w:val="0"/>
            <w:vAlign w:val="center"/>
          </w:tcPr>
          <w:p w14:paraId="2C1FCD55">
            <w:pPr>
              <w:jc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0</w:t>
            </w:r>
          </w:p>
        </w:tc>
      </w:tr>
      <w:tr w14:paraId="3FF222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9" w:hRule="atLeast"/>
        </w:trPr>
        <w:tc>
          <w:tcPr>
            <w:tcW w:w="3850" w:type="dxa"/>
            <w:vMerge w:val="restart"/>
            <w:tcBorders>
              <w:bottom w:val="nil"/>
            </w:tcBorders>
            <w:noWrap w:val="0"/>
            <w:vAlign w:val="center"/>
          </w:tcPr>
          <w:p w14:paraId="578C2BF7">
            <w:pPr>
              <w:spacing w:before="65" w:line="39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-1"/>
                <w:position w:val="14"/>
                <w:sz w:val="24"/>
                <w:szCs w:val="24"/>
              </w:rPr>
              <w:t>楼堂馆所控制情况</w:t>
            </w:r>
          </w:p>
          <w:p w14:paraId="3E31BC01">
            <w:pPr>
              <w:spacing w:line="219" w:lineRule="auto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3"/>
                <w:sz w:val="24"/>
                <w:szCs w:val="24"/>
              </w:rPr>
              <w:t>(</w:t>
            </w:r>
            <w:r>
              <w:rPr>
                <w:rFonts w:hint="eastAsia" w:ascii="宋体" w:hAnsi="宋体" w:eastAsia="宋体" w:cs="宋体"/>
                <w:color w:val="000000"/>
                <w:spacing w:val="3"/>
                <w:sz w:val="24"/>
                <w:szCs w:val="24"/>
                <w:lang w:eastAsia="zh-CN"/>
              </w:rPr>
              <w:t>202</w:t>
            </w:r>
            <w:r>
              <w:rPr>
                <w:rFonts w:hint="eastAsia" w:ascii="宋体" w:hAnsi="宋体" w:eastAsia="宋体" w:cs="宋体"/>
                <w:color w:val="000000"/>
                <w:spacing w:val="3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000000"/>
                <w:spacing w:val="3"/>
                <w:sz w:val="24"/>
                <w:szCs w:val="24"/>
              </w:rPr>
              <w:t>年完工项目)</w:t>
            </w:r>
          </w:p>
        </w:tc>
        <w:tc>
          <w:tcPr>
            <w:tcW w:w="825" w:type="dxa"/>
            <w:noWrap w:val="0"/>
            <w:vAlign w:val="center"/>
          </w:tcPr>
          <w:p w14:paraId="4C4308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批复规模</w:t>
            </w:r>
          </w:p>
          <w:p w14:paraId="7FF52F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(m²)</w:t>
            </w:r>
          </w:p>
        </w:tc>
        <w:tc>
          <w:tcPr>
            <w:tcW w:w="990" w:type="dxa"/>
            <w:noWrap w:val="0"/>
            <w:vAlign w:val="center"/>
          </w:tcPr>
          <w:p w14:paraId="47A312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实际规</w:t>
            </w:r>
          </w:p>
          <w:p w14:paraId="2D586C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模(m²)</w:t>
            </w:r>
          </w:p>
        </w:tc>
        <w:tc>
          <w:tcPr>
            <w:tcW w:w="1140" w:type="dxa"/>
            <w:noWrap w:val="0"/>
            <w:vAlign w:val="center"/>
          </w:tcPr>
          <w:p w14:paraId="408E5B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规模控制率</w:t>
            </w:r>
          </w:p>
        </w:tc>
        <w:tc>
          <w:tcPr>
            <w:tcW w:w="1185" w:type="dxa"/>
            <w:noWrap w:val="0"/>
            <w:vAlign w:val="center"/>
          </w:tcPr>
          <w:p w14:paraId="26AFE6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预算投资</w:t>
            </w:r>
          </w:p>
          <w:p w14:paraId="3DBF72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(万元)</w:t>
            </w:r>
          </w:p>
        </w:tc>
        <w:tc>
          <w:tcPr>
            <w:tcW w:w="810" w:type="dxa"/>
            <w:noWrap w:val="0"/>
            <w:vAlign w:val="center"/>
          </w:tcPr>
          <w:p w14:paraId="0DA4C7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实际</w:t>
            </w:r>
          </w:p>
          <w:p w14:paraId="52209D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投资</w:t>
            </w:r>
          </w:p>
          <w:p w14:paraId="326CFA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(万元)</w:t>
            </w:r>
          </w:p>
        </w:tc>
        <w:tc>
          <w:tcPr>
            <w:tcW w:w="869" w:type="dxa"/>
            <w:noWrap w:val="0"/>
            <w:vAlign w:val="center"/>
          </w:tcPr>
          <w:p w14:paraId="4B480F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投资概</w:t>
            </w:r>
          </w:p>
          <w:p w14:paraId="0ABF51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算控制</w:t>
            </w:r>
          </w:p>
          <w:p w14:paraId="547383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率</w:t>
            </w:r>
          </w:p>
        </w:tc>
      </w:tr>
      <w:tr w14:paraId="0277DA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850" w:type="dxa"/>
            <w:vMerge w:val="continue"/>
            <w:tcBorders>
              <w:top w:val="nil"/>
            </w:tcBorders>
            <w:noWrap w:val="0"/>
            <w:vAlign w:val="top"/>
          </w:tcPr>
          <w:p w14:paraId="48A17711">
            <w:pPr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825" w:type="dxa"/>
            <w:noWrap w:val="0"/>
            <w:vAlign w:val="center"/>
          </w:tcPr>
          <w:p w14:paraId="598174BA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  <w:tc>
          <w:tcPr>
            <w:tcW w:w="990" w:type="dxa"/>
            <w:noWrap w:val="0"/>
            <w:vAlign w:val="center"/>
          </w:tcPr>
          <w:p w14:paraId="3F0D8326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  <w:tc>
          <w:tcPr>
            <w:tcW w:w="1140" w:type="dxa"/>
            <w:noWrap w:val="0"/>
            <w:vAlign w:val="center"/>
          </w:tcPr>
          <w:p w14:paraId="31F0B449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  <w:tc>
          <w:tcPr>
            <w:tcW w:w="1185" w:type="dxa"/>
            <w:noWrap w:val="0"/>
            <w:vAlign w:val="center"/>
          </w:tcPr>
          <w:p w14:paraId="55440E85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  <w:tc>
          <w:tcPr>
            <w:tcW w:w="810" w:type="dxa"/>
            <w:noWrap w:val="0"/>
            <w:vAlign w:val="center"/>
          </w:tcPr>
          <w:p w14:paraId="6CFF93A1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  <w:tc>
          <w:tcPr>
            <w:tcW w:w="869" w:type="dxa"/>
            <w:noWrap w:val="0"/>
            <w:vAlign w:val="center"/>
          </w:tcPr>
          <w:p w14:paraId="09316331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</w:tr>
      <w:tr w14:paraId="66EA2C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3850" w:type="dxa"/>
            <w:noWrap w:val="0"/>
            <w:vAlign w:val="center"/>
          </w:tcPr>
          <w:p w14:paraId="75051E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sz w:val="24"/>
                <w:szCs w:val="24"/>
              </w:rPr>
              <w:t>厉行节约保障措施</w:t>
            </w:r>
          </w:p>
        </w:tc>
        <w:tc>
          <w:tcPr>
            <w:tcW w:w="5819" w:type="dxa"/>
            <w:gridSpan w:val="6"/>
            <w:noWrap w:val="0"/>
            <w:vAlign w:val="center"/>
          </w:tcPr>
          <w:p w14:paraId="747197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</w:tr>
    </w:tbl>
    <w:p w14:paraId="1B581A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/>
        <w:jc w:val="left"/>
        <w:textAlignment w:val="auto"/>
        <w:rPr>
          <w:rFonts w:hint="default" w:ascii="Times New Roman" w:hAnsi="Times New Roman" w:eastAsia="宋体" w:cs="Times New Roman"/>
          <w:color w:val="000000"/>
          <w:spacing w:val="0"/>
          <w:position w:val="0"/>
          <w:sz w:val="23"/>
          <w:szCs w:val="23"/>
          <w:lang w:val="en-US" w:eastAsia="zh-CN"/>
        </w:rPr>
      </w:pPr>
      <w:r>
        <w:rPr>
          <w:rFonts w:hint="default" w:ascii="Times New Roman" w:hAnsi="Times New Roman" w:eastAsia="宋体" w:cs="Times New Roman"/>
          <w:color w:val="000000"/>
          <w:spacing w:val="0"/>
          <w:position w:val="0"/>
          <w:sz w:val="23"/>
          <w:szCs w:val="23"/>
        </w:rPr>
        <w:t>填表人：</w:t>
      </w:r>
      <w:r>
        <w:rPr>
          <w:rFonts w:hint="eastAsia" w:ascii="Times New Roman" w:hAnsi="Times New Roman" w:eastAsia="宋体" w:cs="Times New Roman"/>
          <w:color w:val="000000"/>
          <w:spacing w:val="0"/>
          <w:position w:val="0"/>
          <w:sz w:val="23"/>
          <w:szCs w:val="23"/>
          <w:lang w:eastAsia="zh-CN"/>
        </w:rPr>
        <w:t>周驰</w:t>
      </w:r>
      <w:r>
        <w:rPr>
          <w:rFonts w:hint="default" w:ascii="Times New Roman" w:hAnsi="Times New Roman" w:eastAsia="宋体" w:cs="Times New Roman"/>
          <w:color w:val="000000"/>
          <w:spacing w:val="0"/>
          <w:position w:val="0"/>
          <w:sz w:val="23"/>
          <w:szCs w:val="23"/>
        </w:rPr>
        <w:t xml:space="preserve">    联系电话：</w:t>
      </w:r>
      <w:r>
        <w:rPr>
          <w:rFonts w:hint="eastAsia" w:ascii="Times New Roman" w:hAnsi="Times New Roman" w:eastAsia="宋体" w:cs="Times New Roman"/>
          <w:color w:val="000000"/>
          <w:spacing w:val="0"/>
          <w:position w:val="0"/>
          <w:sz w:val="23"/>
          <w:szCs w:val="23"/>
          <w:lang w:val="en-US" w:eastAsia="zh-CN"/>
        </w:rPr>
        <w:t>16673271165</w:t>
      </w:r>
      <w:r>
        <w:rPr>
          <w:rFonts w:hint="default" w:ascii="Times New Roman" w:hAnsi="Times New Roman" w:eastAsia="宋体" w:cs="Times New Roman"/>
          <w:color w:val="000000"/>
          <w:spacing w:val="0"/>
          <w:position w:val="0"/>
          <w:sz w:val="23"/>
          <w:szCs w:val="23"/>
        </w:rPr>
        <w:t xml:space="preserve">     单位负责人签字：</w:t>
      </w:r>
      <w:r>
        <w:rPr>
          <w:rFonts w:hint="default" w:ascii="Times New Roman" w:hAnsi="Times New Roman" w:eastAsia="宋体" w:cs="Times New Roman"/>
          <w:color w:val="000000"/>
          <w:spacing w:val="0"/>
          <w:position w:val="0"/>
          <w:sz w:val="23"/>
          <w:szCs w:val="23"/>
          <w:lang w:val="en-US" w:eastAsia="zh-CN"/>
        </w:rPr>
        <w:t xml:space="preserve">        </w:t>
      </w:r>
      <w:r>
        <w:rPr>
          <w:rFonts w:hint="default" w:ascii="Times New Roman" w:hAnsi="Times New Roman" w:eastAsia="宋体" w:cs="Times New Roman"/>
          <w:color w:val="000000"/>
          <w:spacing w:val="0"/>
          <w:position w:val="0"/>
          <w:sz w:val="23"/>
          <w:szCs w:val="23"/>
        </w:rPr>
        <w:t>填报日期：</w:t>
      </w:r>
      <w:r>
        <w:rPr>
          <w:rFonts w:hint="default" w:ascii="Times New Roman" w:hAnsi="Times New Roman" w:eastAsia="宋体" w:cs="Times New Roman"/>
          <w:color w:val="000000"/>
          <w:spacing w:val="0"/>
          <w:position w:val="0"/>
          <w:sz w:val="23"/>
          <w:szCs w:val="23"/>
          <w:lang w:val="en-US" w:eastAsia="zh-CN"/>
        </w:rPr>
        <w:t>202</w:t>
      </w:r>
      <w:r>
        <w:rPr>
          <w:rFonts w:hint="eastAsia" w:ascii="Times New Roman" w:hAnsi="Times New Roman" w:eastAsia="宋体" w:cs="Times New Roman"/>
          <w:color w:val="000000"/>
          <w:spacing w:val="0"/>
          <w:position w:val="0"/>
          <w:sz w:val="23"/>
          <w:szCs w:val="23"/>
          <w:lang w:val="en-US" w:eastAsia="zh-CN"/>
        </w:rPr>
        <w:t>5</w:t>
      </w:r>
      <w:r>
        <w:rPr>
          <w:rFonts w:hint="default" w:ascii="Times New Roman" w:hAnsi="Times New Roman" w:eastAsia="宋体" w:cs="Times New Roman"/>
          <w:color w:val="000000"/>
          <w:spacing w:val="0"/>
          <w:position w:val="0"/>
          <w:sz w:val="23"/>
          <w:szCs w:val="23"/>
          <w:lang w:val="en-US" w:eastAsia="zh-CN"/>
        </w:rPr>
        <w:t>-</w:t>
      </w:r>
      <w:r>
        <w:rPr>
          <w:rFonts w:hint="eastAsia" w:ascii="Times New Roman" w:hAnsi="Times New Roman" w:eastAsia="宋体" w:cs="Times New Roman"/>
          <w:color w:val="000000"/>
          <w:spacing w:val="0"/>
          <w:position w:val="0"/>
          <w:sz w:val="23"/>
          <w:szCs w:val="23"/>
          <w:lang w:val="en-US" w:eastAsia="zh-CN"/>
        </w:rPr>
        <w:t>7</w:t>
      </w:r>
      <w:r>
        <w:rPr>
          <w:rFonts w:hint="default" w:ascii="Times New Roman" w:hAnsi="Times New Roman" w:eastAsia="宋体" w:cs="Times New Roman"/>
          <w:color w:val="000000"/>
          <w:spacing w:val="0"/>
          <w:position w:val="0"/>
          <w:sz w:val="23"/>
          <w:szCs w:val="23"/>
          <w:lang w:val="en-US" w:eastAsia="zh-CN"/>
        </w:rPr>
        <w:t>-</w:t>
      </w:r>
      <w:r>
        <w:rPr>
          <w:rFonts w:hint="eastAsia" w:ascii="Times New Roman" w:hAnsi="Times New Roman" w:eastAsia="宋体" w:cs="Times New Roman"/>
          <w:color w:val="000000"/>
          <w:spacing w:val="0"/>
          <w:position w:val="0"/>
          <w:sz w:val="23"/>
          <w:szCs w:val="23"/>
          <w:lang w:val="en-US" w:eastAsia="zh-CN"/>
        </w:rPr>
        <w:t>30</w:t>
      </w:r>
    </w:p>
    <w:p w14:paraId="795BE6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eastAsia="黑体" w:cs="Times New Roman"/>
          <w:b w:val="0"/>
          <w:bCs w:val="0"/>
          <w:color w:val="000000"/>
          <w:spacing w:val="10"/>
          <w:sz w:val="32"/>
          <w:szCs w:val="32"/>
          <w:lang w:eastAsia="zh-CN"/>
        </w:rPr>
        <w:sectPr>
          <w:pgSz w:w="11906" w:h="16838"/>
          <w:pgMar w:top="1134" w:right="1417" w:bottom="1134" w:left="1134" w:header="851" w:footer="992" w:gutter="0"/>
          <w:pgNumType w:fmt="decimal"/>
          <w:cols w:space="0" w:num="1"/>
          <w:rtlGutter w:val="0"/>
          <w:docGrid w:type="lines" w:linePitch="312" w:charSpace="0"/>
        </w:sectPr>
      </w:pPr>
    </w:p>
    <w:p w14:paraId="060C7A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000000"/>
          <w:spacing w:val="10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b w:val="0"/>
          <w:bCs w:val="0"/>
          <w:color w:val="000000"/>
          <w:spacing w:val="10"/>
          <w:sz w:val="32"/>
          <w:szCs w:val="32"/>
          <w:lang w:val="en-US" w:eastAsia="zh-CN"/>
        </w:rPr>
        <w:t>2</w:t>
      </w:r>
    </w:p>
    <w:p w14:paraId="3B3D0D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val="en-US" w:eastAsia="zh-CN"/>
        </w:rPr>
        <w:t>4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</w:rPr>
        <w:t>年度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  <w:t>预算单位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</w:rPr>
        <w:t>整体支出绩效自评表</w:t>
      </w:r>
    </w:p>
    <w:p w14:paraId="766190E3">
      <w:pPr>
        <w:spacing w:line="168" w:lineRule="exact"/>
        <w:rPr>
          <w:rFonts w:ascii="Calibri" w:hAnsi="Calibri" w:eastAsia="宋体" w:cs="Times New Roman"/>
          <w:color w:val="000000"/>
        </w:rPr>
      </w:pPr>
    </w:p>
    <w:tbl>
      <w:tblPr>
        <w:tblStyle w:val="7"/>
        <w:tblW w:w="9835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84"/>
        <w:gridCol w:w="519"/>
        <w:gridCol w:w="1078"/>
        <w:gridCol w:w="1252"/>
        <w:gridCol w:w="1267"/>
        <w:gridCol w:w="1093"/>
        <w:gridCol w:w="669"/>
        <w:gridCol w:w="670"/>
        <w:gridCol w:w="2203"/>
      </w:tblGrid>
      <w:tr w14:paraId="59C741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84" w:hRule="atLeast"/>
        </w:trPr>
        <w:tc>
          <w:tcPr>
            <w:tcW w:w="2681" w:type="dxa"/>
            <w:gridSpan w:val="3"/>
            <w:noWrap w:val="0"/>
            <w:vAlign w:val="top"/>
          </w:tcPr>
          <w:p w14:paraId="71181553">
            <w:pPr>
              <w:spacing w:before="103" w:line="219" w:lineRule="auto"/>
              <w:jc w:val="center"/>
              <w:rPr>
                <w:rFonts w:hint="eastAsia" w:ascii="宋体" w:hAnsi="宋体" w:eastAsia="宋体" w:cs="宋体"/>
                <w:color w:val="000000"/>
                <w:spacing w:val="-2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pacing w:val="2"/>
                <w:sz w:val="20"/>
                <w:szCs w:val="20"/>
              </w:rPr>
              <w:t>预算</w:t>
            </w:r>
            <w:r>
              <w:rPr>
                <w:rFonts w:hint="eastAsia" w:ascii="宋体" w:hAnsi="宋体" w:eastAsia="宋体" w:cs="宋体"/>
                <w:color w:val="000000"/>
                <w:spacing w:val="2"/>
                <w:sz w:val="20"/>
                <w:szCs w:val="20"/>
                <w:lang w:eastAsia="zh-CN"/>
              </w:rPr>
              <w:t>单位</w:t>
            </w:r>
            <w:r>
              <w:rPr>
                <w:rFonts w:hint="eastAsia" w:ascii="宋体" w:hAnsi="宋体" w:eastAsia="宋体" w:cs="宋体"/>
                <w:color w:val="000000"/>
                <w:spacing w:val="2"/>
                <w:sz w:val="20"/>
                <w:szCs w:val="20"/>
              </w:rPr>
              <w:t>名称</w:t>
            </w:r>
          </w:p>
        </w:tc>
        <w:tc>
          <w:tcPr>
            <w:tcW w:w="7154" w:type="dxa"/>
            <w:gridSpan w:val="6"/>
            <w:noWrap w:val="0"/>
            <w:vAlign w:val="center"/>
          </w:tcPr>
          <w:p w14:paraId="59B386C8">
            <w:pPr>
              <w:spacing w:before="103" w:line="219" w:lineRule="auto"/>
              <w:ind w:left="708" w:leftChars="0"/>
              <w:jc w:val="center"/>
              <w:rPr>
                <w:rFonts w:hint="eastAsia" w:ascii="宋体" w:hAnsi="宋体" w:eastAsia="宋体" w:cs="宋体"/>
                <w:color w:val="000000"/>
                <w:spacing w:val="-2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-2"/>
                <w:sz w:val="20"/>
                <w:szCs w:val="20"/>
                <w:lang w:val="en-US" w:eastAsia="zh-CN"/>
              </w:rPr>
              <w:t>岳阳市岳阳楼区供销合作联社</w:t>
            </w:r>
          </w:p>
        </w:tc>
      </w:tr>
      <w:tr w14:paraId="349E7D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1084" w:type="dxa"/>
            <w:vMerge w:val="restart"/>
            <w:tcBorders>
              <w:bottom w:val="nil"/>
            </w:tcBorders>
            <w:noWrap w:val="0"/>
            <w:vAlign w:val="top"/>
          </w:tcPr>
          <w:p w14:paraId="6CDBA2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18" w:lineRule="auto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  <w:p w14:paraId="6C436C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-3"/>
                <w:position w:val="4"/>
                <w:sz w:val="20"/>
                <w:szCs w:val="20"/>
              </w:rPr>
              <w:t>年度预</w:t>
            </w:r>
          </w:p>
          <w:p w14:paraId="31F5C8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-3"/>
                <w:sz w:val="20"/>
                <w:szCs w:val="20"/>
              </w:rPr>
              <w:t>算申请</w:t>
            </w:r>
          </w:p>
          <w:p w14:paraId="14BF5C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11"/>
                <w:sz w:val="20"/>
                <w:szCs w:val="20"/>
              </w:rPr>
              <w:t>(万元)</w:t>
            </w:r>
          </w:p>
        </w:tc>
        <w:tc>
          <w:tcPr>
            <w:tcW w:w="1597" w:type="dxa"/>
            <w:gridSpan w:val="2"/>
            <w:noWrap w:val="0"/>
            <w:vAlign w:val="center"/>
          </w:tcPr>
          <w:p w14:paraId="29C594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</w:rPr>
            </w:pPr>
          </w:p>
        </w:tc>
        <w:tc>
          <w:tcPr>
            <w:tcW w:w="1252" w:type="dxa"/>
            <w:noWrap w:val="0"/>
            <w:vAlign w:val="center"/>
          </w:tcPr>
          <w:p w14:paraId="438899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4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</w:rPr>
              <w:t>年初预算数</w:t>
            </w:r>
          </w:p>
        </w:tc>
        <w:tc>
          <w:tcPr>
            <w:tcW w:w="1267" w:type="dxa"/>
            <w:noWrap w:val="0"/>
            <w:vAlign w:val="center"/>
          </w:tcPr>
          <w:p w14:paraId="0C0060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4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</w:rPr>
              <w:t>全年预算数</w:t>
            </w:r>
          </w:p>
        </w:tc>
        <w:tc>
          <w:tcPr>
            <w:tcW w:w="1093" w:type="dxa"/>
            <w:noWrap w:val="0"/>
            <w:vAlign w:val="center"/>
          </w:tcPr>
          <w:p w14:paraId="7BCE64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4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</w:rPr>
              <w:t>全年执行数</w:t>
            </w:r>
          </w:p>
        </w:tc>
        <w:tc>
          <w:tcPr>
            <w:tcW w:w="669" w:type="dxa"/>
            <w:noWrap w:val="0"/>
            <w:vAlign w:val="center"/>
          </w:tcPr>
          <w:p w14:paraId="5BC861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4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</w:rPr>
              <w:t>分值</w:t>
            </w:r>
          </w:p>
        </w:tc>
        <w:tc>
          <w:tcPr>
            <w:tcW w:w="670" w:type="dxa"/>
            <w:noWrap w:val="0"/>
            <w:vAlign w:val="center"/>
          </w:tcPr>
          <w:p w14:paraId="4EC787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4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</w:rPr>
              <w:t>执行率</w:t>
            </w:r>
          </w:p>
        </w:tc>
        <w:tc>
          <w:tcPr>
            <w:tcW w:w="2203" w:type="dxa"/>
            <w:noWrap w:val="0"/>
            <w:vAlign w:val="center"/>
          </w:tcPr>
          <w:p w14:paraId="68151F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4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/>
              </w:rPr>
              <w:t>自评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</w:rPr>
              <w:t>得分</w:t>
            </w:r>
          </w:p>
        </w:tc>
      </w:tr>
      <w:tr w14:paraId="74E01E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2EDEC1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gridSpan w:val="2"/>
            <w:noWrap w:val="0"/>
            <w:vAlign w:val="center"/>
          </w:tcPr>
          <w:p w14:paraId="4CC832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3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</w:rPr>
              <w:t>年度资金总额</w:t>
            </w:r>
          </w:p>
        </w:tc>
        <w:tc>
          <w:tcPr>
            <w:tcW w:w="1252" w:type="dxa"/>
            <w:noWrap w:val="0"/>
            <w:vAlign w:val="center"/>
          </w:tcPr>
          <w:p w14:paraId="75AD7B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/>
              </w:rPr>
              <w:t>950.3</w:t>
            </w:r>
          </w:p>
        </w:tc>
        <w:tc>
          <w:tcPr>
            <w:tcW w:w="1267" w:type="dxa"/>
            <w:shd w:val="clear" w:color="auto" w:fill="auto"/>
            <w:noWrap w:val="0"/>
            <w:vAlign w:val="center"/>
          </w:tcPr>
          <w:p w14:paraId="1978E7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13220.54</w:t>
            </w:r>
          </w:p>
        </w:tc>
        <w:tc>
          <w:tcPr>
            <w:tcW w:w="1093" w:type="dxa"/>
            <w:shd w:val="clear" w:color="auto" w:fill="auto"/>
            <w:noWrap w:val="0"/>
            <w:vAlign w:val="center"/>
          </w:tcPr>
          <w:p w14:paraId="5EAB04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11784.68</w:t>
            </w:r>
          </w:p>
        </w:tc>
        <w:tc>
          <w:tcPr>
            <w:tcW w:w="669" w:type="dxa"/>
            <w:noWrap w:val="0"/>
            <w:vAlign w:val="center"/>
          </w:tcPr>
          <w:p w14:paraId="39BFD5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670" w:type="dxa"/>
            <w:noWrap w:val="0"/>
            <w:vAlign w:val="center"/>
          </w:tcPr>
          <w:p w14:paraId="25A5E4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/>
              </w:rPr>
              <w:t>89.14%</w:t>
            </w:r>
          </w:p>
        </w:tc>
        <w:tc>
          <w:tcPr>
            <w:tcW w:w="2203" w:type="dxa"/>
            <w:noWrap w:val="0"/>
            <w:vAlign w:val="center"/>
          </w:tcPr>
          <w:p w14:paraId="5E4BA4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/>
              </w:rPr>
              <w:t>8.91</w:t>
            </w:r>
          </w:p>
        </w:tc>
      </w:tr>
      <w:tr w14:paraId="7AE8A6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7781CD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4116" w:type="dxa"/>
            <w:gridSpan w:val="4"/>
            <w:noWrap w:val="0"/>
            <w:vAlign w:val="center"/>
          </w:tcPr>
          <w:p w14:paraId="61174B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3" w:lineRule="auto"/>
              <w:ind w:left="0" w:firstLine="200" w:firstLineChars="10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</w:rPr>
              <w:t>按收入性质分：</w:t>
            </w:r>
          </w:p>
        </w:tc>
        <w:tc>
          <w:tcPr>
            <w:tcW w:w="4635" w:type="dxa"/>
            <w:gridSpan w:val="4"/>
            <w:noWrap w:val="0"/>
            <w:vAlign w:val="center"/>
          </w:tcPr>
          <w:p w14:paraId="45B49C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3" w:lineRule="auto"/>
              <w:ind w:left="0" w:firstLine="200" w:firstLineChars="10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</w:rPr>
              <w:t>按支出性质分：</w:t>
            </w:r>
          </w:p>
        </w:tc>
      </w:tr>
      <w:tr w14:paraId="54769E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453245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4116" w:type="dxa"/>
            <w:gridSpan w:val="4"/>
            <w:noWrap w:val="0"/>
            <w:vAlign w:val="center"/>
          </w:tcPr>
          <w:p w14:paraId="471E64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3" w:lineRule="auto"/>
              <w:ind w:left="0" w:firstLine="200" w:firstLineChars="100"/>
              <w:jc w:val="left"/>
              <w:textAlignment w:val="auto"/>
              <w:rPr>
                <w:rFonts w:hint="default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</w:rPr>
              <w:t xml:space="preserve">其中： 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</w:rPr>
              <w:t>一般公共预算：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/>
              </w:rPr>
              <w:t>1082.50</w:t>
            </w:r>
          </w:p>
        </w:tc>
        <w:tc>
          <w:tcPr>
            <w:tcW w:w="4635" w:type="dxa"/>
            <w:gridSpan w:val="4"/>
            <w:noWrap w:val="0"/>
            <w:vAlign w:val="center"/>
          </w:tcPr>
          <w:p w14:paraId="2E1F18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4" w:lineRule="auto"/>
              <w:ind w:left="0" w:firstLine="200" w:firstLineChars="100"/>
              <w:jc w:val="left"/>
              <w:textAlignment w:val="auto"/>
              <w:rPr>
                <w:rFonts w:hint="default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</w:rPr>
              <w:t>其中：基本支出：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/>
              </w:rPr>
              <w:t>785.57</w:t>
            </w:r>
          </w:p>
        </w:tc>
      </w:tr>
      <w:tr w14:paraId="0C8633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506F85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4116" w:type="dxa"/>
            <w:gridSpan w:val="4"/>
            <w:noWrap w:val="0"/>
            <w:vAlign w:val="center"/>
          </w:tcPr>
          <w:p w14:paraId="22A39E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2" w:lineRule="auto"/>
              <w:ind w:left="0" w:firstLine="1000" w:firstLineChars="500"/>
              <w:jc w:val="left"/>
              <w:textAlignment w:val="auto"/>
              <w:rPr>
                <w:rFonts w:hint="default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</w:rPr>
              <w:t>政府性基金拨款：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/>
              </w:rPr>
              <w:t>9800.00</w:t>
            </w:r>
          </w:p>
        </w:tc>
        <w:tc>
          <w:tcPr>
            <w:tcW w:w="4635" w:type="dxa"/>
            <w:gridSpan w:val="4"/>
            <w:noWrap w:val="0"/>
            <w:vAlign w:val="center"/>
          </w:tcPr>
          <w:p w14:paraId="491564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1" w:lineRule="auto"/>
              <w:ind w:left="0" w:firstLine="800" w:firstLineChars="400"/>
              <w:jc w:val="left"/>
              <w:textAlignment w:val="auto"/>
              <w:rPr>
                <w:rFonts w:hint="default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</w:rPr>
              <w:t>项目支出：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/>
              </w:rPr>
              <w:t>10999.11</w:t>
            </w:r>
          </w:p>
        </w:tc>
      </w:tr>
      <w:tr w14:paraId="023C18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456284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4116" w:type="dxa"/>
            <w:gridSpan w:val="4"/>
            <w:noWrap w:val="0"/>
            <w:vAlign w:val="center"/>
          </w:tcPr>
          <w:p w14:paraId="51A32C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ind w:left="0" w:firstLine="1000" w:firstLineChars="50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</w:rPr>
              <w:t>纳入专户管理的非税收入拨款：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/>
              </w:rPr>
              <w:t>0.00</w:t>
            </w:r>
          </w:p>
        </w:tc>
        <w:tc>
          <w:tcPr>
            <w:tcW w:w="4635" w:type="dxa"/>
            <w:gridSpan w:val="4"/>
            <w:noWrap w:val="0"/>
            <w:vAlign w:val="center"/>
          </w:tcPr>
          <w:p w14:paraId="7BF056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</w:rPr>
            </w:pPr>
          </w:p>
        </w:tc>
      </w:tr>
      <w:tr w14:paraId="371BAE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1084" w:type="dxa"/>
            <w:vMerge w:val="continue"/>
            <w:tcBorders>
              <w:top w:val="nil"/>
            </w:tcBorders>
            <w:noWrap w:val="0"/>
            <w:vAlign w:val="top"/>
          </w:tcPr>
          <w:p w14:paraId="0FD52B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4116" w:type="dxa"/>
            <w:gridSpan w:val="4"/>
            <w:noWrap w:val="0"/>
            <w:vAlign w:val="center"/>
          </w:tcPr>
          <w:p w14:paraId="010DB9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ind w:left="0" w:firstLine="1000" w:firstLineChars="500"/>
              <w:jc w:val="left"/>
              <w:textAlignment w:val="auto"/>
              <w:rPr>
                <w:rFonts w:hint="default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</w:rPr>
              <w:t>其他资金：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/>
              </w:rPr>
              <w:t>902.18</w:t>
            </w:r>
          </w:p>
        </w:tc>
        <w:tc>
          <w:tcPr>
            <w:tcW w:w="4635" w:type="dxa"/>
            <w:gridSpan w:val="4"/>
            <w:noWrap w:val="0"/>
            <w:vAlign w:val="center"/>
          </w:tcPr>
          <w:p w14:paraId="1D78CB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</w:rPr>
            </w:pPr>
          </w:p>
        </w:tc>
      </w:tr>
      <w:tr w14:paraId="167BEE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1084" w:type="dxa"/>
            <w:vMerge w:val="restart"/>
            <w:tcBorders>
              <w:bottom w:val="nil"/>
            </w:tcBorders>
            <w:noWrap w:val="0"/>
            <w:vAlign w:val="center"/>
          </w:tcPr>
          <w:p w14:paraId="474A03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1" w:lineRule="auto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7"/>
                <w:sz w:val="20"/>
                <w:szCs w:val="20"/>
              </w:rPr>
              <w:t>年度总体</w:t>
            </w:r>
            <w:r>
              <w:rPr>
                <w:rFonts w:hint="eastAsia" w:ascii="宋体" w:hAnsi="宋体" w:eastAsia="宋体" w:cs="宋体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spacing w:val="-19"/>
                <w:sz w:val="20"/>
                <w:szCs w:val="20"/>
              </w:rPr>
              <w:t>目</w:t>
            </w:r>
            <w:r>
              <w:rPr>
                <w:rFonts w:hint="eastAsia" w:ascii="宋体" w:hAnsi="宋体" w:eastAsia="宋体" w:cs="宋体"/>
                <w:color w:val="000000"/>
                <w:spacing w:val="-35"/>
                <w:sz w:val="20"/>
                <w:szCs w:val="20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spacing w:val="-19"/>
                <w:sz w:val="20"/>
                <w:szCs w:val="20"/>
              </w:rPr>
              <w:t>标</w:t>
            </w:r>
          </w:p>
        </w:tc>
        <w:tc>
          <w:tcPr>
            <w:tcW w:w="4116" w:type="dxa"/>
            <w:gridSpan w:val="4"/>
            <w:noWrap w:val="0"/>
            <w:vAlign w:val="center"/>
          </w:tcPr>
          <w:p w14:paraId="5E7393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1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</w:rPr>
              <w:t>预期目标</w:t>
            </w:r>
          </w:p>
        </w:tc>
        <w:tc>
          <w:tcPr>
            <w:tcW w:w="4635" w:type="dxa"/>
            <w:gridSpan w:val="4"/>
            <w:noWrap w:val="0"/>
            <w:vAlign w:val="center"/>
          </w:tcPr>
          <w:p w14:paraId="0F8223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1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</w:rPr>
              <w:t>实际完成情况</w:t>
            </w:r>
          </w:p>
        </w:tc>
      </w:tr>
      <w:tr w14:paraId="455003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77" w:hRule="atLeast"/>
        </w:trPr>
        <w:tc>
          <w:tcPr>
            <w:tcW w:w="1084" w:type="dxa"/>
            <w:vMerge w:val="continue"/>
            <w:tcBorders>
              <w:top w:val="nil"/>
            </w:tcBorders>
            <w:noWrap w:val="0"/>
            <w:vAlign w:val="top"/>
          </w:tcPr>
          <w:p w14:paraId="1B010A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4116" w:type="dxa"/>
            <w:gridSpan w:val="4"/>
            <w:noWrap w:val="0"/>
            <w:vAlign w:val="center"/>
          </w:tcPr>
          <w:p w14:paraId="457218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</w:rPr>
              <w:t>1、深化商事制度改革，加强事中事后监管；</w:t>
            </w:r>
          </w:p>
          <w:p w14:paraId="0CF99F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</w:rPr>
              <w:t>2、加强市场监管，切实维护食品药品、特种设备安全，促进市场秩序健康有序发展；</w:t>
            </w:r>
          </w:p>
          <w:p w14:paraId="6923ED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</w:rPr>
              <w:t>3、发挥市场监管职能，着力知识产权、标准认证、计量检定和产品质量检验工作，引导、培育名优品牌，服务社会经济发展；</w:t>
            </w:r>
          </w:p>
          <w:p w14:paraId="72A8C0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</w:rPr>
              <w:t>4、强化消费维权，促进社会和谐稳定。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</w:rPr>
              <w:tab/>
            </w: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</w:rPr>
              <w:tab/>
            </w: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</w:rPr>
              <w:tab/>
            </w: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</w:rPr>
              <w:tab/>
            </w: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</w:rPr>
              <w:tab/>
            </w:r>
          </w:p>
        </w:tc>
        <w:tc>
          <w:tcPr>
            <w:tcW w:w="4635" w:type="dxa"/>
            <w:gridSpan w:val="4"/>
            <w:noWrap w:val="0"/>
            <w:vAlign w:val="center"/>
          </w:tcPr>
          <w:p w14:paraId="5A29D7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/>
              </w:rPr>
              <w:t>全部完成。</w:t>
            </w:r>
          </w:p>
        </w:tc>
      </w:tr>
      <w:tr w14:paraId="6CDE40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8" w:hRule="atLeast"/>
        </w:trPr>
        <w:tc>
          <w:tcPr>
            <w:tcW w:w="1084" w:type="dxa"/>
            <w:vMerge w:val="restart"/>
            <w:tcBorders>
              <w:bottom w:val="nil"/>
            </w:tcBorders>
            <w:noWrap w:val="0"/>
            <w:textDirection w:val="tbRlV"/>
            <w:vAlign w:val="top"/>
          </w:tcPr>
          <w:p w14:paraId="32ACE9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7" w:lineRule="auto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  <w:p w14:paraId="6CBCBC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7" w:lineRule="auto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绩效</w:t>
            </w: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指标</w:t>
            </w:r>
          </w:p>
        </w:tc>
        <w:tc>
          <w:tcPr>
            <w:tcW w:w="519" w:type="dxa"/>
            <w:noWrap w:val="0"/>
            <w:vAlign w:val="center"/>
          </w:tcPr>
          <w:p w14:paraId="6B7625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19"/>
                <w:szCs w:val="19"/>
              </w:rPr>
              <w:t>一级指标</w:t>
            </w:r>
          </w:p>
        </w:tc>
        <w:tc>
          <w:tcPr>
            <w:tcW w:w="1078" w:type="dxa"/>
            <w:noWrap w:val="0"/>
            <w:vAlign w:val="center"/>
          </w:tcPr>
          <w:p w14:paraId="05B511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19"/>
                <w:szCs w:val="19"/>
              </w:rPr>
              <w:t>二级指标</w:t>
            </w:r>
          </w:p>
        </w:tc>
        <w:tc>
          <w:tcPr>
            <w:tcW w:w="1252" w:type="dxa"/>
            <w:noWrap w:val="0"/>
            <w:vAlign w:val="center"/>
          </w:tcPr>
          <w:p w14:paraId="149E54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19"/>
                <w:szCs w:val="19"/>
              </w:rPr>
              <w:t>三级指标</w:t>
            </w:r>
          </w:p>
        </w:tc>
        <w:tc>
          <w:tcPr>
            <w:tcW w:w="1267" w:type="dxa"/>
            <w:noWrap w:val="0"/>
            <w:vAlign w:val="center"/>
          </w:tcPr>
          <w:p w14:paraId="14733D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19"/>
                <w:szCs w:val="19"/>
              </w:rPr>
              <w:t>年度指标值</w:t>
            </w:r>
          </w:p>
        </w:tc>
        <w:tc>
          <w:tcPr>
            <w:tcW w:w="1093" w:type="dxa"/>
            <w:noWrap w:val="0"/>
            <w:vAlign w:val="center"/>
          </w:tcPr>
          <w:p w14:paraId="1690F5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19"/>
                <w:szCs w:val="19"/>
              </w:rPr>
              <w:t>实际完成值</w:t>
            </w:r>
          </w:p>
        </w:tc>
        <w:tc>
          <w:tcPr>
            <w:tcW w:w="669" w:type="dxa"/>
            <w:noWrap w:val="0"/>
            <w:vAlign w:val="center"/>
          </w:tcPr>
          <w:p w14:paraId="1F4365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19"/>
                <w:szCs w:val="19"/>
              </w:rPr>
              <w:t>分值</w:t>
            </w:r>
          </w:p>
        </w:tc>
        <w:tc>
          <w:tcPr>
            <w:tcW w:w="670" w:type="dxa"/>
            <w:noWrap w:val="0"/>
            <w:vAlign w:val="center"/>
          </w:tcPr>
          <w:p w14:paraId="63498E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19"/>
                <w:szCs w:val="19"/>
                <w:lang w:val="en-US" w:eastAsia="zh-CN"/>
              </w:rPr>
              <w:t>自评</w:t>
            </w:r>
          </w:p>
          <w:p w14:paraId="657DF6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19"/>
                <w:szCs w:val="19"/>
              </w:rPr>
              <w:t>得分</w:t>
            </w:r>
          </w:p>
        </w:tc>
        <w:tc>
          <w:tcPr>
            <w:tcW w:w="2203" w:type="dxa"/>
            <w:noWrap w:val="0"/>
            <w:vAlign w:val="center"/>
          </w:tcPr>
          <w:p w14:paraId="651E9A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1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19"/>
                <w:szCs w:val="19"/>
              </w:rPr>
              <w:t>偏差原因分析</w:t>
            </w:r>
          </w:p>
          <w:p w14:paraId="26F08D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19"/>
                <w:szCs w:val="19"/>
              </w:rPr>
              <w:t>及改进措施</w:t>
            </w:r>
          </w:p>
        </w:tc>
      </w:tr>
      <w:tr w14:paraId="221197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2991DBD6">
            <w:pP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519" w:type="dxa"/>
            <w:vMerge w:val="restart"/>
            <w:tcBorders>
              <w:bottom w:val="nil"/>
            </w:tcBorders>
            <w:noWrap w:val="0"/>
            <w:vAlign w:val="center"/>
          </w:tcPr>
          <w:p w14:paraId="02CF99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7" w:lineRule="auto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19"/>
                <w:szCs w:val="19"/>
                <w:lang w:val="en-US" w:eastAsia="zh-CN"/>
              </w:rPr>
            </w:pPr>
          </w:p>
          <w:p w14:paraId="3253AE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7" w:lineRule="auto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  <w:lang w:val="en-US" w:eastAsia="zh-CN"/>
              </w:rPr>
              <w:t>产出指标</w:t>
            </w:r>
          </w:p>
          <w:p w14:paraId="2410FA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7" w:lineRule="auto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19"/>
                <w:szCs w:val="19"/>
                <w:lang w:val="en-US" w:eastAsia="zh-CN"/>
              </w:rPr>
            </w:pPr>
          </w:p>
        </w:tc>
        <w:tc>
          <w:tcPr>
            <w:tcW w:w="1078" w:type="dxa"/>
            <w:tcBorders>
              <w:bottom w:val="nil"/>
            </w:tcBorders>
            <w:noWrap w:val="0"/>
            <w:vAlign w:val="center"/>
          </w:tcPr>
          <w:p w14:paraId="23503F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1252" w:type="dxa"/>
            <w:noWrap w:val="0"/>
            <w:vAlign w:val="center"/>
          </w:tcPr>
          <w:p w14:paraId="2FDAAF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市场安全整治活动次数</w:t>
            </w:r>
          </w:p>
        </w:tc>
        <w:tc>
          <w:tcPr>
            <w:tcW w:w="1267" w:type="dxa"/>
            <w:noWrap w:val="0"/>
            <w:vAlign w:val="center"/>
          </w:tcPr>
          <w:p w14:paraId="44912D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&gt;=24次</w:t>
            </w:r>
          </w:p>
        </w:tc>
        <w:tc>
          <w:tcPr>
            <w:tcW w:w="1093" w:type="dxa"/>
            <w:noWrap w:val="0"/>
            <w:vAlign w:val="center"/>
          </w:tcPr>
          <w:p w14:paraId="666133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669" w:type="dxa"/>
            <w:noWrap w:val="0"/>
            <w:vAlign w:val="center"/>
          </w:tcPr>
          <w:p w14:paraId="722C2F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670" w:type="dxa"/>
            <w:noWrap w:val="0"/>
            <w:vAlign w:val="center"/>
          </w:tcPr>
          <w:p w14:paraId="394C59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2203" w:type="dxa"/>
            <w:noWrap w:val="0"/>
            <w:vAlign w:val="center"/>
          </w:tcPr>
          <w:p w14:paraId="4F92AE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</w:p>
        </w:tc>
      </w:tr>
      <w:tr w14:paraId="7A441A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466A8453">
            <w:pP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519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26157A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7" w:lineRule="auto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19"/>
                <w:szCs w:val="19"/>
                <w:lang w:val="en-US" w:eastAsia="zh-CN"/>
              </w:rPr>
            </w:pPr>
          </w:p>
        </w:tc>
        <w:tc>
          <w:tcPr>
            <w:tcW w:w="1078" w:type="dxa"/>
            <w:noWrap w:val="0"/>
            <w:vAlign w:val="center"/>
          </w:tcPr>
          <w:p w14:paraId="11AF73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质量指标</w:t>
            </w:r>
          </w:p>
        </w:tc>
        <w:tc>
          <w:tcPr>
            <w:tcW w:w="1252" w:type="dxa"/>
            <w:noWrap w:val="0"/>
            <w:vAlign w:val="center"/>
          </w:tcPr>
          <w:p w14:paraId="348BE9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市场整体卫生清洁次数</w:t>
            </w:r>
          </w:p>
        </w:tc>
        <w:tc>
          <w:tcPr>
            <w:tcW w:w="1267" w:type="dxa"/>
            <w:noWrap w:val="0"/>
            <w:vAlign w:val="center"/>
          </w:tcPr>
          <w:p w14:paraId="049032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&gt;=48次</w:t>
            </w:r>
          </w:p>
        </w:tc>
        <w:tc>
          <w:tcPr>
            <w:tcW w:w="1093" w:type="dxa"/>
            <w:noWrap w:val="0"/>
            <w:vAlign w:val="center"/>
          </w:tcPr>
          <w:p w14:paraId="027F69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</w:t>
            </w:r>
          </w:p>
        </w:tc>
        <w:tc>
          <w:tcPr>
            <w:tcW w:w="669" w:type="dxa"/>
            <w:noWrap w:val="0"/>
            <w:vAlign w:val="center"/>
          </w:tcPr>
          <w:p w14:paraId="3D25FE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670" w:type="dxa"/>
            <w:noWrap w:val="0"/>
            <w:vAlign w:val="center"/>
          </w:tcPr>
          <w:p w14:paraId="26A5C4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2203" w:type="dxa"/>
            <w:noWrap w:val="0"/>
            <w:vAlign w:val="center"/>
          </w:tcPr>
          <w:p w14:paraId="461B14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</w:tr>
      <w:tr w14:paraId="229E3D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6352D5A7">
            <w:pP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519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776A72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7" w:lineRule="auto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19"/>
                <w:szCs w:val="19"/>
                <w:lang w:val="en-US" w:eastAsia="zh-CN"/>
              </w:rPr>
            </w:pPr>
          </w:p>
        </w:tc>
        <w:tc>
          <w:tcPr>
            <w:tcW w:w="1078" w:type="dxa"/>
            <w:tcBorders>
              <w:bottom w:val="nil"/>
            </w:tcBorders>
            <w:noWrap w:val="0"/>
            <w:vAlign w:val="center"/>
          </w:tcPr>
          <w:p w14:paraId="332338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时效指标</w:t>
            </w:r>
          </w:p>
        </w:tc>
        <w:tc>
          <w:tcPr>
            <w:tcW w:w="1252" w:type="dxa"/>
            <w:noWrap w:val="0"/>
            <w:vAlign w:val="center"/>
          </w:tcPr>
          <w:p w14:paraId="57EB9C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农贸市场消防演练活动次数</w:t>
            </w:r>
          </w:p>
        </w:tc>
        <w:tc>
          <w:tcPr>
            <w:tcW w:w="1267" w:type="dxa"/>
            <w:noWrap w:val="0"/>
            <w:vAlign w:val="center"/>
          </w:tcPr>
          <w:p w14:paraId="6C8083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&gt;=4次</w:t>
            </w:r>
          </w:p>
        </w:tc>
        <w:tc>
          <w:tcPr>
            <w:tcW w:w="1093" w:type="dxa"/>
            <w:noWrap w:val="0"/>
            <w:vAlign w:val="center"/>
          </w:tcPr>
          <w:p w14:paraId="77ADEB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669" w:type="dxa"/>
            <w:noWrap w:val="0"/>
            <w:vAlign w:val="center"/>
          </w:tcPr>
          <w:p w14:paraId="5CE518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670" w:type="dxa"/>
            <w:noWrap w:val="0"/>
            <w:vAlign w:val="center"/>
          </w:tcPr>
          <w:p w14:paraId="0F7185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2203" w:type="dxa"/>
            <w:noWrap w:val="0"/>
            <w:vAlign w:val="center"/>
          </w:tcPr>
          <w:p w14:paraId="69ABE0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</w:tr>
      <w:tr w14:paraId="024715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078E2707">
            <w:pP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519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6034B2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7" w:lineRule="auto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19"/>
                <w:szCs w:val="19"/>
                <w:lang w:val="en-US" w:eastAsia="zh-CN"/>
              </w:rPr>
            </w:pPr>
          </w:p>
        </w:tc>
        <w:tc>
          <w:tcPr>
            <w:tcW w:w="1078" w:type="dxa"/>
            <w:tcBorders>
              <w:bottom w:val="nil"/>
            </w:tcBorders>
            <w:noWrap w:val="0"/>
            <w:vAlign w:val="center"/>
          </w:tcPr>
          <w:p w14:paraId="1513A3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成本指标</w:t>
            </w:r>
          </w:p>
        </w:tc>
        <w:tc>
          <w:tcPr>
            <w:tcW w:w="1252" w:type="dxa"/>
            <w:noWrap w:val="0"/>
            <w:vAlign w:val="center"/>
          </w:tcPr>
          <w:p w14:paraId="41E091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预算支出控制情况</w:t>
            </w:r>
          </w:p>
        </w:tc>
        <w:tc>
          <w:tcPr>
            <w:tcW w:w="1267" w:type="dxa"/>
            <w:noWrap w:val="0"/>
            <w:vAlign w:val="center"/>
          </w:tcPr>
          <w:p w14:paraId="72D60E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&lt;=100%</w:t>
            </w:r>
          </w:p>
        </w:tc>
        <w:tc>
          <w:tcPr>
            <w:tcW w:w="1093" w:type="dxa"/>
            <w:noWrap w:val="0"/>
            <w:vAlign w:val="center"/>
          </w:tcPr>
          <w:p w14:paraId="7BBFBF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&lt;=100%</w:t>
            </w:r>
          </w:p>
        </w:tc>
        <w:tc>
          <w:tcPr>
            <w:tcW w:w="669" w:type="dxa"/>
            <w:noWrap w:val="0"/>
            <w:vAlign w:val="center"/>
          </w:tcPr>
          <w:p w14:paraId="1694C9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670" w:type="dxa"/>
            <w:noWrap w:val="0"/>
            <w:vAlign w:val="center"/>
          </w:tcPr>
          <w:p w14:paraId="1E72BE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2203" w:type="dxa"/>
            <w:noWrap w:val="0"/>
            <w:vAlign w:val="center"/>
          </w:tcPr>
          <w:p w14:paraId="5A6645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</w:tr>
      <w:tr w14:paraId="45E657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1A27F635">
            <w:pP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519" w:type="dxa"/>
            <w:vMerge w:val="restart"/>
            <w:tcBorders>
              <w:bottom w:val="nil"/>
            </w:tcBorders>
            <w:noWrap w:val="0"/>
            <w:vAlign w:val="center"/>
          </w:tcPr>
          <w:p w14:paraId="081264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7" w:lineRule="auto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19"/>
                <w:szCs w:val="19"/>
                <w:lang w:val="en-US" w:eastAsia="zh-CN"/>
              </w:rPr>
            </w:pPr>
          </w:p>
          <w:p w14:paraId="0BD7BA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7" w:lineRule="auto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  <w:lang w:val="en-US" w:eastAsia="zh-CN"/>
              </w:rPr>
              <w:t>效益指标</w:t>
            </w:r>
          </w:p>
          <w:p w14:paraId="526BD1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7" w:lineRule="auto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19"/>
                <w:szCs w:val="19"/>
                <w:lang w:val="en-US" w:eastAsia="zh-CN"/>
              </w:rPr>
            </w:pPr>
          </w:p>
        </w:tc>
        <w:tc>
          <w:tcPr>
            <w:tcW w:w="1078" w:type="dxa"/>
            <w:tcBorders>
              <w:bottom w:val="nil"/>
            </w:tcBorders>
            <w:noWrap w:val="0"/>
            <w:vAlign w:val="center"/>
          </w:tcPr>
          <w:p w14:paraId="1E0A08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经济效益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指标</w:t>
            </w:r>
          </w:p>
        </w:tc>
        <w:tc>
          <w:tcPr>
            <w:tcW w:w="1252" w:type="dxa"/>
            <w:noWrap w:val="0"/>
            <w:vAlign w:val="center"/>
          </w:tcPr>
          <w:p w14:paraId="1A2CD6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降低空置率，增加租金收入</w:t>
            </w:r>
          </w:p>
        </w:tc>
        <w:tc>
          <w:tcPr>
            <w:tcW w:w="1267" w:type="dxa"/>
            <w:noWrap w:val="0"/>
            <w:vAlign w:val="center"/>
          </w:tcPr>
          <w:p w14:paraId="4C2807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&gt;=3万元</w:t>
            </w:r>
          </w:p>
        </w:tc>
        <w:tc>
          <w:tcPr>
            <w:tcW w:w="1093" w:type="dxa"/>
            <w:noWrap w:val="0"/>
            <w:vAlign w:val="center"/>
          </w:tcPr>
          <w:p w14:paraId="32EE4E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3.2万元</w:t>
            </w:r>
          </w:p>
        </w:tc>
        <w:tc>
          <w:tcPr>
            <w:tcW w:w="669" w:type="dxa"/>
            <w:noWrap w:val="0"/>
            <w:vAlign w:val="center"/>
          </w:tcPr>
          <w:p w14:paraId="579AD9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670" w:type="dxa"/>
            <w:noWrap w:val="0"/>
            <w:vAlign w:val="center"/>
          </w:tcPr>
          <w:p w14:paraId="0FEABE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2203" w:type="dxa"/>
            <w:noWrap w:val="0"/>
            <w:vAlign w:val="center"/>
          </w:tcPr>
          <w:p w14:paraId="472813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</w:p>
        </w:tc>
      </w:tr>
      <w:tr w14:paraId="0D25C1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37562167">
            <w:pP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519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5C2469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7" w:lineRule="auto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19"/>
                <w:szCs w:val="19"/>
                <w:lang w:val="en-US" w:eastAsia="zh-CN"/>
              </w:rPr>
            </w:pPr>
          </w:p>
        </w:tc>
        <w:tc>
          <w:tcPr>
            <w:tcW w:w="1078" w:type="dxa"/>
            <w:tcBorders>
              <w:bottom w:val="nil"/>
            </w:tcBorders>
            <w:noWrap w:val="0"/>
            <w:vAlign w:val="center"/>
          </w:tcPr>
          <w:p w14:paraId="21C427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社会效益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指标</w:t>
            </w:r>
          </w:p>
        </w:tc>
        <w:tc>
          <w:tcPr>
            <w:tcW w:w="1252" w:type="dxa"/>
            <w:noWrap w:val="0"/>
            <w:vAlign w:val="center"/>
          </w:tcPr>
          <w:p w14:paraId="253AB3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食用农产品监督抽检批次</w:t>
            </w:r>
          </w:p>
        </w:tc>
        <w:tc>
          <w:tcPr>
            <w:tcW w:w="1267" w:type="dxa"/>
            <w:noWrap w:val="0"/>
            <w:vAlign w:val="center"/>
          </w:tcPr>
          <w:p w14:paraId="2D8419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&gt;=96次</w:t>
            </w:r>
          </w:p>
        </w:tc>
        <w:tc>
          <w:tcPr>
            <w:tcW w:w="1093" w:type="dxa"/>
            <w:noWrap w:val="0"/>
            <w:vAlign w:val="center"/>
          </w:tcPr>
          <w:p w14:paraId="340E59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98次</w:t>
            </w:r>
          </w:p>
        </w:tc>
        <w:tc>
          <w:tcPr>
            <w:tcW w:w="669" w:type="dxa"/>
            <w:noWrap w:val="0"/>
            <w:vAlign w:val="center"/>
          </w:tcPr>
          <w:p w14:paraId="690982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670" w:type="dxa"/>
            <w:noWrap w:val="0"/>
            <w:vAlign w:val="center"/>
          </w:tcPr>
          <w:p w14:paraId="437EDE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2203" w:type="dxa"/>
            <w:noWrap w:val="0"/>
            <w:vAlign w:val="center"/>
          </w:tcPr>
          <w:p w14:paraId="73E2C1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</w:tr>
      <w:tr w14:paraId="6892CA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3BE4C75F">
            <w:pP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519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3C9C31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7" w:lineRule="auto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19"/>
                <w:szCs w:val="19"/>
                <w:lang w:val="en-US" w:eastAsia="zh-CN"/>
              </w:rPr>
            </w:pPr>
          </w:p>
        </w:tc>
        <w:tc>
          <w:tcPr>
            <w:tcW w:w="1078" w:type="dxa"/>
            <w:tcBorders>
              <w:bottom w:val="nil"/>
            </w:tcBorders>
            <w:noWrap w:val="0"/>
            <w:vAlign w:val="center"/>
          </w:tcPr>
          <w:p w14:paraId="365893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生态效益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指标</w:t>
            </w:r>
          </w:p>
        </w:tc>
        <w:tc>
          <w:tcPr>
            <w:tcW w:w="1252" w:type="dxa"/>
            <w:noWrap w:val="0"/>
            <w:vAlign w:val="center"/>
          </w:tcPr>
          <w:p w14:paraId="2AB60D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农贸市场配套绿化带整治情况</w:t>
            </w:r>
          </w:p>
        </w:tc>
        <w:tc>
          <w:tcPr>
            <w:tcW w:w="1267" w:type="dxa"/>
            <w:noWrap w:val="0"/>
            <w:vAlign w:val="center"/>
          </w:tcPr>
          <w:p w14:paraId="5F65F1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完成配套绿化带规划、翻新工作</w:t>
            </w:r>
          </w:p>
        </w:tc>
        <w:tc>
          <w:tcPr>
            <w:tcW w:w="1093" w:type="dxa"/>
            <w:noWrap w:val="0"/>
            <w:vAlign w:val="center"/>
          </w:tcPr>
          <w:p w14:paraId="39552E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完成配套绿化带规划、翻新工作</w:t>
            </w:r>
          </w:p>
        </w:tc>
        <w:tc>
          <w:tcPr>
            <w:tcW w:w="669" w:type="dxa"/>
            <w:noWrap w:val="0"/>
            <w:vAlign w:val="center"/>
          </w:tcPr>
          <w:p w14:paraId="60080E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670" w:type="dxa"/>
            <w:noWrap w:val="0"/>
            <w:vAlign w:val="center"/>
          </w:tcPr>
          <w:p w14:paraId="2355BA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2203" w:type="dxa"/>
            <w:noWrap w:val="0"/>
            <w:vAlign w:val="center"/>
          </w:tcPr>
          <w:p w14:paraId="041431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</w:tr>
      <w:tr w14:paraId="744DFE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1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7C695974">
            <w:pP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519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3D8D23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7" w:lineRule="auto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19"/>
                <w:szCs w:val="19"/>
                <w:lang w:val="en-US" w:eastAsia="zh-CN"/>
              </w:rPr>
            </w:pPr>
          </w:p>
        </w:tc>
        <w:tc>
          <w:tcPr>
            <w:tcW w:w="1078" w:type="dxa"/>
            <w:tcBorders>
              <w:bottom w:val="nil"/>
            </w:tcBorders>
            <w:noWrap w:val="0"/>
            <w:vAlign w:val="center"/>
          </w:tcPr>
          <w:p w14:paraId="00DBC4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可持续影响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指标</w:t>
            </w:r>
          </w:p>
        </w:tc>
        <w:tc>
          <w:tcPr>
            <w:tcW w:w="1252" w:type="dxa"/>
            <w:noWrap w:val="0"/>
            <w:vAlign w:val="center"/>
          </w:tcPr>
          <w:p w14:paraId="176A42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农贸市场经营秩序规范</w:t>
            </w:r>
          </w:p>
        </w:tc>
        <w:tc>
          <w:tcPr>
            <w:tcW w:w="1267" w:type="dxa"/>
            <w:noWrap w:val="0"/>
            <w:vAlign w:val="center"/>
          </w:tcPr>
          <w:p w14:paraId="4B3649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重新修订市场经营管理制度</w:t>
            </w:r>
          </w:p>
        </w:tc>
        <w:tc>
          <w:tcPr>
            <w:tcW w:w="1093" w:type="dxa"/>
            <w:noWrap w:val="0"/>
            <w:vAlign w:val="center"/>
          </w:tcPr>
          <w:p w14:paraId="5C0FDB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重新修订市场经营管理制度</w:t>
            </w:r>
          </w:p>
        </w:tc>
        <w:tc>
          <w:tcPr>
            <w:tcW w:w="669" w:type="dxa"/>
            <w:noWrap w:val="0"/>
            <w:vAlign w:val="center"/>
          </w:tcPr>
          <w:p w14:paraId="53F725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670" w:type="dxa"/>
            <w:noWrap w:val="0"/>
            <w:vAlign w:val="center"/>
          </w:tcPr>
          <w:p w14:paraId="1138E1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2203" w:type="dxa"/>
            <w:noWrap w:val="0"/>
            <w:vAlign w:val="center"/>
          </w:tcPr>
          <w:p w14:paraId="778288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</w:tr>
      <w:tr w14:paraId="344B74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16B2C9F4">
            <w:pP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519" w:type="dxa"/>
            <w:tcBorders>
              <w:bottom w:val="nil"/>
            </w:tcBorders>
            <w:noWrap w:val="0"/>
            <w:vAlign w:val="center"/>
          </w:tcPr>
          <w:p w14:paraId="33650E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7" w:lineRule="auto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  <w:lang w:val="en-US" w:eastAsia="zh-CN"/>
              </w:rPr>
              <w:t>满意度</w:t>
            </w:r>
          </w:p>
          <w:p w14:paraId="7C9289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7" w:lineRule="auto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  <w:lang w:val="en-US" w:eastAsia="zh-CN"/>
              </w:rPr>
              <w:t>指标</w:t>
            </w:r>
          </w:p>
        </w:tc>
        <w:tc>
          <w:tcPr>
            <w:tcW w:w="1078" w:type="dxa"/>
            <w:tcBorders>
              <w:bottom w:val="nil"/>
            </w:tcBorders>
            <w:noWrap w:val="0"/>
            <w:vAlign w:val="center"/>
          </w:tcPr>
          <w:p w14:paraId="421A13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服务对象满意度指标</w:t>
            </w:r>
          </w:p>
        </w:tc>
        <w:tc>
          <w:tcPr>
            <w:tcW w:w="1252" w:type="dxa"/>
            <w:noWrap w:val="0"/>
            <w:vAlign w:val="center"/>
          </w:tcPr>
          <w:p w14:paraId="73B4BC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社会公众满意度</w:t>
            </w:r>
          </w:p>
        </w:tc>
        <w:tc>
          <w:tcPr>
            <w:tcW w:w="1267" w:type="dxa"/>
            <w:noWrap w:val="0"/>
            <w:vAlign w:val="center"/>
          </w:tcPr>
          <w:p w14:paraId="624E67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&gt;=95%</w:t>
            </w:r>
          </w:p>
        </w:tc>
        <w:tc>
          <w:tcPr>
            <w:tcW w:w="1093" w:type="dxa"/>
            <w:noWrap w:val="0"/>
            <w:vAlign w:val="center"/>
          </w:tcPr>
          <w:p w14:paraId="7BA9BC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98%</w:t>
            </w:r>
          </w:p>
        </w:tc>
        <w:tc>
          <w:tcPr>
            <w:tcW w:w="669" w:type="dxa"/>
            <w:noWrap w:val="0"/>
            <w:vAlign w:val="center"/>
          </w:tcPr>
          <w:p w14:paraId="30D853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670" w:type="dxa"/>
            <w:noWrap w:val="0"/>
            <w:vAlign w:val="center"/>
          </w:tcPr>
          <w:p w14:paraId="4CC875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2203" w:type="dxa"/>
            <w:noWrap w:val="0"/>
            <w:vAlign w:val="center"/>
          </w:tcPr>
          <w:p w14:paraId="6661BC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</w:tr>
      <w:tr w14:paraId="6A66AB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atLeast"/>
        </w:trPr>
        <w:tc>
          <w:tcPr>
            <w:tcW w:w="1084" w:type="dxa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1C32EAB6">
            <w:pP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519" w:type="dxa"/>
            <w:tcBorders>
              <w:bottom w:val="nil"/>
            </w:tcBorders>
            <w:noWrap w:val="0"/>
            <w:vAlign w:val="center"/>
          </w:tcPr>
          <w:p w14:paraId="164D69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7" w:lineRule="auto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  <w:lang w:val="en-US" w:eastAsia="zh-CN"/>
              </w:rPr>
              <w:t>成本指标</w:t>
            </w:r>
          </w:p>
        </w:tc>
        <w:tc>
          <w:tcPr>
            <w:tcW w:w="1078" w:type="dxa"/>
            <w:tcBorders>
              <w:bottom w:val="nil"/>
            </w:tcBorders>
            <w:noWrap w:val="0"/>
            <w:vAlign w:val="center"/>
          </w:tcPr>
          <w:p w14:paraId="1AA947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经济成本指标</w:t>
            </w:r>
          </w:p>
        </w:tc>
        <w:tc>
          <w:tcPr>
            <w:tcW w:w="1252" w:type="dxa"/>
            <w:noWrap w:val="0"/>
            <w:vAlign w:val="center"/>
          </w:tcPr>
          <w:p w14:paraId="7DD599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预算支出控制情况</w:t>
            </w:r>
          </w:p>
        </w:tc>
        <w:tc>
          <w:tcPr>
            <w:tcW w:w="1267" w:type="dxa"/>
            <w:noWrap w:val="0"/>
            <w:vAlign w:val="center"/>
          </w:tcPr>
          <w:p w14:paraId="13DE73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&lt;=100%</w:t>
            </w:r>
          </w:p>
        </w:tc>
        <w:tc>
          <w:tcPr>
            <w:tcW w:w="1093" w:type="dxa"/>
            <w:noWrap w:val="0"/>
            <w:vAlign w:val="center"/>
          </w:tcPr>
          <w:p w14:paraId="209B43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100%</w:t>
            </w:r>
          </w:p>
        </w:tc>
        <w:tc>
          <w:tcPr>
            <w:tcW w:w="669" w:type="dxa"/>
            <w:noWrap w:val="0"/>
            <w:vAlign w:val="center"/>
          </w:tcPr>
          <w:p w14:paraId="669EB4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670" w:type="dxa"/>
            <w:noWrap w:val="0"/>
            <w:vAlign w:val="center"/>
          </w:tcPr>
          <w:p w14:paraId="1BFB0F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2203" w:type="dxa"/>
            <w:noWrap w:val="0"/>
            <w:vAlign w:val="center"/>
          </w:tcPr>
          <w:p w14:paraId="62C7C3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</w:tr>
      <w:tr w14:paraId="3BD208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6293" w:type="dxa"/>
            <w:gridSpan w:val="6"/>
            <w:noWrap w:val="0"/>
            <w:vAlign w:val="center"/>
          </w:tcPr>
          <w:p w14:paraId="07A9B5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总分</w:t>
            </w:r>
          </w:p>
        </w:tc>
        <w:tc>
          <w:tcPr>
            <w:tcW w:w="669" w:type="dxa"/>
            <w:noWrap w:val="0"/>
            <w:vAlign w:val="center"/>
          </w:tcPr>
          <w:p w14:paraId="5A4C43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100</w:t>
            </w:r>
          </w:p>
        </w:tc>
        <w:tc>
          <w:tcPr>
            <w:tcW w:w="670" w:type="dxa"/>
            <w:noWrap w:val="0"/>
            <w:vAlign w:val="center"/>
          </w:tcPr>
          <w:p w14:paraId="24C98A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98.91</w:t>
            </w:r>
          </w:p>
        </w:tc>
        <w:tc>
          <w:tcPr>
            <w:tcW w:w="2203" w:type="dxa"/>
            <w:noWrap w:val="0"/>
            <w:vAlign w:val="center"/>
          </w:tcPr>
          <w:p w14:paraId="092904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</w:tr>
    </w:tbl>
    <w:p w14:paraId="5D5D4E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/>
        <w:jc w:val="both"/>
        <w:textAlignment w:val="auto"/>
        <w:rPr>
          <w:rFonts w:hint="default" w:ascii="Times New Roman" w:hAnsi="Times New Roman" w:eastAsia="宋体" w:cs="Times New Roman"/>
          <w:color w:val="000000"/>
          <w:spacing w:val="0"/>
          <w:position w:val="0"/>
          <w:sz w:val="23"/>
          <w:szCs w:val="23"/>
          <w:lang w:val="en-US" w:eastAsia="zh-CN"/>
        </w:rPr>
        <w:sectPr>
          <w:pgSz w:w="11906" w:h="16838"/>
          <w:pgMar w:top="1134" w:right="1417" w:bottom="1134" w:left="1134" w:header="851" w:footer="992" w:gutter="0"/>
          <w:pgNumType w:fmt="decimal"/>
          <w:cols w:space="0" w:num="1"/>
          <w:rtlGutter w:val="0"/>
          <w:docGrid w:type="lines" w:linePitch="312" w:charSpace="0"/>
        </w:sectPr>
      </w:pP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>填表人：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eastAsia="zh-CN"/>
        </w:rPr>
        <w:t>周驰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 xml:space="preserve">     联系电话：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  <w:t>16673271165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 xml:space="preserve">   单位负责人签字：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>填报日期：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  <w:t>2025-7-30</w:t>
      </w:r>
    </w:p>
    <w:p w14:paraId="2239A488">
      <w:pPr>
        <w:spacing w:before="191" w:line="230" w:lineRule="auto"/>
        <w:rPr>
          <w:rFonts w:hint="eastAsia" w:ascii="方正小标宋简体" w:hAnsi="方正小标宋简体" w:eastAsia="黑体" w:cs="方正小标宋简体"/>
          <w:sz w:val="31"/>
          <w:szCs w:val="31"/>
          <w:lang w:eastAsia="zh-CN"/>
        </w:rPr>
      </w:pPr>
      <w:r>
        <w:rPr>
          <w:rFonts w:ascii="黑体" w:hAnsi="黑体" w:eastAsia="黑体" w:cs="黑体"/>
          <w:spacing w:val="-4"/>
          <w:sz w:val="31"/>
          <w:szCs w:val="31"/>
        </w:rPr>
        <w:t>附件</w:t>
      </w:r>
      <w:r>
        <w:rPr>
          <w:rFonts w:ascii="黑体" w:hAnsi="黑体" w:eastAsia="黑体" w:cs="黑体"/>
          <w:spacing w:val="-68"/>
          <w:sz w:val="31"/>
          <w:szCs w:val="31"/>
        </w:rPr>
        <w:t xml:space="preserve"> </w:t>
      </w:r>
      <w:r>
        <w:rPr>
          <w:rFonts w:hint="eastAsia" w:ascii="Times New Roman" w:hAnsi="Times New Roman" w:eastAsia="宋体" w:cs="Times New Roman"/>
          <w:spacing w:val="-4"/>
          <w:sz w:val="31"/>
          <w:szCs w:val="31"/>
          <w:lang w:val="en-US" w:eastAsia="zh-CN"/>
        </w:rPr>
        <w:t>3</w:t>
      </w:r>
    </w:p>
    <w:p w14:paraId="33B7E7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  <w:t>2024 年度项目支出绩效自评表</w:t>
      </w:r>
    </w:p>
    <w:tbl>
      <w:tblPr>
        <w:tblStyle w:val="7"/>
        <w:tblW w:w="9855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84"/>
        <w:gridCol w:w="1079"/>
        <w:gridCol w:w="955"/>
        <w:gridCol w:w="1244"/>
        <w:gridCol w:w="1244"/>
        <w:gridCol w:w="1281"/>
        <w:gridCol w:w="673"/>
        <w:gridCol w:w="873"/>
        <w:gridCol w:w="1422"/>
      </w:tblGrid>
      <w:tr w14:paraId="0EF07BB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3118" w:type="dxa"/>
            <w:gridSpan w:val="3"/>
            <w:vAlign w:val="top"/>
          </w:tcPr>
          <w:p w14:paraId="31E230B7">
            <w:pPr>
              <w:spacing w:before="41" w:line="211" w:lineRule="auto"/>
              <w:ind w:left="96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项目支出名称</w:t>
            </w:r>
          </w:p>
        </w:tc>
        <w:tc>
          <w:tcPr>
            <w:tcW w:w="6737" w:type="dxa"/>
            <w:gridSpan w:val="6"/>
            <w:vAlign w:val="top"/>
          </w:tcPr>
          <w:p w14:paraId="5491673E">
            <w:pPr>
              <w:pStyle w:val="8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/</w:t>
            </w:r>
          </w:p>
        </w:tc>
      </w:tr>
      <w:tr w14:paraId="4B53D35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1084" w:type="dxa"/>
            <w:vAlign w:val="top"/>
          </w:tcPr>
          <w:p w14:paraId="7ECEC9AD">
            <w:pPr>
              <w:spacing w:before="32" w:line="215" w:lineRule="auto"/>
              <w:ind w:left="12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主管部门</w:t>
            </w:r>
          </w:p>
        </w:tc>
        <w:tc>
          <w:tcPr>
            <w:tcW w:w="4522" w:type="dxa"/>
            <w:gridSpan w:val="4"/>
            <w:vAlign w:val="top"/>
          </w:tcPr>
          <w:p w14:paraId="7BB208D4">
            <w:pPr>
              <w:pStyle w:val="8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/</w:t>
            </w:r>
          </w:p>
        </w:tc>
        <w:tc>
          <w:tcPr>
            <w:tcW w:w="1281" w:type="dxa"/>
            <w:vAlign w:val="top"/>
          </w:tcPr>
          <w:p w14:paraId="27D62055">
            <w:pPr>
              <w:spacing w:before="32" w:line="215" w:lineRule="auto"/>
              <w:ind w:left="258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实施单位</w:t>
            </w:r>
          </w:p>
        </w:tc>
        <w:tc>
          <w:tcPr>
            <w:tcW w:w="2968" w:type="dxa"/>
            <w:gridSpan w:val="3"/>
            <w:vAlign w:val="top"/>
          </w:tcPr>
          <w:p w14:paraId="7A57E674">
            <w:pPr>
              <w:pStyle w:val="8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/</w:t>
            </w:r>
          </w:p>
        </w:tc>
      </w:tr>
      <w:tr w14:paraId="3CEE7FF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1084" w:type="dxa"/>
            <w:vMerge w:val="restart"/>
            <w:tcBorders>
              <w:bottom w:val="nil"/>
            </w:tcBorders>
            <w:vAlign w:val="top"/>
          </w:tcPr>
          <w:p w14:paraId="76A10F63">
            <w:pPr>
              <w:spacing w:before="61" w:line="241" w:lineRule="auto"/>
              <w:ind w:right="141"/>
              <w:jc w:val="both"/>
              <w:rPr>
                <w:rFonts w:hint="eastAsia" w:ascii="宋体" w:hAnsi="宋体" w:cs="宋体"/>
                <w:sz w:val="19"/>
                <w:szCs w:val="19"/>
                <w:lang w:eastAsia="zh-CN"/>
              </w:rPr>
            </w:pPr>
          </w:p>
          <w:p w14:paraId="3C8849D5">
            <w:pPr>
              <w:spacing w:before="61" w:line="241" w:lineRule="auto"/>
              <w:ind w:right="141"/>
              <w:jc w:val="center"/>
              <w:rPr>
                <w:rFonts w:hint="eastAsia" w:ascii="宋体" w:hAnsi="宋体" w:eastAsia="宋体" w:cs="宋体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cs="宋体"/>
                <w:sz w:val="19"/>
                <w:szCs w:val="19"/>
                <w:lang w:eastAsia="zh-CN"/>
              </w:rPr>
              <w:t>项目资金（万元）</w:t>
            </w:r>
          </w:p>
        </w:tc>
        <w:tc>
          <w:tcPr>
            <w:tcW w:w="2034" w:type="dxa"/>
            <w:gridSpan w:val="2"/>
            <w:vAlign w:val="top"/>
          </w:tcPr>
          <w:p w14:paraId="5BB79AD6">
            <w:pPr>
              <w:pStyle w:val="8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vAlign w:val="top"/>
          </w:tcPr>
          <w:p w14:paraId="0B55A164">
            <w:pPr>
              <w:spacing w:before="31" w:line="217" w:lineRule="auto"/>
              <w:ind w:left="129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年初预算数</w:t>
            </w:r>
          </w:p>
        </w:tc>
        <w:tc>
          <w:tcPr>
            <w:tcW w:w="1244" w:type="dxa"/>
            <w:vAlign w:val="top"/>
          </w:tcPr>
          <w:p w14:paraId="7C98FDA4">
            <w:pPr>
              <w:spacing w:before="31" w:line="217" w:lineRule="auto"/>
              <w:ind w:left="11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全年预算数</w:t>
            </w:r>
          </w:p>
        </w:tc>
        <w:tc>
          <w:tcPr>
            <w:tcW w:w="1281" w:type="dxa"/>
            <w:vAlign w:val="top"/>
          </w:tcPr>
          <w:p w14:paraId="738A4A96">
            <w:pPr>
              <w:spacing w:before="31" w:line="217" w:lineRule="auto"/>
              <w:ind w:left="14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全年执行数</w:t>
            </w:r>
          </w:p>
        </w:tc>
        <w:tc>
          <w:tcPr>
            <w:tcW w:w="673" w:type="dxa"/>
            <w:vAlign w:val="top"/>
          </w:tcPr>
          <w:p w14:paraId="3D584AFB">
            <w:pPr>
              <w:spacing w:before="31" w:line="217" w:lineRule="auto"/>
              <w:ind w:left="14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分值</w:t>
            </w:r>
          </w:p>
        </w:tc>
        <w:tc>
          <w:tcPr>
            <w:tcW w:w="873" w:type="dxa"/>
            <w:vAlign w:val="top"/>
          </w:tcPr>
          <w:p w14:paraId="3A91ABC7">
            <w:pPr>
              <w:spacing w:before="31" w:line="217" w:lineRule="auto"/>
              <w:ind w:left="149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执行率</w:t>
            </w:r>
          </w:p>
        </w:tc>
        <w:tc>
          <w:tcPr>
            <w:tcW w:w="1422" w:type="dxa"/>
            <w:vAlign w:val="top"/>
          </w:tcPr>
          <w:p w14:paraId="09730C5F">
            <w:pPr>
              <w:spacing w:before="31" w:line="217" w:lineRule="auto"/>
              <w:ind w:left="351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sz w:val="19"/>
                <w:szCs w:val="19"/>
              </w:rPr>
              <w:t>自评得分</w:t>
            </w:r>
          </w:p>
        </w:tc>
      </w:tr>
      <w:tr w14:paraId="3212223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vAlign w:val="top"/>
          </w:tcPr>
          <w:p w14:paraId="512BB49C">
            <w:pPr>
              <w:pStyle w:val="8"/>
              <w:rPr>
                <w:rFonts w:hint="eastAsia" w:ascii="宋体" w:hAnsi="宋体" w:eastAsia="宋体" w:cs="宋体"/>
              </w:rPr>
            </w:pPr>
          </w:p>
        </w:tc>
        <w:tc>
          <w:tcPr>
            <w:tcW w:w="2034" w:type="dxa"/>
            <w:gridSpan w:val="2"/>
            <w:vAlign w:val="top"/>
          </w:tcPr>
          <w:p w14:paraId="1961070E">
            <w:pPr>
              <w:spacing w:before="30" w:line="217" w:lineRule="auto"/>
              <w:ind w:left="11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年度资金总额</w:t>
            </w:r>
          </w:p>
        </w:tc>
        <w:tc>
          <w:tcPr>
            <w:tcW w:w="1244" w:type="dxa"/>
            <w:vAlign w:val="top"/>
          </w:tcPr>
          <w:p w14:paraId="33A072F6">
            <w:pPr>
              <w:pStyle w:val="8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/</w:t>
            </w:r>
          </w:p>
        </w:tc>
        <w:tc>
          <w:tcPr>
            <w:tcW w:w="1244" w:type="dxa"/>
            <w:vAlign w:val="top"/>
          </w:tcPr>
          <w:p w14:paraId="127FE77D">
            <w:pPr>
              <w:pStyle w:val="8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/</w:t>
            </w:r>
          </w:p>
        </w:tc>
        <w:tc>
          <w:tcPr>
            <w:tcW w:w="1281" w:type="dxa"/>
            <w:vAlign w:val="top"/>
          </w:tcPr>
          <w:p w14:paraId="0A7D30FD">
            <w:pPr>
              <w:pStyle w:val="8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/</w:t>
            </w:r>
          </w:p>
        </w:tc>
        <w:tc>
          <w:tcPr>
            <w:tcW w:w="673" w:type="dxa"/>
            <w:vAlign w:val="top"/>
          </w:tcPr>
          <w:p w14:paraId="48ED08E8">
            <w:pPr>
              <w:spacing w:before="64" w:line="195" w:lineRule="auto"/>
              <w:ind w:left="331"/>
              <w:jc w:val="center"/>
              <w:rPr>
                <w:rFonts w:hint="eastAsia" w:ascii="宋体" w:hAnsi="宋体" w:eastAsia="宋体" w:cs="宋体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8"/>
                <w:sz w:val="19"/>
                <w:szCs w:val="19"/>
                <w:lang w:val="en-US" w:eastAsia="zh-CN"/>
              </w:rPr>
              <w:t>/</w:t>
            </w:r>
          </w:p>
        </w:tc>
        <w:tc>
          <w:tcPr>
            <w:tcW w:w="873" w:type="dxa"/>
            <w:vAlign w:val="top"/>
          </w:tcPr>
          <w:p w14:paraId="5C211E40">
            <w:pPr>
              <w:pStyle w:val="8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/</w:t>
            </w:r>
          </w:p>
        </w:tc>
        <w:tc>
          <w:tcPr>
            <w:tcW w:w="1422" w:type="dxa"/>
            <w:vAlign w:val="top"/>
          </w:tcPr>
          <w:p w14:paraId="396B5D3C">
            <w:pPr>
              <w:pStyle w:val="8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/</w:t>
            </w:r>
          </w:p>
        </w:tc>
      </w:tr>
      <w:tr w14:paraId="304FC3A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vAlign w:val="top"/>
          </w:tcPr>
          <w:p w14:paraId="6E17B772">
            <w:pPr>
              <w:pStyle w:val="8"/>
              <w:rPr>
                <w:rFonts w:hint="eastAsia" w:ascii="宋体" w:hAnsi="宋体" w:eastAsia="宋体" w:cs="宋体"/>
              </w:rPr>
            </w:pPr>
          </w:p>
        </w:tc>
        <w:tc>
          <w:tcPr>
            <w:tcW w:w="2034" w:type="dxa"/>
            <w:gridSpan w:val="2"/>
            <w:vAlign w:val="top"/>
          </w:tcPr>
          <w:p w14:paraId="3A12AE5D">
            <w:pPr>
              <w:spacing w:before="30" w:line="218" w:lineRule="auto"/>
              <w:ind w:left="111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9"/>
                <w:sz w:val="19"/>
                <w:szCs w:val="19"/>
              </w:rPr>
              <w:t>其中：当年财政拨款</w:t>
            </w:r>
          </w:p>
        </w:tc>
        <w:tc>
          <w:tcPr>
            <w:tcW w:w="1244" w:type="dxa"/>
            <w:vAlign w:val="top"/>
          </w:tcPr>
          <w:p w14:paraId="64E78779">
            <w:pPr>
              <w:pStyle w:val="8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vAlign w:val="top"/>
          </w:tcPr>
          <w:p w14:paraId="03439224">
            <w:pPr>
              <w:pStyle w:val="8"/>
              <w:rPr>
                <w:rFonts w:hint="eastAsia" w:ascii="宋体" w:hAnsi="宋体" w:eastAsia="宋体" w:cs="宋体"/>
              </w:rPr>
            </w:pPr>
          </w:p>
        </w:tc>
        <w:tc>
          <w:tcPr>
            <w:tcW w:w="1281" w:type="dxa"/>
            <w:vAlign w:val="top"/>
          </w:tcPr>
          <w:p w14:paraId="4381A9BD">
            <w:pPr>
              <w:pStyle w:val="8"/>
              <w:rPr>
                <w:rFonts w:hint="eastAsia" w:ascii="宋体" w:hAnsi="宋体" w:eastAsia="宋体" w:cs="宋体"/>
              </w:rPr>
            </w:pPr>
          </w:p>
        </w:tc>
        <w:tc>
          <w:tcPr>
            <w:tcW w:w="673" w:type="dxa"/>
            <w:vAlign w:val="top"/>
          </w:tcPr>
          <w:p w14:paraId="47C6F8E2">
            <w:pPr>
              <w:pStyle w:val="8"/>
              <w:rPr>
                <w:rFonts w:hint="eastAsia" w:ascii="宋体" w:hAnsi="宋体" w:eastAsia="宋体" w:cs="宋体"/>
              </w:rPr>
            </w:pPr>
          </w:p>
        </w:tc>
        <w:tc>
          <w:tcPr>
            <w:tcW w:w="873" w:type="dxa"/>
            <w:vAlign w:val="top"/>
          </w:tcPr>
          <w:p w14:paraId="297386A5">
            <w:pPr>
              <w:pStyle w:val="8"/>
              <w:rPr>
                <w:rFonts w:hint="eastAsia" w:ascii="宋体" w:hAnsi="宋体" w:eastAsia="宋体" w:cs="宋体"/>
              </w:rPr>
            </w:pPr>
          </w:p>
        </w:tc>
        <w:tc>
          <w:tcPr>
            <w:tcW w:w="1422" w:type="dxa"/>
            <w:vAlign w:val="top"/>
          </w:tcPr>
          <w:p w14:paraId="104708F6">
            <w:pPr>
              <w:pStyle w:val="8"/>
              <w:rPr>
                <w:rFonts w:hint="eastAsia" w:ascii="宋体" w:hAnsi="宋体" w:eastAsia="宋体" w:cs="宋体"/>
              </w:rPr>
            </w:pPr>
          </w:p>
        </w:tc>
      </w:tr>
      <w:tr w14:paraId="784C6A4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vAlign w:val="top"/>
          </w:tcPr>
          <w:p w14:paraId="5D5C1332">
            <w:pPr>
              <w:pStyle w:val="8"/>
              <w:rPr>
                <w:rFonts w:hint="eastAsia" w:ascii="宋体" w:hAnsi="宋体" w:eastAsia="宋体" w:cs="宋体"/>
              </w:rPr>
            </w:pPr>
          </w:p>
        </w:tc>
        <w:tc>
          <w:tcPr>
            <w:tcW w:w="2034" w:type="dxa"/>
            <w:gridSpan w:val="2"/>
            <w:vAlign w:val="top"/>
          </w:tcPr>
          <w:p w14:paraId="646BBC59">
            <w:pPr>
              <w:spacing w:before="31" w:line="216" w:lineRule="auto"/>
              <w:ind w:left="71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上年结转资金</w:t>
            </w:r>
          </w:p>
        </w:tc>
        <w:tc>
          <w:tcPr>
            <w:tcW w:w="1244" w:type="dxa"/>
            <w:vAlign w:val="top"/>
          </w:tcPr>
          <w:p w14:paraId="375DE767">
            <w:pPr>
              <w:pStyle w:val="8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vAlign w:val="top"/>
          </w:tcPr>
          <w:p w14:paraId="46EE1AD1">
            <w:pPr>
              <w:pStyle w:val="8"/>
              <w:rPr>
                <w:rFonts w:hint="eastAsia" w:ascii="宋体" w:hAnsi="宋体" w:eastAsia="宋体" w:cs="宋体"/>
              </w:rPr>
            </w:pPr>
          </w:p>
        </w:tc>
        <w:tc>
          <w:tcPr>
            <w:tcW w:w="1281" w:type="dxa"/>
            <w:vAlign w:val="top"/>
          </w:tcPr>
          <w:p w14:paraId="756E5E75">
            <w:pPr>
              <w:pStyle w:val="8"/>
              <w:rPr>
                <w:rFonts w:hint="eastAsia" w:ascii="宋体" w:hAnsi="宋体" w:eastAsia="宋体" w:cs="宋体"/>
              </w:rPr>
            </w:pPr>
          </w:p>
        </w:tc>
        <w:tc>
          <w:tcPr>
            <w:tcW w:w="673" w:type="dxa"/>
            <w:vAlign w:val="top"/>
          </w:tcPr>
          <w:p w14:paraId="1F9B036A">
            <w:pPr>
              <w:pStyle w:val="8"/>
              <w:rPr>
                <w:rFonts w:hint="eastAsia" w:ascii="宋体" w:hAnsi="宋体" w:eastAsia="宋体" w:cs="宋体"/>
              </w:rPr>
            </w:pPr>
          </w:p>
        </w:tc>
        <w:tc>
          <w:tcPr>
            <w:tcW w:w="873" w:type="dxa"/>
            <w:vAlign w:val="top"/>
          </w:tcPr>
          <w:p w14:paraId="0A72949A">
            <w:pPr>
              <w:pStyle w:val="8"/>
              <w:rPr>
                <w:rFonts w:hint="eastAsia" w:ascii="宋体" w:hAnsi="宋体" w:eastAsia="宋体" w:cs="宋体"/>
              </w:rPr>
            </w:pPr>
          </w:p>
        </w:tc>
        <w:tc>
          <w:tcPr>
            <w:tcW w:w="1422" w:type="dxa"/>
            <w:vAlign w:val="top"/>
          </w:tcPr>
          <w:p w14:paraId="5ECE096B">
            <w:pPr>
              <w:pStyle w:val="8"/>
              <w:rPr>
                <w:rFonts w:hint="eastAsia" w:ascii="宋体" w:hAnsi="宋体" w:eastAsia="宋体" w:cs="宋体"/>
              </w:rPr>
            </w:pPr>
          </w:p>
        </w:tc>
      </w:tr>
      <w:tr w14:paraId="44FAD04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1084" w:type="dxa"/>
            <w:vMerge w:val="continue"/>
            <w:tcBorders>
              <w:top w:val="nil"/>
            </w:tcBorders>
            <w:vAlign w:val="top"/>
          </w:tcPr>
          <w:p w14:paraId="59D1ED6B">
            <w:pPr>
              <w:pStyle w:val="8"/>
              <w:rPr>
                <w:rFonts w:hint="eastAsia" w:ascii="宋体" w:hAnsi="宋体" w:eastAsia="宋体" w:cs="宋体"/>
              </w:rPr>
            </w:pPr>
          </w:p>
        </w:tc>
        <w:tc>
          <w:tcPr>
            <w:tcW w:w="2034" w:type="dxa"/>
            <w:gridSpan w:val="2"/>
            <w:vAlign w:val="top"/>
          </w:tcPr>
          <w:p w14:paraId="7143F68C">
            <w:pPr>
              <w:spacing w:before="31" w:line="216" w:lineRule="auto"/>
              <w:ind w:left="711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其他资金</w:t>
            </w:r>
          </w:p>
        </w:tc>
        <w:tc>
          <w:tcPr>
            <w:tcW w:w="1244" w:type="dxa"/>
            <w:vAlign w:val="top"/>
          </w:tcPr>
          <w:p w14:paraId="43569D67">
            <w:pPr>
              <w:pStyle w:val="8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vAlign w:val="top"/>
          </w:tcPr>
          <w:p w14:paraId="05A2BEB9">
            <w:pPr>
              <w:pStyle w:val="8"/>
              <w:rPr>
                <w:rFonts w:hint="eastAsia" w:ascii="宋体" w:hAnsi="宋体" w:eastAsia="宋体" w:cs="宋体"/>
              </w:rPr>
            </w:pPr>
          </w:p>
        </w:tc>
        <w:tc>
          <w:tcPr>
            <w:tcW w:w="1281" w:type="dxa"/>
            <w:vAlign w:val="top"/>
          </w:tcPr>
          <w:p w14:paraId="78C8F7D2">
            <w:pPr>
              <w:pStyle w:val="8"/>
              <w:rPr>
                <w:rFonts w:hint="eastAsia" w:ascii="宋体" w:hAnsi="宋体" w:eastAsia="宋体" w:cs="宋体"/>
              </w:rPr>
            </w:pPr>
          </w:p>
        </w:tc>
        <w:tc>
          <w:tcPr>
            <w:tcW w:w="673" w:type="dxa"/>
            <w:vAlign w:val="top"/>
          </w:tcPr>
          <w:p w14:paraId="6EEC7306">
            <w:pPr>
              <w:pStyle w:val="8"/>
              <w:rPr>
                <w:rFonts w:hint="eastAsia" w:ascii="宋体" w:hAnsi="宋体" w:eastAsia="宋体" w:cs="宋体"/>
              </w:rPr>
            </w:pPr>
          </w:p>
        </w:tc>
        <w:tc>
          <w:tcPr>
            <w:tcW w:w="873" w:type="dxa"/>
            <w:vAlign w:val="top"/>
          </w:tcPr>
          <w:p w14:paraId="6C9BE358">
            <w:pPr>
              <w:pStyle w:val="8"/>
              <w:rPr>
                <w:rFonts w:hint="eastAsia" w:ascii="宋体" w:hAnsi="宋体" w:eastAsia="宋体" w:cs="宋体"/>
              </w:rPr>
            </w:pPr>
          </w:p>
        </w:tc>
        <w:tc>
          <w:tcPr>
            <w:tcW w:w="1422" w:type="dxa"/>
            <w:vAlign w:val="top"/>
          </w:tcPr>
          <w:p w14:paraId="666B0CDF">
            <w:pPr>
              <w:pStyle w:val="8"/>
              <w:rPr>
                <w:rFonts w:hint="eastAsia" w:ascii="宋体" w:hAnsi="宋体" w:eastAsia="宋体" w:cs="宋体"/>
              </w:rPr>
            </w:pPr>
          </w:p>
        </w:tc>
      </w:tr>
      <w:tr w14:paraId="7F1F4B0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1084" w:type="dxa"/>
            <w:vMerge w:val="restart"/>
            <w:tcBorders>
              <w:bottom w:val="nil"/>
            </w:tcBorders>
            <w:vAlign w:val="top"/>
          </w:tcPr>
          <w:p w14:paraId="4C40EF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80" w:right="142" w:hanging="232"/>
              <w:jc w:val="center"/>
              <w:textAlignment w:val="auto"/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年度</w:t>
            </w:r>
          </w:p>
          <w:p w14:paraId="070963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80" w:right="142" w:hanging="232"/>
              <w:jc w:val="center"/>
              <w:textAlignment w:val="auto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总体</w:t>
            </w:r>
          </w:p>
          <w:p w14:paraId="6F371B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80" w:right="142" w:hanging="232"/>
              <w:jc w:val="center"/>
              <w:textAlignment w:val="auto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7"/>
                <w:sz w:val="19"/>
                <w:szCs w:val="19"/>
              </w:rPr>
              <w:t>目标</w:t>
            </w:r>
          </w:p>
        </w:tc>
        <w:tc>
          <w:tcPr>
            <w:tcW w:w="4522" w:type="dxa"/>
            <w:gridSpan w:val="4"/>
            <w:vAlign w:val="top"/>
          </w:tcPr>
          <w:p w14:paraId="71E5D04D">
            <w:pPr>
              <w:spacing w:before="31" w:line="217" w:lineRule="auto"/>
              <w:ind w:left="187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预期目标</w:t>
            </w:r>
          </w:p>
        </w:tc>
        <w:tc>
          <w:tcPr>
            <w:tcW w:w="4249" w:type="dxa"/>
            <w:gridSpan w:val="4"/>
            <w:vAlign w:val="top"/>
          </w:tcPr>
          <w:p w14:paraId="636B33E8">
            <w:pPr>
              <w:spacing w:before="31" w:line="217" w:lineRule="auto"/>
              <w:ind w:left="1539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实际完成情况</w:t>
            </w:r>
          </w:p>
        </w:tc>
      </w:tr>
      <w:tr w14:paraId="1208C2A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 w:hRule="atLeast"/>
        </w:trPr>
        <w:tc>
          <w:tcPr>
            <w:tcW w:w="1084" w:type="dxa"/>
            <w:vMerge w:val="continue"/>
            <w:tcBorders>
              <w:top w:val="nil"/>
            </w:tcBorders>
            <w:vAlign w:val="top"/>
          </w:tcPr>
          <w:p w14:paraId="6A0224C1">
            <w:pPr>
              <w:pStyle w:val="8"/>
              <w:rPr>
                <w:rFonts w:hint="eastAsia" w:ascii="宋体" w:hAnsi="宋体" w:eastAsia="宋体" w:cs="宋体"/>
              </w:rPr>
            </w:pPr>
          </w:p>
        </w:tc>
        <w:tc>
          <w:tcPr>
            <w:tcW w:w="4522" w:type="dxa"/>
            <w:gridSpan w:val="4"/>
            <w:vAlign w:val="top"/>
          </w:tcPr>
          <w:p w14:paraId="72223BA9">
            <w:pPr>
              <w:pStyle w:val="8"/>
              <w:rPr>
                <w:rFonts w:hint="eastAsia" w:ascii="宋体" w:hAnsi="宋体" w:eastAsia="宋体" w:cs="宋体"/>
              </w:rPr>
            </w:pPr>
          </w:p>
        </w:tc>
        <w:tc>
          <w:tcPr>
            <w:tcW w:w="4249" w:type="dxa"/>
            <w:gridSpan w:val="4"/>
            <w:vAlign w:val="top"/>
          </w:tcPr>
          <w:p w14:paraId="058E4203">
            <w:pPr>
              <w:pStyle w:val="8"/>
              <w:rPr>
                <w:rFonts w:hint="eastAsia" w:ascii="宋体" w:hAnsi="宋体" w:eastAsia="宋体" w:cs="宋体"/>
              </w:rPr>
            </w:pPr>
          </w:p>
        </w:tc>
      </w:tr>
      <w:tr w14:paraId="0CEB0E2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7" w:hRule="atLeast"/>
        </w:trPr>
        <w:tc>
          <w:tcPr>
            <w:tcW w:w="1084" w:type="dxa"/>
            <w:vMerge w:val="restart"/>
            <w:tcBorders>
              <w:bottom w:val="nil"/>
            </w:tcBorders>
            <w:textDirection w:val="tbRlV"/>
            <w:vAlign w:val="top"/>
          </w:tcPr>
          <w:p w14:paraId="0FB8FC70">
            <w:pPr>
              <w:pStyle w:val="8"/>
              <w:spacing w:line="366" w:lineRule="auto"/>
              <w:rPr>
                <w:rFonts w:hint="eastAsia" w:ascii="宋体" w:hAnsi="宋体" w:eastAsia="宋体" w:cs="宋体"/>
              </w:rPr>
            </w:pPr>
          </w:p>
          <w:p w14:paraId="311A278B">
            <w:pPr>
              <w:spacing w:before="63" w:line="216" w:lineRule="auto"/>
              <w:ind w:left="3058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绩</w:t>
            </w:r>
            <w:r>
              <w:rPr>
                <w:rFonts w:hint="eastAsia" w:ascii="宋体" w:hAnsi="宋体" w:eastAsia="宋体" w:cs="宋体"/>
                <w:spacing w:val="-31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效</w:t>
            </w:r>
            <w:r>
              <w:rPr>
                <w:rFonts w:hint="eastAsia" w:ascii="宋体" w:hAnsi="宋体" w:eastAsia="宋体" w:cs="宋体"/>
                <w:spacing w:val="-34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指</w:t>
            </w:r>
            <w:r>
              <w:rPr>
                <w:rFonts w:hint="eastAsia" w:ascii="宋体" w:hAnsi="宋体" w:eastAsia="宋体" w:cs="宋体"/>
                <w:spacing w:val="-32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标</w:t>
            </w:r>
          </w:p>
        </w:tc>
        <w:tc>
          <w:tcPr>
            <w:tcW w:w="1079" w:type="dxa"/>
            <w:vAlign w:val="top"/>
          </w:tcPr>
          <w:p w14:paraId="0A901637">
            <w:pPr>
              <w:spacing w:before="141" w:line="226" w:lineRule="auto"/>
              <w:ind w:left="156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一级指标</w:t>
            </w:r>
          </w:p>
        </w:tc>
        <w:tc>
          <w:tcPr>
            <w:tcW w:w="955" w:type="dxa"/>
            <w:vAlign w:val="top"/>
          </w:tcPr>
          <w:p w14:paraId="2153AFB2">
            <w:pPr>
              <w:spacing w:before="141" w:line="226" w:lineRule="auto"/>
              <w:ind w:left="132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二级指标</w:t>
            </w:r>
          </w:p>
        </w:tc>
        <w:tc>
          <w:tcPr>
            <w:tcW w:w="1244" w:type="dxa"/>
            <w:vAlign w:val="top"/>
          </w:tcPr>
          <w:p w14:paraId="00804442">
            <w:pPr>
              <w:spacing w:before="141" w:line="226" w:lineRule="auto"/>
              <w:ind w:left="253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三级指标</w:t>
            </w:r>
          </w:p>
        </w:tc>
        <w:tc>
          <w:tcPr>
            <w:tcW w:w="1244" w:type="dxa"/>
            <w:vAlign w:val="top"/>
          </w:tcPr>
          <w:p w14:paraId="6134794E">
            <w:pPr>
              <w:spacing w:before="22" w:line="233" w:lineRule="auto"/>
              <w:ind w:left="428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年度</w:t>
            </w:r>
          </w:p>
          <w:p w14:paraId="548ED79F">
            <w:pPr>
              <w:spacing w:line="205" w:lineRule="auto"/>
              <w:ind w:left="33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指标值</w:t>
            </w:r>
          </w:p>
        </w:tc>
        <w:tc>
          <w:tcPr>
            <w:tcW w:w="1281" w:type="dxa"/>
            <w:vAlign w:val="top"/>
          </w:tcPr>
          <w:p w14:paraId="19963E7A">
            <w:pPr>
              <w:spacing w:before="22" w:line="233" w:lineRule="auto"/>
              <w:ind w:left="45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</w:rPr>
              <w:t>实际</w:t>
            </w:r>
          </w:p>
          <w:p w14:paraId="3BE53566">
            <w:pPr>
              <w:spacing w:line="205" w:lineRule="auto"/>
              <w:ind w:left="35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完成值</w:t>
            </w:r>
          </w:p>
        </w:tc>
        <w:tc>
          <w:tcPr>
            <w:tcW w:w="673" w:type="dxa"/>
            <w:vAlign w:val="top"/>
          </w:tcPr>
          <w:p w14:paraId="0C3865E0">
            <w:pPr>
              <w:spacing w:before="142" w:line="227" w:lineRule="auto"/>
              <w:ind w:left="14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分值</w:t>
            </w:r>
          </w:p>
        </w:tc>
        <w:tc>
          <w:tcPr>
            <w:tcW w:w="873" w:type="dxa"/>
            <w:vAlign w:val="top"/>
          </w:tcPr>
          <w:p w14:paraId="58E89B74">
            <w:pPr>
              <w:spacing w:before="175" w:line="218" w:lineRule="auto"/>
              <w:ind w:left="150"/>
              <w:rPr>
                <w:rFonts w:hint="eastAsia" w:ascii="宋体" w:hAnsi="宋体" w:eastAsia="宋体" w:cs="宋体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spacing w:val="-8"/>
                <w:sz w:val="16"/>
                <w:szCs w:val="16"/>
              </w:rPr>
              <w:t>自评得分</w:t>
            </w:r>
          </w:p>
        </w:tc>
        <w:tc>
          <w:tcPr>
            <w:tcW w:w="1422" w:type="dxa"/>
            <w:vAlign w:val="top"/>
          </w:tcPr>
          <w:p w14:paraId="0DD3FC65">
            <w:pPr>
              <w:spacing w:before="23" w:line="219" w:lineRule="auto"/>
              <w:ind w:left="113" w:right="109" w:firstLine="1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偏差原因分析及改进措施</w:t>
            </w:r>
          </w:p>
        </w:tc>
      </w:tr>
      <w:tr w14:paraId="5D91804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07DEE20A">
            <w:pPr>
              <w:pStyle w:val="8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restart"/>
            <w:tcBorders>
              <w:bottom w:val="nil"/>
            </w:tcBorders>
            <w:vAlign w:val="top"/>
          </w:tcPr>
          <w:p w14:paraId="277DB571">
            <w:pPr>
              <w:pStyle w:val="8"/>
              <w:spacing w:line="256" w:lineRule="auto"/>
              <w:rPr>
                <w:rFonts w:hint="eastAsia" w:ascii="宋体" w:hAnsi="宋体" w:eastAsia="宋体" w:cs="宋体"/>
              </w:rPr>
            </w:pPr>
          </w:p>
          <w:p w14:paraId="4586F3A6">
            <w:pPr>
              <w:pStyle w:val="8"/>
              <w:spacing w:line="256" w:lineRule="auto"/>
              <w:rPr>
                <w:rFonts w:hint="eastAsia" w:ascii="宋体" w:hAnsi="宋体" w:eastAsia="宋体" w:cs="宋体"/>
              </w:rPr>
            </w:pPr>
          </w:p>
          <w:p w14:paraId="2339DC94">
            <w:pPr>
              <w:pStyle w:val="8"/>
              <w:spacing w:line="256" w:lineRule="auto"/>
              <w:rPr>
                <w:rFonts w:hint="eastAsia" w:ascii="宋体" w:hAnsi="宋体" w:eastAsia="宋体" w:cs="宋体"/>
              </w:rPr>
            </w:pPr>
          </w:p>
          <w:p w14:paraId="73139393">
            <w:pPr>
              <w:pStyle w:val="8"/>
              <w:spacing w:line="257" w:lineRule="auto"/>
              <w:rPr>
                <w:rFonts w:hint="eastAsia" w:ascii="宋体" w:hAnsi="宋体" w:eastAsia="宋体" w:cs="宋体"/>
              </w:rPr>
            </w:pPr>
          </w:p>
          <w:p w14:paraId="7A65479B">
            <w:pPr>
              <w:spacing w:before="62" w:line="457" w:lineRule="exact"/>
              <w:ind w:left="142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position w:val="20"/>
                <w:sz w:val="19"/>
                <w:szCs w:val="19"/>
              </w:rPr>
              <w:t>产出指标</w:t>
            </w:r>
          </w:p>
          <w:p w14:paraId="3CE64511">
            <w:pPr>
              <w:spacing w:line="261" w:lineRule="exact"/>
              <w:ind w:left="25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1"/>
                <w:position w:val="2"/>
                <w:sz w:val="19"/>
                <w:szCs w:val="19"/>
              </w:rPr>
              <w:t>(50分)</w:t>
            </w:r>
          </w:p>
        </w:tc>
        <w:tc>
          <w:tcPr>
            <w:tcW w:w="955" w:type="dxa"/>
            <w:vMerge w:val="restart"/>
            <w:tcBorders>
              <w:bottom w:val="nil"/>
            </w:tcBorders>
            <w:vAlign w:val="top"/>
          </w:tcPr>
          <w:p w14:paraId="10963EA9">
            <w:pPr>
              <w:spacing w:before="274" w:line="226" w:lineRule="auto"/>
              <w:ind w:left="126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数量指标</w:t>
            </w:r>
          </w:p>
          <w:p w14:paraId="64AD4342">
            <w:pPr>
              <w:spacing w:before="126" w:line="239" w:lineRule="auto"/>
              <w:ind w:left="379" w:right="175" w:hanging="19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vAlign w:val="top"/>
          </w:tcPr>
          <w:p w14:paraId="67D54BCB">
            <w:pPr>
              <w:pStyle w:val="8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vAlign w:val="top"/>
          </w:tcPr>
          <w:p w14:paraId="32D24BC1">
            <w:pPr>
              <w:pStyle w:val="8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vAlign w:val="top"/>
          </w:tcPr>
          <w:p w14:paraId="361A8AB7">
            <w:pPr>
              <w:pStyle w:val="8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vAlign w:val="top"/>
          </w:tcPr>
          <w:p w14:paraId="3291A3AC">
            <w:pPr>
              <w:pStyle w:val="8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vAlign w:val="top"/>
          </w:tcPr>
          <w:p w14:paraId="6C51F327">
            <w:pPr>
              <w:pStyle w:val="8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vAlign w:val="top"/>
          </w:tcPr>
          <w:p w14:paraId="7A88DDF7">
            <w:pPr>
              <w:pStyle w:val="8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58ACB18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83BA3AA">
            <w:pPr>
              <w:pStyle w:val="8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vAlign w:val="top"/>
          </w:tcPr>
          <w:p w14:paraId="4A46AD86">
            <w:pPr>
              <w:pStyle w:val="8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</w:tcBorders>
            <w:vAlign w:val="top"/>
          </w:tcPr>
          <w:p w14:paraId="2D8B0B63">
            <w:pPr>
              <w:pStyle w:val="8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vAlign w:val="top"/>
          </w:tcPr>
          <w:p w14:paraId="11256025">
            <w:pPr>
              <w:pStyle w:val="8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vAlign w:val="top"/>
          </w:tcPr>
          <w:p w14:paraId="12D3E78D">
            <w:pPr>
              <w:pStyle w:val="8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vAlign w:val="top"/>
          </w:tcPr>
          <w:p w14:paraId="38A25726">
            <w:pPr>
              <w:pStyle w:val="8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vAlign w:val="top"/>
          </w:tcPr>
          <w:p w14:paraId="7A2A85EF">
            <w:pPr>
              <w:pStyle w:val="8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vAlign w:val="top"/>
          </w:tcPr>
          <w:p w14:paraId="462E490B">
            <w:pPr>
              <w:pStyle w:val="8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vAlign w:val="top"/>
          </w:tcPr>
          <w:p w14:paraId="554CB936">
            <w:pPr>
              <w:pStyle w:val="8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70957AD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C7CFE3F">
            <w:pPr>
              <w:pStyle w:val="8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vAlign w:val="top"/>
          </w:tcPr>
          <w:p w14:paraId="09F112F5">
            <w:pPr>
              <w:pStyle w:val="8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</w:tcBorders>
            <w:vAlign w:val="top"/>
          </w:tcPr>
          <w:p w14:paraId="6332FE1D">
            <w:pPr>
              <w:pStyle w:val="8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vAlign w:val="top"/>
          </w:tcPr>
          <w:p w14:paraId="31443461">
            <w:pPr>
              <w:spacing w:before="169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vAlign w:val="top"/>
          </w:tcPr>
          <w:p w14:paraId="5D825C8C">
            <w:pPr>
              <w:pStyle w:val="8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vAlign w:val="top"/>
          </w:tcPr>
          <w:p w14:paraId="3F471067">
            <w:pPr>
              <w:pStyle w:val="8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vAlign w:val="top"/>
          </w:tcPr>
          <w:p w14:paraId="1449B07D">
            <w:pPr>
              <w:pStyle w:val="8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vAlign w:val="top"/>
          </w:tcPr>
          <w:p w14:paraId="47E1BCE3">
            <w:pPr>
              <w:pStyle w:val="8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vAlign w:val="top"/>
          </w:tcPr>
          <w:p w14:paraId="09658E86">
            <w:pPr>
              <w:pStyle w:val="8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13A6CA5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4E416278">
            <w:pPr>
              <w:pStyle w:val="8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vAlign w:val="top"/>
          </w:tcPr>
          <w:p w14:paraId="7D4881A5">
            <w:pPr>
              <w:pStyle w:val="8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restart"/>
            <w:tcBorders>
              <w:bottom w:val="nil"/>
            </w:tcBorders>
            <w:vAlign w:val="top"/>
          </w:tcPr>
          <w:p w14:paraId="42FCEC57">
            <w:pPr>
              <w:spacing w:before="273" w:line="226" w:lineRule="auto"/>
              <w:ind w:left="121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质量指标</w:t>
            </w:r>
          </w:p>
          <w:p w14:paraId="13E32DF4">
            <w:pPr>
              <w:spacing w:before="126" w:line="239" w:lineRule="auto"/>
              <w:ind w:left="379" w:right="175" w:hanging="19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vAlign w:val="top"/>
          </w:tcPr>
          <w:p w14:paraId="579FED7C">
            <w:pPr>
              <w:pStyle w:val="8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vAlign w:val="top"/>
          </w:tcPr>
          <w:p w14:paraId="767F6DB3">
            <w:pPr>
              <w:pStyle w:val="8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vAlign w:val="top"/>
          </w:tcPr>
          <w:p w14:paraId="28B469A0">
            <w:pPr>
              <w:pStyle w:val="8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vAlign w:val="top"/>
          </w:tcPr>
          <w:p w14:paraId="3709EE55">
            <w:pPr>
              <w:pStyle w:val="8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vAlign w:val="top"/>
          </w:tcPr>
          <w:p w14:paraId="71A52AE8">
            <w:pPr>
              <w:pStyle w:val="8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vAlign w:val="top"/>
          </w:tcPr>
          <w:p w14:paraId="4A2238AE">
            <w:pPr>
              <w:pStyle w:val="8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35A0C64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39833D7A">
            <w:pPr>
              <w:pStyle w:val="8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vAlign w:val="top"/>
          </w:tcPr>
          <w:p w14:paraId="1CBF5F3E">
            <w:pPr>
              <w:pStyle w:val="8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</w:tcBorders>
            <w:vAlign w:val="top"/>
          </w:tcPr>
          <w:p w14:paraId="45AF63B6">
            <w:pPr>
              <w:pStyle w:val="8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vAlign w:val="top"/>
          </w:tcPr>
          <w:p w14:paraId="611B9BC6">
            <w:pPr>
              <w:pStyle w:val="8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vAlign w:val="top"/>
          </w:tcPr>
          <w:p w14:paraId="5811FBAA">
            <w:pPr>
              <w:pStyle w:val="8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vAlign w:val="top"/>
          </w:tcPr>
          <w:p w14:paraId="019FAE96">
            <w:pPr>
              <w:pStyle w:val="8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vAlign w:val="top"/>
          </w:tcPr>
          <w:p w14:paraId="575CCE45">
            <w:pPr>
              <w:pStyle w:val="8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vAlign w:val="top"/>
          </w:tcPr>
          <w:p w14:paraId="1FF3DED1">
            <w:pPr>
              <w:pStyle w:val="8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vAlign w:val="top"/>
          </w:tcPr>
          <w:p w14:paraId="588BC99D">
            <w:pPr>
              <w:pStyle w:val="8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4FC80BC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55D83082">
            <w:pPr>
              <w:pStyle w:val="8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vAlign w:val="top"/>
          </w:tcPr>
          <w:p w14:paraId="490BAA9D">
            <w:pPr>
              <w:pStyle w:val="8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</w:tcBorders>
            <w:vAlign w:val="top"/>
          </w:tcPr>
          <w:p w14:paraId="6D7637D5">
            <w:pPr>
              <w:pStyle w:val="8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vAlign w:val="top"/>
          </w:tcPr>
          <w:p w14:paraId="7BAC1CA0">
            <w:pPr>
              <w:spacing w:before="169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vAlign w:val="top"/>
          </w:tcPr>
          <w:p w14:paraId="21BE9329">
            <w:pPr>
              <w:pStyle w:val="8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vAlign w:val="top"/>
          </w:tcPr>
          <w:p w14:paraId="62130237">
            <w:pPr>
              <w:pStyle w:val="8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vAlign w:val="top"/>
          </w:tcPr>
          <w:p w14:paraId="4738DA2F">
            <w:pPr>
              <w:pStyle w:val="8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vAlign w:val="top"/>
          </w:tcPr>
          <w:p w14:paraId="67EB89AB">
            <w:pPr>
              <w:pStyle w:val="8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vAlign w:val="top"/>
          </w:tcPr>
          <w:p w14:paraId="4EDFB250">
            <w:pPr>
              <w:pStyle w:val="8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2E4477B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4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291BA64C">
            <w:pPr>
              <w:pStyle w:val="8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vAlign w:val="top"/>
          </w:tcPr>
          <w:p w14:paraId="0ADB4760">
            <w:pPr>
              <w:pStyle w:val="8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restart"/>
            <w:tcBorders>
              <w:bottom w:val="nil"/>
            </w:tcBorders>
            <w:vAlign w:val="top"/>
          </w:tcPr>
          <w:p w14:paraId="28D10EA5">
            <w:pPr>
              <w:spacing w:before="274" w:line="226" w:lineRule="auto"/>
              <w:ind w:left="139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时效指标</w:t>
            </w:r>
          </w:p>
          <w:p w14:paraId="47EE0C6D">
            <w:pPr>
              <w:spacing w:before="126" w:line="239" w:lineRule="auto"/>
              <w:ind w:left="379" w:right="175" w:hanging="178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vAlign w:val="top"/>
          </w:tcPr>
          <w:p w14:paraId="78A5F43E">
            <w:pPr>
              <w:pStyle w:val="8"/>
              <w:spacing w:line="224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vAlign w:val="top"/>
          </w:tcPr>
          <w:p w14:paraId="34A3FF72">
            <w:pPr>
              <w:pStyle w:val="8"/>
              <w:spacing w:line="224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vAlign w:val="top"/>
          </w:tcPr>
          <w:p w14:paraId="2CD24DB1">
            <w:pPr>
              <w:pStyle w:val="8"/>
              <w:spacing w:line="224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vAlign w:val="top"/>
          </w:tcPr>
          <w:p w14:paraId="271040C2">
            <w:pPr>
              <w:pStyle w:val="8"/>
              <w:spacing w:line="224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vAlign w:val="top"/>
          </w:tcPr>
          <w:p w14:paraId="1781C444">
            <w:pPr>
              <w:pStyle w:val="8"/>
              <w:spacing w:line="224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vAlign w:val="top"/>
          </w:tcPr>
          <w:p w14:paraId="243929F5">
            <w:pPr>
              <w:pStyle w:val="8"/>
              <w:spacing w:line="224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1988864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35D0F906">
            <w:pPr>
              <w:pStyle w:val="8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vAlign w:val="top"/>
          </w:tcPr>
          <w:p w14:paraId="522EEBA1">
            <w:pPr>
              <w:pStyle w:val="8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</w:tcBorders>
            <w:vAlign w:val="top"/>
          </w:tcPr>
          <w:p w14:paraId="1B048D81">
            <w:pPr>
              <w:pStyle w:val="8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vAlign w:val="top"/>
          </w:tcPr>
          <w:p w14:paraId="191B7894">
            <w:pPr>
              <w:pStyle w:val="8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vAlign w:val="top"/>
          </w:tcPr>
          <w:p w14:paraId="52533105">
            <w:pPr>
              <w:pStyle w:val="8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vAlign w:val="top"/>
          </w:tcPr>
          <w:p w14:paraId="590743EB">
            <w:pPr>
              <w:pStyle w:val="8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vAlign w:val="top"/>
          </w:tcPr>
          <w:p w14:paraId="3072218E">
            <w:pPr>
              <w:pStyle w:val="8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vAlign w:val="top"/>
          </w:tcPr>
          <w:p w14:paraId="7D18F154">
            <w:pPr>
              <w:pStyle w:val="8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vAlign w:val="top"/>
          </w:tcPr>
          <w:p w14:paraId="423C3FC2">
            <w:pPr>
              <w:pStyle w:val="8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4607650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27094FE4">
            <w:pPr>
              <w:pStyle w:val="8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vAlign w:val="top"/>
          </w:tcPr>
          <w:p w14:paraId="1C803F8E">
            <w:pPr>
              <w:pStyle w:val="8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</w:tcBorders>
            <w:vAlign w:val="top"/>
          </w:tcPr>
          <w:p w14:paraId="311EC70B">
            <w:pPr>
              <w:pStyle w:val="8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vAlign w:val="top"/>
          </w:tcPr>
          <w:p w14:paraId="542EDD39">
            <w:pPr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vAlign w:val="top"/>
          </w:tcPr>
          <w:p w14:paraId="758B9095">
            <w:pPr>
              <w:pStyle w:val="8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vAlign w:val="top"/>
          </w:tcPr>
          <w:p w14:paraId="659048B1">
            <w:pPr>
              <w:pStyle w:val="8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vAlign w:val="top"/>
          </w:tcPr>
          <w:p w14:paraId="7AC70C3A">
            <w:pPr>
              <w:pStyle w:val="8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vAlign w:val="top"/>
          </w:tcPr>
          <w:p w14:paraId="700192C7">
            <w:pPr>
              <w:pStyle w:val="8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vAlign w:val="top"/>
          </w:tcPr>
          <w:p w14:paraId="55A70146">
            <w:pPr>
              <w:pStyle w:val="8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72E16C9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47EADDB">
            <w:pPr>
              <w:pStyle w:val="8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vAlign w:val="top"/>
          </w:tcPr>
          <w:p w14:paraId="62C05399">
            <w:pPr>
              <w:pStyle w:val="8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restart"/>
            <w:tcBorders>
              <w:bottom w:val="nil"/>
            </w:tcBorders>
            <w:vAlign w:val="top"/>
          </w:tcPr>
          <w:p w14:paraId="5057020B">
            <w:pPr>
              <w:spacing w:before="273" w:line="226" w:lineRule="auto"/>
              <w:ind w:left="125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成本指标</w:t>
            </w:r>
          </w:p>
          <w:p w14:paraId="547BC95E">
            <w:pPr>
              <w:spacing w:before="127" w:line="239" w:lineRule="auto"/>
              <w:ind w:left="379" w:right="175" w:hanging="19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vAlign w:val="top"/>
          </w:tcPr>
          <w:p w14:paraId="3469560A">
            <w:pPr>
              <w:pStyle w:val="8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vAlign w:val="top"/>
          </w:tcPr>
          <w:p w14:paraId="3CE9CCFB">
            <w:pPr>
              <w:pStyle w:val="8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vAlign w:val="top"/>
          </w:tcPr>
          <w:p w14:paraId="1AC9ED47">
            <w:pPr>
              <w:pStyle w:val="8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vAlign w:val="top"/>
          </w:tcPr>
          <w:p w14:paraId="59881EAF">
            <w:pPr>
              <w:pStyle w:val="8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vAlign w:val="top"/>
          </w:tcPr>
          <w:p w14:paraId="4B3A1E79">
            <w:pPr>
              <w:pStyle w:val="8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vAlign w:val="top"/>
          </w:tcPr>
          <w:p w14:paraId="47350422">
            <w:pPr>
              <w:pStyle w:val="8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332ECAA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20E7E8CA">
            <w:pPr>
              <w:pStyle w:val="8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vAlign w:val="top"/>
          </w:tcPr>
          <w:p w14:paraId="0E61CEC3">
            <w:pPr>
              <w:pStyle w:val="8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</w:tcBorders>
            <w:vAlign w:val="top"/>
          </w:tcPr>
          <w:p w14:paraId="3EC7ED3E">
            <w:pPr>
              <w:pStyle w:val="8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vAlign w:val="top"/>
          </w:tcPr>
          <w:p w14:paraId="57FB2568">
            <w:pPr>
              <w:pStyle w:val="8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vAlign w:val="top"/>
          </w:tcPr>
          <w:p w14:paraId="0DF1C32E">
            <w:pPr>
              <w:pStyle w:val="8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vAlign w:val="top"/>
          </w:tcPr>
          <w:p w14:paraId="4CF0D644">
            <w:pPr>
              <w:pStyle w:val="8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vAlign w:val="top"/>
          </w:tcPr>
          <w:p w14:paraId="6F4D94FE">
            <w:pPr>
              <w:pStyle w:val="8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vAlign w:val="top"/>
          </w:tcPr>
          <w:p w14:paraId="48122BF0">
            <w:pPr>
              <w:pStyle w:val="8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vAlign w:val="top"/>
          </w:tcPr>
          <w:p w14:paraId="5F59FAFE">
            <w:pPr>
              <w:pStyle w:val="8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1517C6B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78C7F765">
            <w:pPr>
              <w:pStyle w:val="8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single" w:color="auto" w:sz="4" w:space="0"/>
            </w:tcBorders>
            <w:vAlign w:val="top"/>
          </w:tcPr>
          <w:p w14:paraId="24A24ACB">
            <w:pPr>
              <w:pStyle w:val="8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single" w:color="auto" w:sz="4" w:space="0"/>
            </w:tcBorders>
            <w:vAlign w:val="top"/>
          </w:tcPr>
          <w:p w14:paraId="7B3205E9">
            <w:pPr>
              <w:pStyle w:val="8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vAlign w:val="top"/>
          </w:tcPr>
          <w:p w14:paraId="7CDD46E5">
            <w:pPr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vAlign w:val="top"/>
          </w:tcPr>
          <w:p w14:paraId="0F5A6012">
            <w:pPr>
              <w:pStyle w:val="8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vAlign w:val="top"/>
          </w:tcPr>
          <w:p w14:paraId="6A3655DD">
            <w:pPr>
              <w:pStyle w:val="8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vAlign w:val="top"/>
          </w:tcPr>
          <w:p w14:paraId="4452BD4E">
            <w:pPr>
              <w:pStyle w:val="8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vAlign w:val="top"/>
          </w:tcPr>
          <w:p w14:paraId="0E3D0CC7">
            <w:pPr>
              <w:pStyle w:val="8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vAlign w:val="top"/>
          </w:tcPr>
          <w:p w14:paraId="569772D0">
            <w:pPr>
              <w:pStyle w:val="8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4FE508D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textDirection w:val="tbRlV"/>
            <w:vAlign w:val="top"/>
          </w:tcPr>
          <w:p w14:paraId="1698FC92">
            <w:pPr>
              <w:pStyle w:val="8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restart"/>
            <w:tcBorders>
              <w:top w:val="single" w:color="auto" w:sz="4" w:space="0"/>
              <w:left w:val="single" w:color="auto" w:sz="4" w:space="0"/>
              <w:bottom w:val="nil"/>
            </w:tcBorders>
            <w:vAlign w:val="top"/>
          </w:tcPr>
          <w:p w14:paraId="2E1BF446">
            <w:pPr>
              <w:pStyle w:val="8"/>
              <w:spacing w:line="315" w:lineRule="auto"/>
              <w:rPr>
                <w:rFonts w:hint="eastAsia" w:ascii="宋体" w:hAnsi="宋体" w:eastAsia="宋体" w:cs="宋体"/>
              </w:rPr>
            </w:pPr>
          </w:p>
          <w:p w14:paraId="0C0DE66B">
            <w:pPr>
              <w:pStyle w:val="8"/>
              <w:spacing w:line="315" w:lineRule="auto"/>
              <w:rPr>
                <w:rFonts w:hint="eastAsia" w:ascii="宋体" w:hAnsi="宋体" w:eastAsia="宋体" w:cs="宋体"/>
              </w:rPr>
            </w:pPr>
          </w:p>
          <w:p w14:paraId="0AF23F5C">
            <w:pPr>
              <w:pStyle w:val="8"/>
              <w:spacing w:line="315" w:lineRule="auto"/>
              <w:rPr>
                <w:rFonts w:hint="eastAsia" w:ascii="宋体" w:hAnsi="宋体" w:eastAsia="宋体" w:cs="宋体"/>
              </w:rPr>
            </w:pPr>
          </w:p>
          <w:p w14:paraId="72D374B8">
            <w:pPr>
              <w:spacing w:before="62" w:line="489" w:lineRule="exact"/>
              <w:ind w:left="11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position w:val="22"/>
                <w:sz w:val="19"/>
                <w:szCs w:val="19"/>
              </w:rPr>
              <w:t>效益指标</w:t>
            </w:r>
          </w:p>
          <w:p w14:paraId="7A12340A">
            <w:pPr>
              <w:spacing w:line="227" w:lineRule="auto"/>
              <w:ind w:left="108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（30分）</w:t>
            </w:r>
          </w:p>
        </w:tc>
        <w:tc>
          <w:tcPr>
            <w:tcW w:w="955" w:type="dxa"/>
            <w:vMerge w:val="restart"/>
            <w:tcBorders>
              <w:top w:val="single" w:color="auto" w:sz="4" w:space="0"/>
              <w:bottom w:val="nil"/>
              <w:right w:val="single" w:color="auto" w:sz="4" w:space="0"/>
            </w:tcBorders>
            <w:vAlign w:val="top"/>
          </w:tcPr>
          <w:p w14:paraId="685BCD2A">
            <w:pPr>
              <w:spacing w:before="154" w:line="233" w:lineRule="auto"/>
              <w:ind w:left="22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经济效</w:t>
            </w:r>
          </w:p>
          <w:p w14:paraId="70DC05AB">
            <w:pPr>
              <w:spacing w:line="225" w:lineRule="auto"/>
              <w:ind w:left="232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益指标</w:t>
            </w:r>
          </w:p>
          <w:p w14:paraId="720C5635">
            <w:pPr>
              <w:spacing w:before="127" w:line="239" w:lineRule="auto"/>
              <w:ind w:left="193" w:right="175" w:hanging="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vAlign w:val="top"/>
          </w:tcPr>
          <w:p w14:paraId="27C1D3F3">
            <w:pPr>
              <w:pStyle w:val="8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vAlign w:val="top"/>
          </w:tcPr>
          <w:p w14:paraId="15870B31">
            <w:pPr>
              <w:pStyle w:val="8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vAlign w:val="top"/>
          </w:tcPr>
          <w:p w14:paraId="7DBE7A68">
            <w:pPr>
              <w:pStyle w:val="8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vAlign w:val="top"/>
          </w:tcPr>
          <w:p w14:paraId="2553738C">
            <w:pPr>
              <w:pStyle w:val="8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vAlign w:val="top"/>
          </w:tcPr>
          <w:p w14:paraId="1F262948">
            <w:pPr>
              <w:pStyle w:val="8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vAlign w:val="top"/>
          </w:tcPr>
          <w:p w14:paraId="201BC398">
            <w:pPr>
              <w:pStyle w:val="8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7ADDA8C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textDirection w:val="tbRlV"/>
            <w:vAlign w:val="top"/>
          </w:tcPr>
          <w:p w14:paraId="310692D5">
            <w:pPr>
              <w:pStyle w:val="8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vAlign w:val="top"/>
          </w:tcPr>
          <w:p w14:paraId="2B630460">
            <w:pPr>
              <w:pStyle w:val="8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  <w:right w:val="single" w:color="auto" w:sz="4" w:space="0"/>
            </w:tcBorders>
            <w:vAlign w:val="top"/>
          </w:tcPr>
          <w:p w14:paraId="4A0B6F91">
            <w:pPr>
              <w:pStyle w:val="8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vAlign w:val="top"/>
          </w:tcPr>
          <w:p w14:paraId="0B7926BF">
            <w:pPr>
              <w:pStyle w:val="8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vAlign w:val="top"/>
          </w:tcPr>
          <w:p w14:paraId="48D275E8">
            <w:pPr>
              <w:pStyle w:val="8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vAlign w:val="top"/>
          </w:tcPr>
          <w:p w14:paraId="7B07F078">
            <w:pPr>
              <w:pStyle w:val="8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vAlign w:val="top"/>
          </w:tcPr>
          <w:p w14:paraId="5E4DF10C">
            <w:pPr>
              <w:pStyle w:val="8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vAlign w:val="top"/>
          </w:tcPr>
          <w:p w14:paraId="4E0EEB5E">
            <w:pPr>
              <w:pStyle w:val="8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vAlign w:val="top"/>
          </w:tcPr>
          <w:p w14:paraId="21FC69C3">
            <w:pPr>
              <w:pStyle w:val="8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3CA37D4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textDirection w:val="tbRlV"/>
            <w:vAlign w:val="top"/>
          </w:tcPr>
          <w:p w14:paraId="7090C26B">
            <w:pPr>
              <w:pStyle w:val="8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vAlign w:val="top"/>
          </w:tcPr>
          <w:p w14:paraId="67502B69">
            <w:pPr>
              <w:pStyle w:val="8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  <w:right w:val="single" w:color="auto" w:sz="4" w:space="0"/>
            </w:tcBorders>
            <w:vAlign w:val="top"/>
          </w:tcPr>
          <w:p w14:paraId="119CD8F3">
            <w:pPr>
              <w:pStyle w:val="8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vAlign w:val="top"/>
          </w:tcPr>
          <w:p w14:paraId="5EBD247B">
            <w:pPr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vAlign w:val="top"/>
          </w:tcPr>
          <w:p w14:paraId="07B199A6">
            <w:pPr>
              <w:pStyle w:val="8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vAlign w:val="top"/>
          </w:tcPr>
          <w:p w14:paraId="68D158B4">
            <w:pPr>
              <w:pStyle w:val="8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vAlign w:val="top"/>
          </w:tcPr>
          <w:p w14:paraId="3789629D">
            <w:pPr>
              <w:pStyle w:val="8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vAlign w:val="top"/>
          </w:tcPr>
          <w:p w14:paraId="2EECFBD3">
            <w:pPr>
              <w:pStyle w:val="8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vAlign w:val="top"/>
          </w:tcPr>
          <w:p w14:paraId="64647D30">
            <w:pPr>
              <w:pStyle w:val="8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1EC10C3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textDirection w:val="tbRlV"/>
            <w:vAlign w:val="top"/>
          </w:tcPr>
          <w:p w14:paraId="5A3588F5">
            <w:pPr>
              <w:pStyle w:val="8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vAlign w:val="top"/>
          </w:tcPr>
          <w:p w14:paraId="63AB3C8F">
            <w:pPr>
              <w:pStyle w:val="8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restart"/>
            <w:tcBorders>
              <w:bottom w:val="nil"/>
              <w:right w:val="single" w:color="auto" w:sz="4" w:space="0"/>
            </w:tcBorders>
            <w:vAlign w:val="top"/>
          </w:tcPr>
          <w:p w14:paraId="176B6179">
            <w:pPr>
              <w:spacing w:before="153" w:line="233" w:lineRule="auto"/>
              <w:ind w:left="225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社会效</w:t>
            </w:r>
          </w:p>
          <w:p w14:paraId="7DF1894C">
            <w:pPr>
              <w:spacing w:line="225" w:lineRule="auto"/>
              <w:ind w:left="232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益指标</w:t>
            </w:r>
          </w:p>
          <w:p w14:paraId="6C6217DA">
            <w:pPr>
              <w:spacing w:before="127" w:line="239" w:lineRule="auto"/>
              <w:ind w:left="192" w:right="175" w:hanging="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vAlign w:val="top"/>
          </w:tcPr>
          <w:p w14:paraId="42FE2186">
            <w:pPr>
              <w:pStyle w:val="8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vAlign w:val="top"/>
          </w:tcPr>
          <w:p w14:paraId="43663126">
            <w:pPr>
              <w:pStyle w:val="8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vAlign w:val="top"/>
          </w:tcPr>
          <w:p w14:paraId="5BEDAE17">
            <w:pPr>
              <w:pStyle w:val="8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vAlign w:val="top"/>
          </w:tcPr>
          <w:p w14:paraId="4A950A3D">
            <w:pPr>
              <w:pStyle w:val="8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vAlign w:val="top"/>
          </w:tcPr>
          <w:p w14:paraId="130F08DC">
            <w:pPr>
              <w:pStyle w:val="8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vAlign w:val="top"/>
          </w:tcPr>
          <w:p w14:paraId="712F8105">
            <w:pPr>
              <w:pStyle w:val="8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7737BE8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textDirection w:val="tbRlV"/>
            <w:vAlign w:val="top"/>
          </w:tcPr>
          <w:p w14:paraId="4C84EE17">
            <w:pPr>
              <w:pStyle w:val="8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vAlign w:val="top"/>
          </w:tcPr>
          <w:p w14:paraId="606CD56A">
            <w:pPr>
              <w:pStyle w:val="8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  <w:right w:val="single" w:color="auto" w:sz="4" w:space="0"/>
            </w:tcBorders>
            <w:vAlign w:val="top"/>
          </w:tcPr>
          <w:p w14:paraId="612A8AC1">
            <w:pPr>
              <w:pStyle w:val="8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vAlign w:val="top"/>
          </w:tcPr>
          <w:p w14:paraId="3404D045">
            <w:pPr>
              <w:pStyle w:val="8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vAlign w:val="top"/>
          </w:tcPr>
          <w:p w14:paraId="31C923CC">
            <w:pPr>
              <w:pStyle w:val="8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vAlign w:val="top"/>
          </w:tcPr>
          <w:p w14:paraId="4B4B4042">
            <w:pPr>
              <w:pStyle w:val="8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vAlign w:val="top"/>
          </w:tcPr>
          <w:p w14:paraId="093EFEEA">
            <w:pPr>
              <w:pStyle w:val="8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vAlign w:val="top"/>
          </w:tcPr>
          <w:p w14:paraId="62CB9E1C">
            <w:pPr>
              <w:pStyle w:val="8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vAlign w:val="top"/>
          </w:tcPr>
          <w:p w14:paraId="33B0AD6E">
            <w:pPr>
              <w:pStyle w:val="8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4DF6BAE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textDirection w:val="tbRlV"/>
            <w:vAlign w:val="top"/>
          </w:tcPr>
          <w:p w14:paraId="39DF4951">
            <w:pPr>
              <w:pStyle w:val="8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vAlign w:val="top"/>
          </w:tcPr>
          <w:p w14:paraId="34C342C3">
            <w:pPr>
              <w:pStyle w:val="8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  <w:right w:val="single" w:color="auto" w:sz="4" w:space="0"/>
            </w:tcBorders>
            <w:vAlign w:val="top"/>
          </w:tcPr>
          <w:p w14:paraId="51EC0611">
            <w:pPr>
              <w:pStyle w:val="8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vAlign w:val="top"/>
          </w:tcPr>
          <w:p w14:paraId="15AD3149">
            <w:pPr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vAlign w:val="top"/>
          </w:tcPr>
          <w:p w14:paraId="17C4326D">
            <w:pPr>
              <w:pStyle w:val="8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vAlign w:val="top"/>
          </w:tcPr>
          <w:p w14:paraId="0C6BDAEE">
            <w:pPr>
              <w:pStyle w:val="8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vAlign w:val="top"/>
          </w:tcPr>
          <w:p w14:paraId="1B38036B">
            <w:pPr>
              <w:pStyle w:val="8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vAlign w:val="top"/>
          </w:tcPr>
          <w:p w14:paraId="2F3E6395">
            <w:pPr>
              <w:pStyle w:val="8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vAlign w:val="top"/>
          </w:tcPr>
          <w:p w14:paraId="1DE420F0">
            <w:pPr>
              <w:pStyle w:val="8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17F699A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textDirection w:val="tbRlV"/>
            <w:vAlign w:val="top"/>
          </w:tcPr>
          <w:p w14:paraId="3433DF62">
            <w:pPr>
              <w:pStyle w:val="8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vAlign w:val="top"/>
          </w:tcPr>
          <w:p w14:paraId="0487E54E">
            <w:pPr>
              <w:pStyle w:val="8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restart"/>
            <w:tcBorders>
              <w:bottom w:val="nil"/>
              <w:right w:val="single" w:color="auto" w:sz="4" w:space="0"/>
            </w:tcBorders>
            <w:vAlign w:val="top"/>
          </w:tcPr>
          <w:p w14:paraId="0B552FC5">
            <w:pPr>
              <w:spacing w:before="154" w:line="233" w:lineRule="auto"/>
              <w:ind w:left="23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生态效</w:t>
            </w:r>
          </w:p>
          <w:p w14:paraId="36E6A875">
            <w:pPr>
              <w:spacing w:line="225" w:lineRule="auto"/>
              <w:ind w:left="232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益指标</w:t>
            </w:r>
          </w:p>
          <w:p w14:paraId="238090C7">
            <w:pPr>
              <w:spacing w:before="127" w:line="239" w:lineRule="auto"/>
              <w:ind w:left="193" w:right="175" w:firstLine="1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vAlign w:val="top"/>
          </w:tcPr>
          <w:p w14:paraId="1DA6D43C">
            <w:pPr>
              <w:pStyle w:val="8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vAlign w:val="top"/>
          </w:tcPr>
          <w:p w14:paraId="1D8CAEE8">
            <w:pPr>
              <w:pStyle w:val="8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vAlign w:val="top"/>
          </w:tcPr>
          <w:p w14:paraId="18FBDA42">
            <w:pPr>
              <w:pStyle w:val="8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vAlign w:val="top"/>
          </w:tcPr>
          <w:p w14:paraId="07CE95A0">
            <w:pPr>
              <w:pStyle w:val="8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vAlign w:val="top"/>
          </w:tcPr>
          <w:p w14:paraId="7A1C662F">
            <w:pPr>
              <w:pStyle w:val="8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vAlign w:val="top"/>
          </w:tcPr>
          <w:p w14:paraId="5819947E">
            <w:pPr>
              <w:pStyle w:val="8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56040CD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textDirection w:val="tbRlV"/>
            <w:vAlign w:val="top"/>
          </w:tcPr>
          <w:p w14:paraId="7AF91796">
            <w:pPr>
              <w:pStyle w:val="8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vAlign w:val="top"/>
          </w:tcPr>
          <w:p w14:paraId="65835B56">
            <w:pPr>
              <w:pStyle w:val="8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  <w:right w:val="single" w:color="auto" w:sz="4" w:space="0"/>
            </w:tcBorders>
            <w:vAlign w:val="top"/>
          </w:tcPr>
          <w:p w14:paraId="72BDDDCE">
            <w:pPr>
              <w:pStyle w:val="8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vAlign w:val="top"/>
          </w:tcPr>
          <w:p w14:paraId="10215FAC">
            <w:pPr>
              <w:pStyle w:val="8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vAlign w:val="top"/>
          </w:tcPr>
          <w:p w14:paraId="49740D4E">
            <w:pPr>
              <w:pStyle w:val="8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vAlign w:val="top"/>
          </w:tcPr>
          <w:p w14:paraId="1085118A">
            <w:pPr>
              <w:pStyle w:val="8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vAlign w:val="top"/>
          </w:tcPr>
          <w:p w14:paraId="037EAEE3">
            <w:pPr>
              <w:pStyle w:val="8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vAlign w:val="top"/>
          </w:tcPr>
          <w:p w14:paraId="63B28913">
            <w:pPr>
              <w:pStyle w:val="8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vAlign w:val="top"/>
          </w:tcPr>
          <w:p w14:paraId="18ABAE55">
            <w:pPr>
              <w:pStyle w:val="8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5F063D5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textDirection w:val="tbRlV"/>
            <w:vAlign w:val="top"/>
          </w:tcPr>
          <w:p w14:paraId="74B93A76">
            <w:pPr>
              <w:pStyle w:val="8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vAlign w:val="top"/>
          </w:tcPr>
          <w:p w14:paraId="022D4012">
            <w:pPr>
              <w:pStyle w:val="8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  <w:right w:val="single" w:color="auto" w:sz="4" w:space="0"/>
            </w:tcBorders>
            <w:vAlign w:val="top"/>
          </w:tcPr>
          <w:p w14:paraId="039BF093">
            <w:pPr>
              <w:pStyle w:val="8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vAlign w:val="top"/>
          </w:tcPr>
          <w:p w14:paraId="4F4C8A92">
            <w:pPr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vAlign w:val="top"/>
          </w:tcPr>
          <w:p w14:paraId="13ECA342">
            <w:pPr>
              <w:pStyle w:val="8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vAlign w:val="top"/>
          </w:tcPr>
          <w:p w14:paraId="053D287C">
            <w:pPr>
              <w:pStyle w:val="8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vAlign w:val="top"/>
          </w:tcPr>
          <w:p w14:paraId="17CE913A">
            <w:pPr>
              <w:pStyle w:val="8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vAlign w:val="top"/>
          </w:tcPr>
          <w:p w14:paraId="7B49F136">
            <w:pPr>
              <w:pStyle w:val="8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vAlign w:val="top"/>
          </w:tcPr>
          <w:p w14:paraId="13C82B88">
            <w:pPr>
              <w:pStyle w:val="8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59A732A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textDirection w:val="tbRlV"/>
            <w:vAlign w:val="top"/>
          </w:tcPr>
          <w:p w14:paraId="27207CD3">
            <w:pPr>
              <w:pStyle w:val="8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vAlign w:val="top"/>
          </w:tcPr>
          <w:p w14:paraId="6D35692D">
            <w:pPr>
              <w:pStyle w:val="8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tcBorders>
              <w:bottom w:val="nil"/>
              <w:right w:val="single" w:color="auto" w:sz="4" w:space="0"/>
            </w:tcBorders>
            <w:vAlign w:val="top"/>
          </w:tcPr>
          <w:p w14:paraId="2B0C5E72">
            <w:pPr>
              <w:spacing w:before="26" w:line="213" w:lineRule="auto"/>
              <w:jc w:val="center"/>
              <w:rPr>
                <w:rFonts w:hint="eastAsia" w:ascii="宋体" w:hAnsi="宋体" w:cs="宋体"/>
                <w:sz w:val="19"/>
                <w:szCs w:val="19"/>
                <w:lang w:eastAsia="zh-CN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vAlign w:val="top"/>
          </w:tcPr>
          <w:p w14:paraId="07658DF9">
            <w:pPr>
              <w:pStyle w:val="8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vAlign w:val="top"/>
          </w:tcPr>
          <w:p w14:paraId="22B1F84D">
            <w:pPr>
              <w:pStyle w:val="8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vAlign w:val="top"/>
          </w:tcPr>
          <w:p w14:paraId="2EA30A91">
            <w:pPr>
              <w:pStyle w:val="8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vAlign w:val="top"/>
          </w:tcPr>
          <w:p w14:paraId="06E748E0">
            <w:pPr>
              <w:pStyle w:val="8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vAlign w:val="top"/>
          </w:tcPr>
          <w:p w14:paraId="2EF24B21">
            <w:pPr>
              <w:pStyle w:val="8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vAlign w:val="top"/>
          </w:tcPr>
          <w:p w14:paraId="39BBE856">
            <w:pPr>
              <w:pStyle w:val="8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3D80A7A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textDirection w:val="tbRlV"/>
            <w:vAlign w:val="top"/>
          </w:tcPr>
          <w:p w14:paraId="386223BF">
            <w:pPr>
              <w:pStyle w:val="8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</w:tcBorders>
            <w:vAlign w:val="top"/>
          </w:tcPr>
          <w:p w14:paraId="208D5173">
            <w:pPr>
              <w:pStyle w:val="8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restart"/>
            <w:tcBorders>
              <w:bottom w:val="single" w:color="auto" w:sz="4" w:space="0"/>
              <w:right w:val="single" w:color="auto" w:sz="4" w:space="0"/>
            </w:tcBorders>
            <w:vAlign w:val="top"/>
          </w:tcPr>
          <w:p w14:paraId="49962410">
            <w:pPr>
              <w:spacing w:before="26" w:line="213" w:lineRule="auto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cs="宋体"/>
                <w:sz w:val="19"/>
                <w:szCs w:val="19"/>
                <w:lang w:eastAsia="zh-CN"/>
              </w:rPr>
              <w:t>可持续影响指标</w:t>
            </w:r>
          </w:p>
        </w:tc>
        <w:tc>
          <w:tcPr>
            <w:tcW w:w="1244" w:type="dxa"/>
            <w:tcBorders>
              <w:left w:val="single" w:color="auto" w:sz="4" w:space="0"/>
            </w:tcBorders>
            <w:vAlign w:val="top"/>
          </w:tcPr>
          <w:p w14:paraId="6A44DBCE">
            <w:pPr>
              <w:pStyle w:val="8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vAlign w:val="top"/>
          </w:tcPr>
          <w:p w14:paraId="2C43FF02">
            <w:pPr>
              <w:pStyle w:val="8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vAlign w:val="top"/>
          </w:tcPr>
          <w:p w14:paraId="1A6BEB69">
            <w:pPr>
              <w:pStyle w:val="8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vAlign w:val="top"/>
          </w:tcPr>
          <w:p w14:paraId="605D6439">
            <w:pPr>
              <w:pStyle w:val="8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vAlign w:val="top"/>
          </w:tcPr>
          <w:p w14:paraId="1A5375FF">
            <w:pPr>
              <w:pStyle w:val="8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vAlign w:val="top"/>
          </w:tcPr>
          <w:p w14:paraId="1FC84480">
            <w:pPr>
              <w:pStyle w:val="8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4175BDD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textDirection w:val="tbRlV"/>
            <w:vAlign w:val="top"/>
          </w:tcPr>
          <w:p w14:paraId="01B23BA5">
            <w:pPr>
              <w:pStyle w:val="8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top"/>
          </w:tcPr>
          <w:p w14:paraId="1D6AEB2B">
            <w:pPr>
              <w:pStyle w:val="8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C871DC6">
            <w:pPr>
              <w:pStyle w:val="8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vAlign w:val="top"/>
          </w:tcPr>
          <w:p w14:paraId="209E9113">
            <w:pPr>
              <w:pStyle w:val="8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vAlign w:val="top"/>
          </w:tcPr>
          <w:p w14:paraId="06BE0C0B">
            <w:pPr>
              <w:pStyle w:val="8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vAlign w:val="top"/>
          </w:tcPr>
          <w:p w14:paraId="4768ACD7">
            <w:pPr>
              <w:pStyle w:val="8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vAlign w:val="top"/>
          </w:tcPr>
          <w:p w14:paraId="1C4784CD">
            <w:pPr>
              <w:pStyle w:val="8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vAlign w:val="top"/>
          </w:tcPr>
          <w:p w14:paraId="29CBE7EC">
            <w:pPr>
              <w:pStyle w:val="8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vAlign w:val="top"/>
          </w:tcPr>
          <w:p w14:paraId="3595C0E2">
            <w:pPr>
              <w:pStyle w:val="8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11BF0CA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3FEE696">
            <w:pPr>
              <w:pStyle w:val="8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restart"/>
            <w:tcBorders>
              <w:top w:val="single" w:color="auto" w:sz="4" w:space="0"/>
              <w:bottom w:val="single" w:color="auto" w:sz="4" w:space="0"/>
            </w:tcBorders>
            <w:vAlign w:val="top"/>
          </w:tcPr>
          <w:p w14:paraId="22083689">
            <w:pPr>
              <w:spacing w:before="33" w:line="226" w:lineRule="auto"/>
              <w:ind w:left="252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满意度</w:t>
            </w:r>
          </w:p>
          <w:p w14:paraId="3B0E1843">
            <w:pPr>
              <w:spacing w:before="26" w:line="226" w:lineRule="auto"/>
              <w:ind w:left="34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指标</w:t>
            </w:r>
          </w:p>
          <w:p w14:paraId="0E0AEE32">
            <w:pPr>
              <w:spacing w:before="27" w:line="213" w:lineRule="auto"/>
              <w:ind w:left="115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（10分）</w:t>
            </w:r>
          </w:p>
        </w:tc>
        <w:tc>
          <w:tcPr>
            <w:tcW w:w="955" w:type="dxa"/>
            <w:vMerge w:val="restart"/>
            <w:tcBorders>
              <w:top w:val="single" w:color="auto" w:sz="4" w:space="0"/>
              <w:bottom w:val="single" w:color="auto" w:sz="4" w:space="0"/>
            </w:tcBorders>
            <w:vAlign w:val="top"/>
          </w:tcPr>
          <w:p w14:paraId="18E3BEF2">
            <w:pPr>
              <w:spacing w:before="110" w:line="226" w:lineRule="auto"/>
              <w:ind w:left="12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服务对象</w:t>
            </w:r>
          </w:p>
          <w:p w14:paraId="79EA4442">
            <w:pPr>
              <w:spacing w:before="7" w:line="226" w:lineRule="auto"/>
              <w:ind w:left="129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满意度指</w:t>
            </w:r>
          </w:p>
          <w:p w14:paraId="3F53B901">
            <w:pPr>
              <w:spacing w:before="7" w:line="226" w:lineRule="auto"/>
              <w:ind w:left="419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2"/>
                <w:sz w:val="19"/>
                <w:szCs w:val="19"/>
              </w:rPr>
              <w:t>标</w:t>
            </w:r>
          </w:p>
        </w:tc>
        <w:tc>
          <w:tcPr>
            <w:tcW w:w="1244" w:type="dxa"/>
            <w:vAlign w:val="top"/>
          </w:tcPr>
          <w:p w14:paraId="58842E2E">
            <w:pPr>
              <w:pStyle w:val="8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vAlign w:val="top"/>
          </w:tcPr>
          <w:p w14:paraId="244B8543">
            <w:pPr>
              <w:pStyle w:val="8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vAlign w:val="top"/>
          </w:tcPr>
          <w:p w14:paraId="4C091D7F">
            <w:pPr>
              <w:pStyle w:val="8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vAlign w:val="top"/>
          </w:tcPr>
          <w:p w14:paraId="5CFD3C1C">
            <w:pPr>
              <w:pStyle w:val="8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vAlign w:val="top"/>
          </w:tcPr>
          <w:p w14:paraId="31253FF4">
            <w:pPr>
              <w:pStyle w:val="8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vAlign w:val="top"/>
          </w:tcPr>
          <w:p w14:paraId="1F978E51">
            <w:pPr>
              <w:pStyle w:val="8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5D272AB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41495404">
            <w:pPr>
              <w:pStyle w:val="8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single" w:color="auto" w:sz="4" w:space="0"/>
              <w:bottom w:val="single" w:color="auto" w:sz="4" w:space="0"/>
            </w:tcBorders>
            <w:vAlign w:val="top"/>
          </w:tcPr>
          <w:p w14:paraId="62B7F8EA">
            <w:pPr>
              <w:pStyle w:val="8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single" w:color="auto" w:sz="4" w:space="0"/>
              <w:bottom w:val="single" w:color="auto" w:sz="4" w:space="0"/>
            </w:tcBorders>
            <w:vAlign w:val="top"/>
          </w:tcPr>
          <w:p w14:paraId="68D4DD4E">
            <w:pPr>
              <w:pStyle w:val="8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vAlign w:val="top"/>
          </w:tcPr>
          <w:p w14:paraId="713673AC">
            <w:pPr>
              <w:pStyle w:val="8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vAlign w:val="top"/>
          </w:tcPr>
          <w:p w14:paraId="299DEF43">
            <w:pPr>
              <w:pStyle w:val="8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vAlign w:val="top"/>
          </w:tcPr>
          <w:p w14:paraId="0DAEAF7C">
            <w:pPr>
              <w:pStyle w:val="8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vAlign w:val="top"/>
          </w:tcPr>
          <w:p w14:paraId="2A296A9D">
            <w:pPr>
              <w:pStyle w:val="8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vAlign w:val="top"/>
          </w:tcPr>
          <w:p w14:paraId="364C95E8">
            <w:pPr>
              <w:pStyle w:val="8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vAlign w:val="top"/>
          </w:tcPr>
          <w:p w14:paraId="322E2A5E">
            <w:pPr>
              <w:pStyle w:val="8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02B71CB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</w:trPr>
        <w:tc>
          <w:tcPr>
            <w:tcW w:w="1084" w:type="dxa"/>
            <w:vMerge w:val="continue"/>
            <w:tcBorders>
              <w:top w:val="nil"/>
            </w:tcBorders>
            <w:textDirection w:val="tbRlV"/>
            <w:vAlign w:val="top"/>
          </w:tcPr>
          <w:p w14:paraId="76ADA55E">
            <w:pPr>
              <w:pStyle w:val="8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single" w:color="auto" w:sz="4" w:space="0"/>
              <w:bottom w:val="single" w:color="auto" w:sz="4" w:space="0"/>
            </w:tcBorders>
            <w:vAlign w:val="top"/>
          </w:tcPr>
          <w:p w14:paraId="18B2418D">
            <w:pPr>
              <w:pStyle w:val="8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single" w:color="auto" w:sz="4" w:space="0"/>
              <w:bottom w:val="single" w:color="auto" w:sz="4" w:space="0"/>
            </w:tcBorders>
            <w:vAlign w:val="top"/>
          </w:tcPr>
          <w:p w14:paraId="6E9487B6">
            <w:pPr>
              <w:pStyle w:val="8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vAlign w:val="top"/>
          </w:tcPr>
          <w:p w14:paraId="74E94E2A">
            <w:pPr>
              <w:spacing w:before="204" w:line="60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vAlign w:val="top"/>
          </w:tcPr>
          <w:p w14:paraId="1531794D">
            <w:pPr>
              <w:pStyle w:val="8"/>
              <w:rPr>
                <w:rFonts w:hint="eastAsia" w:ascii="宋体" w:hAnsi="宋体" w:eastAsia="宋体" w:cs="宋体"/>
              </w:rPr>
            </w:pPr>
          </w:p>
        </w:tc>
        <w:tc>
          <w:tcPr>
            <w:tcW w:w="1281" w:type="dxa"/>
            <w:vAlign w:val="top"/>
          </w:tcPr>
          <w:p w14:paraId="634A8CFC">
            <w:pPr>
              <w:pStyle w:val="8"/>
              <w:rPr>
                <w:rFonts w:hint="eastAsia" w:ascii="宋体" w:hAnsi="宋体" w:eastAsia="宋体" w:cs="宋体"/>
              </w:rPr>
            </w:pPr>
          </w:p>
        </w:tc>
        <w:tc>
          <w:tcPr>
            <w:tcW w:w="673" w:type="dxa"/>
            <w:vAlign w:val="top"/>
          </w:tcPr>
          <w:p w14:paraId="0FCBC2C0">
            <w:pPr>
              <w:pStyle w:val="8"/>
              <w:rPr>
                <w:rFonts w:hint="eastAsia" w:ascii="宋体" w:hAnsi="宋体" w:eastAsia="宋体" w:cs="宋体"/>
              </w:rPr>
            </w:pPr>
          </w:p>
        </w:tc>
        <w:tc>
          <w:tcPr>
            <w:tcW w:w="873" w:type="dxa"/>
            <w:vAlign w:val="top"/>
          </w:tcPr>
          <w:p w14:paraId="36B7B363">
            <w:pPr>
              <w:pStyle w:val="8"/>
              <w:rPr>
                <w:rFonts w:hint="eastAsia" w:ascii="宋体" w:hAnsi="宋体" w:eastAsia="宋体" w:cs="宋体"/>
              </w:rPr>
            </w:pPr>
          </w:p>
        </w:tc>
        <w:tc>
          <w:tcPr>
            <w:tcW w:w="1422" w:type="dxa"/>
            <w:vAlign w:val="top"/>
          </w:tcPr>
          <w:p w14:paraId="2A6D29A3">
            <w:pPr>
              <w:pStyle w:val="8"/>
              <w:rPr>
                <w:rFonts w:hint="eastAsia" w:ascii="宋体" w:hAnsi="宋体" w:eastAsia="宋体" w:cs="宋体"/>
              </w:rPr>
            </w:pPr>
          </w:p>
        </w:tc>
      </w:tr>
      <w:tr w14:paraId="045FF2B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6887" w:type="dxa"/>
            <w:gridSpan w:val="6"/>
            <w:vAlign w:val="top"/>
          </w:tcPr>
          <w:p w14:paraId="16E2250D">
            <w:pPr>
              <w:spacing w:before="36" w:line="216" w:lineRule="auto"/>
              <w:ind w:left="326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1"/>
                <w:sz w:val="19"/>
                <w:szCs w:val="19"/>
              </w:rPr>
              <w:t>总分</w:t>
            </w:r>
          </w:p>
        </w:tc>
        <w:tc>
          <w:tcPr>
            <w:tcW w:w="673" w:type="dxa"/>
            <w:vAlign w:val="top"/>
          </w:tcPr>
          <w:p w14:paraId="21CC18B2">
            <w:pPr>
              <w:spacing w:before="67" w:line="195" w:lineRule="auto"/>
              <w:ind w:left="208"/>
              <w:jc w:val="center"/>
              <w:rPr>
                <w:rFonts w:hint="eastAsia" w:ascii="宋体" w:hAnsi="宋体" w:eastAsia="宋体" w:cs="宋体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4"/>
                <w:sz w:val="19"/>
                <w:szCs w:val="19"/>
                <w:lang w:val="en-US" w:eastAsia="zh-CN"/>
              </w:rPr>
              <w:t>/</w:t>
            </w:r>
          </w:p>
        </w:tc>
        <w:tc>
          <w:tcPr>
            <w:tcW w:w="873" w:type="dxa"/>
            <w:vAlign w:val="top"/>
          </w:tcPr>
          <w:p w14:paraId="517FE756">
            <w:pPr>
              <w:pStyle w:val="8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/</w:t>
            </w:r>
          </w:p>
        </w:tc>
        <w:tc>
          <w:tcPr>
            <w:tcW w:w="1422" w:type="dxa"/>
            <w:vAlign w:val="top"/>
          </w:tcPr>
          <w:p w14:paraId="0E10417D">
            <w:pPr>
              <w:pStyle w:val="8"/>
              <w:rPr>
                <w:rFonts w:hint="eastAsia" w:ascii="宋体" w:hAnsi="宋体" w:eastAsia="宋体" w:cs="宋体"/>
              </w:rPr>
            </w:pPr>
          </w:p>
        </w:tc>
      </w:tr>
    </w:tbl>
    <w:p w14:paraId="35AE4E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/>
        <w:jc w:val="both"/>
        <w:textAlignment w:val="auto"/>
        <w:rPr>
          <w:sz w:val="22"/>
          <w:szCs w:val="22"/>
        </w:rPr>
        <w:sectPr>
          <w:footerReference r:id="rId3" w:type="default"/>
          <w:pgSz w:w="11900" w:h="16833"/>
          <w:pgMar w:top="1430" w:right="1017" w:bottom="1445" w:left="1022" w:header="0" w:footer="1169" w:gutter="0"/>
          <w:pgNumType w:fmt="decimal"/>
          <w:cols w:space="720" w:num="1"/>
        </w:sectPr>
      </w:pP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>单位负责人签字：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          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 xml:space="preserve">填表人：     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 xml:space="preserve"> 联系电话：     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>填报日期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eastAsia="zh-CN"/>
        </w:rPr>
        <w:t>：</w:t>
      </w:r>
    </w:p>
    <w:p w14:paraId="255294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黑体" w:hAnsi="黑体" w:eastAsia="黑体" w:cs="黑体"/>
          <w:b w:val="0"/>
          <w:bCs w:val="0"/>
          <w:color w:val="000000"/>
          <w:spacing w:val="10"/>
          <w:sz w:val="32"/>
          <w:szCs w:val="32"/>
          <w:lang w:val="en-US" w:eastAsia="zh-CN"/>
        </w:rPr>
      </w:pPr>
      <w:r>
        <w:rPr>
          <w:rFonts w:hint="default" w:ascii="黑体" w:hAnsi="黑体" w:eastAsia="黑体" w:cs="黑体"/>
          <w:b w:val="0"/>
          <w:bCs w:val="0"/>
          <w:color w:val="000000"/>
          <w:spacing w:val="10"/>
          <w:sz w:val="32"/>
          <w:szCs w:val="32"/>
          <w:lang w:val="en-US" w:eastAsia="zh-CN"/>
        </w:rPr>
        <w:t>附件</w:t>
      </w:r>
      <w:r>
        <w:rPr>
          <w:rFonts w:hint="eastAsia" w:ascii="黑体" w:hAnsi="黑体" w:eastAsia="黑体" w:cs="黑体"/>
          <w:b w:val="0"/>
          <w:bCs w:val="0"/>
          <w:color w:val="000000"/>
          <w:spacing w:val="10"/>
          <w:sz w:val="32"/>
          <w:szCs w:val="32"/>
          <w:lang w:val="en-US" w:eastAsia="zh-CN"/>
        </w:rPr>
        <w:t>4</w:t>
      </w:r>
    </w:p>
    <w:p w14:paraId="4AED9A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val="en-US" w:eastAsia="zh-CN"/>
        </w:rPr>
      </w:pPr>
    </w:p>
    <w:p w14:paraId="3E3BA8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4"/>
          <w:szCs w:val="44"/>
          <w:lang w:val="en-US" w:eastAsia="zh-CN"/>
        </w:rPr>
      </w:pPr>
    </w:p>
    <w:p w14:paraId="552C66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4"/>
          <w:szCs w:val="44"/>
          <w:lang w:val="en-US" w:eastAsia="zh-CN"/>
        </w:rPr>
        <w:t>2024</w:t>
      </w:r>
      <w:r>
        <w:rPr>
          <w:rFonts w:hint="default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4"/>
          <w:szCs w:val="44"/>
          <w:lang w:val="en-US" w:eastAsia="zh-CN"/>
        </w:rPr>
        <w:t>年度岳阳市岳阳楼区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4"/>
          <w:szCs w:val="44"/>
          <w:lang w:val="en-US" w:eastAsia="zh-CN"/>
        </w:rPr>
        <w:t>供销合作联社</w:t>
      </w:r>
      <w:r>
        <w:rPr>
          <w:rFonts w:hint="default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4"/>
          <w:szCs w:val="44"/>
          <w:lang w:val="en-US" w:eastAsia="zh-CN"/>
        </w:rPr>
        <w:t>整体支出绩效自评报告</w:t>
      </w:r>
    </w:p>
    <w:p w14:paraId="3D98F7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/>
          <w:spacing w:val="0"/>
          <w:position w:val="0"/>
          <w:sz w:val="22"/>
          <w:szCs w:val="22"/>
          <w:lang w:val="en-US" w:eastAsia="zh-CN"/>
        </w:rPr>
      </w:pPr>
    </w:p>
    <w:p w14:paraId="771D2D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/>
          <w:spacing w:val="0"/>
          <w:position w:val="0"/>
          <w:sz w:val="22"/>
          <w:szCs w:val="22"/>
          <w:lang w:val="en-US" w:eastAsia="zh-CN"/>
        </w:rPr>
      </w:pPr>
    </w:p>
    <w:p w14:paraId="37B3B9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/>
          <w:spacing w:val="0"/>
          <w:position w:val="0"/>
          <w:sz w:val="22"/>
          <w:szCs w:val="22"/>
          <w:lang w:val="en-US" w:eastAsia="zh-CN"/>
        </w:rPr>
      </w:pPr>
    </w:p>
    <w:p w14:paraId="6792EC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/>
          <w:spacing w:val="0"/>
          <w:position w:val="0"/>
          <w:sz w:val="22"/>
          <w:szCs w:val="22"/>
          <w:lang w:val="en-US" w:eastAsia="zh-CN"/>
        </w:rPr>
      </w:pPr>
    </w:p>
    <w:p w14:paraId="04A750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/>
          <w:spacing w:val="0"/>
          <w:position w:val="0"/>
          <w:sz w:val="22"/>
          <w:szCs w:val="22"/>
          <w:lang w:val="en-US" w:eastAsia="zh-CN"/>
        </w:rPr>
      </w:pPr>
    </w:p>
    <w:p w14:paraId="00486E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/>
          <w:spacing w:val="0"/>
          <w:position w:val="0"/>
          <w:sz w:val="22"/>
          <w:szCs w:val="22"/>
          <w:lang w:val="en-US" w:eastAsia="zh-CN"/>
        </w:rPr>
      </w:pPr>
    </w:p>
    <w:p w14:paraId="610ED2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/>
          <w:spacing w:val="0"/>
          <w:position w:val="0"/>
          <w:sz w:val="22"/>
          <w:szCs w:val="22"/>
          <w:lang w:val="en-US" w:eastAsia="zh-CN"/>
        </w:rPr>
      </w:pPr>
    </w:p>
    <w:p w14:paraId="0ABB75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/>
          <w:spacing w:val="0"/>
          <w:position w:val="0"/>
          <w:sz w:val="22"/>
          <w:szCs w:val="22"/>
          <w:lang w:val="en-US" w:eastAsia="zh-CN"/>
        </w:rPr>
      </w:pPr>
    </w:p>
    <w:p w14:paraId="570200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/>
          <w:spacing w:val="0"/>
          <w:position w:val="0"/>
          <w:sz w:val="22"/>
          <w:szCs w:val="22"/>
          <w:lang w:val="en-US" w:eastAsia="zh-CN"/>
        </w:rPr>
      </w:pPr>
    </w:p>
    <w:p w14:paraId="068AE7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/>
          <w:spacing w:val="0"/>
          <w:position w:val="0"/>
          <w:sz w:val="22"/>
          <w:szCs w:val="22"/>
          <w:lang w:val="en-US" w:eastAsia="zh-CN"/>
        </w:rPr>
      </w:pPr>
    </w:p>
    <w:p w14:paraId="379DA2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/>
          <w:spacing w:val="0"/>
          <w:position w:val="0"/>
          <w:sz w:val="22"/>
          <w:szCs w:val="22"/>
          <w:lang w:val="en-US" w:eastAsia="zh-CN"/>
        </w:rPr>
      </w:pPr>
    </w:p>
    <w:p w14:paraId="600CBC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/>
          <w:spacing w:val="0"/>
          <w:position w:val="0"/>
          <w:sz w:val="22"/>
          <w:szCs w:val="22"/>
          <w:lang w:val="en-US" w:eastAsia="zh-CN"/>
        </w:rPr>
      </w:pPr>
    </w:p>
    <w:p w14:paraId="23EFF0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/>
          <w:spacing w:val="0"/>
          <w:position w:val="0"/>
          <w:sz w:val="22"/>
          <w:szCs w:val="22"/>
          <w:lang w:val="en-US" w:eastAsia="zh-CN"/>
        </w:rPr>
      </w:pPr>
    </w:p>
    <w:p w14:paraId="6DA7F7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/>
          <w:spacing w:val="0"/>
          <w:position w:val="0"/>
          <w:sz w:val="22"/>
          <w:szCs w:val="22"/>
          <w:lang w:val="en-US" w:eastAsia="zh-CN"/>
        </w:rPr>
      </w:pPr>
    </w:p>
    <w:p w14:paraId="651056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/>
          <w:spacing w:val="0"/>
          <w:position w:val="0"/>
          <w:sz w:val="22"/>
          <w:szCs w:val="22"/>
          <w:lang w:val="en-US" w:eastAsia="zh-CN"/>
        </w:rPr>
      </w:pPr>
    </w:p>
    <w:p w14:paraId="413F4F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/>
          <w:spacing w:val="0"/>
          <w:position w:val="0"/>
          <w:sz w:val="22"/>
          <w:szCs w:val="22"/>
          <w:lang w:val="en-US" w:eastAsia="zh-CN"/>
        </w:rPr>
      </w:pPr>
    </w:p>
    <w:p w14:paraId="6604F0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/>
          <w:spacing w:val="0"/>
          <w:position w:val="0"/>
          <w:sz w:val="22"/>
          <w:szCs w:val="22"/>
          <w:lang w:val="en-US" w:eastAsia="zh-CN"/>
        </w:rPr>
      </w:pPr>
    </w:p>
    <w:p w14:paraId="51E8F7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/>
          <w:spacing w:val="0"/>
          <w:position w:val="0"/>
          <w:sz w:val="22"/>
          <w:szCs w:val="22"/>
          <w:lang w:val="en-US" w:eastAsia="zh-CN"/>
        </w:rPr>
      </w:pPr>
    </w:p>
    <w:p w14:paraId="0EC07D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eastAsia" w:ascii="楷体_GB2312" w:hAnsi="楷体_GB2312" w:eastAsia="楷体_GB2312" w:cs="楷体_GB2312"/>
          <w:color w:val="000000"/>
          <w:spacing w:val="0"/>
          <w:position w:val="0"/>
          <w:sz w:val="36"/>
          <w:szCs w:val="36"/>
          <w:lang w:val="en-US" w:eastAsia="zh-CN"/>
        </w:rPr>
      </w:pPr>
    </w:p>
    <w:p w14:paraId="00071F9C">
      <w:pPr>
        <w:spacing w:line="600" w:lineRule="exact"/>
        <w:jc w:val="center"/>
        <w:rPr>
          <w:rFonts w:hint="eastAsia" w:ascii="Times New Roman" w:hAnsi="Times New Roman" w:eastAsia="仿宋_GB2312" w:cs="Times New Roman"/>
          <w:sz w:val="32"/>
          <w:szCs w:val="32"/>
          <w:highlight w:val="none"/>
          <w:u w:val="single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部门（单位）名称：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u w:val="single"/>
          <w:lang w:val="en-US" w:eastAsia="zh-CN"/>
        </w:rPr>
        <w:t xml:space="preserve"> （盖 章）</w:t>
      </w:r>
    </w:p>
    <w:p w14:paraId="2C00CE16">
      <w:pPr>
        <w:spacing w:line="600" w:lineRule="exact"/>
        <w:jc w:val="center"/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2025年7月30日</w:t>
      </w:r>
    </w:p>
    <w:p w14:paraId="3FB646C3">
      <w:pPr>
        <w:spacing w:line="600" w:lineRule="exact"/>
        <w:jc w:val="center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（此页为封面）</w:t>
      </w:r>
    </w:p>
    <w:p w14:paraId="187831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spacing w:val="0"/>
          <w:position w:val="0"/>
          <w:sz w:val="44"/>
          <w:szCs w:val="44"/>
          <w:lang w:val="en-US" w:eastAsia="zh-CN"/>
        </w:rPr>
      </w:pPr>
    </w:p>
    <w:p w14:paraId="4DCAE02D">
      <w:pPr>
        <w:rPr>
          <w:rFonts w:hint="eastAsia" w:ascii="方正小标宋简体" w:hAnsi="方正小标宋简体" w:eastAsia="方正小标宋简体" w:cs="方正小标宋简体"/>
          <w:color w:val="000000"/>
          <w:spacing w:val="0"/>
          <w:position w:val="0"/>
          <w:sz w:val="44"/>
          <w:szCs w:val="44"/>
          <w:lang w:val="en-US" w:eastAsia="zh-CN"/>
        </w:rPr>
      </w:pPr>
    </w:p>
    <w:p w14:paraId="51AA49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/>
        <w:jc w:val="center"/>
        <w:textAlignment w:val="auto"/>
        <w:rPr>
          <w:rFonts w:hint="default" w:ascii="仿宋" w:hAnsi="仿宋" w:eastAsia="仿宋" w:cs="仿宋"/>
          <w:color w:val="000000"/>
          <w:spacing w:val="0"/>
          <w:position w:val="0"/>
          <w:sz w:val="22"/>
          <w:szCs w:val="2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pacing w:val="0"/>
          <w:position w:val="0"/>
          <w:sz w:val="44"/>
          <w:szCs w:val="44"/>
          <w:lang w:val="en-US" w:eastAsia="zh-CN"/>
        </w:rPr>
        <w:t>2024年度岳阳市岳阳楼区供销合作联社整体支出绩效自评报告</w:t>
      </w:r>
    </w:p>
    <w:p w14:paraId="31112B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/>
          <w:spacing w:val="0"/>
          <w:position w:val="0"/>
          <w:sz w:val="22"/>
          <w:szCs w:val="22"/>
          <w:lang w:val="en-US" w:eastAsia="zh-CN"/>
        </w:rPr>
      </w:pPr>
    </w:p>
    <w:p w14:paraId="70ABE3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/>
          <w:spacing w:val="0"/>
          <w:position w:val="0"/>
          <w:sz w:val="22"/>
          <w:szCs w:val="22"/>
          <w:lang w:val="en-US" w:eastAsia="zh-CN"/>
        </w:rPr>
      </w:pPr>
    </w:p>
    <w:p w14:paraId="333D6C61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firstLine="640" w:firstLineChars="200"/>
        <w:jc w:val="left"/>
        <w:textAlignment w:val="auto"/>
        <w:rPr>
          <w:rFonts w:hint="eastAsia" w:ascii="黑体" w:hAnsi="黑体" w:eastAsia="黑体" w:cs="黑体"/>
          <w:color w:val="000000"/>
          <w:spacing w:val="0"/>
          <w:positio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spacing w:val="0"/>
          <w:position w:val="0"/>
          <w:sz w:val="32"/>
          <w:szCs w:val="32"/>
          <w:lang w:val="en-US" w:eastAsia="zh-CN"/>
        </w:rPr>
        <w:t>单位基本情况</w:t>
      </w:r>
    </w:p>
    <w:p w14:paraId="53D553F2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napToGrid/>
        <w:spacing w:line="480" w:lineRule="auto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</w:rPr>
        <w:t>（一）职能职责</w:t>
      </w:r>
    </w:p>
    <w:p w14:paraId="3AFD5C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pacing w:val="0"/>
          <w:positio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position w:val="0"/>
          <w:sz w:val="32"/>
          <w:szCs w:val="32"/>
          <w:lang w:val="en-US" w:eastAsia="zh-CN"/>
        </w:rPr>
        <w:t>1、服务三农工作，促进城乡经济循环，执行国家及地方涉农政策。</w:t>
      </w:r>
    </w:p>
    <w:p w14:paraId="5A1929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pacing w:val="0"/>
          <w:positio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position w:val="0"/>
          <w:sz w:val="32"/>
          <w:szCs w:val="32"/>
          <w:lang w:val="en-US" w:eastAsia="zh-CN"/>
        </w:rPr>
        <w:t>2、依照国家和省、市制定的市场规划与政策，对区属公办市场进行全面管理。</w:t>
      </w:r>
    </w:p>
    <w:p w14:paraId="0E3680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pacing w:val="0"/>
          <w:positio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position w:val="0"/>
          <w:sz w:val="32"/>
          <w:szCs w:val="32"/>
          <w:lang w:val="en-US" w:eastAsia="zh-CN"/>
        </w:rPr>
        <w:t>3、协同区商务粮食局编制全区市场（网点）发展规划和布局规范，并组织实施。</w:t>
      </w:r>
    </w:p>
    <w:p w14:paraId="05A468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pacing w:val="0"/>
          <w:positio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position w:val="0"/>
          <w:sz w:val="32"/>
          <w:szCs w:val="32"/>
          <w:lang w:val="en-US" w:eastAsia="zh-CN"/>
        </w:rPr>
        <w:t>4、经常性地开展市场调研活动，为区政府制定市场建设管理政策提供意见和建议。</w:t>
      </w:r>
    </w:p>
    <w:p w14:paraId="155C77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pacing w:val="0"/>
          <w:positio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position w:val="0"/>
          <w:sz w:val="32"/>
          <w:szCs w:val="32"/>
          <w:lang w:val="en-US" w:eastAsia="zh-CN"/>
        </w:rPr>
        <w:t>5、负责本单位的信访维稳和安全生产工作，完成区委、区人民政府交办的其他任务。</w:t>
      </w:r>
    </w:p>
    <w:p w14:paraId="2D8DD143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napToGrid/>
        <w:spacing w:line="480" w:lineRule="auto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</w:rPr>
        <w:t>（二）机构设置</w:t>
      </w:r>
    </w:p>
    <w:p w14:paraId="3FBF20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640" w:firstLineChars="200"/>
        <w:jc w:val="left"/>
        <w:textAlignment w:val="auto"/>
        <w:rPr>
          <w:rFonts w:hint="eastAsia" w:ascii="黑体" w:hAnsi="黑体" w:eastAsia="黑体" w:cs="黑体"/>
          <w:color w:val="000000"/>
          <w:spacing w:val="0"/>
          <w:positio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position w:val="0"/>
          <w:sz w:val="32"/>
          <w:szCs w:val="32"/>
          <w:lang w:val="en-US" w:eastAsia="zh-CN"/>
        </w:rPr>
        <w:t>目前我中心内设5个科室，下辖5个市场中心。内设科室分别是综合办公室、市场建设管理股、资产管理和审计股、财务统计股、合作指导股。农贸市场中心分别是开源物业服务中心、巴陵大桥市场服务中心、五里牌市场服务中心、庙前街古玩市场服务中心、城陵矶市场服务中心。</w:t>
      </w:r>
    </w:p>
    <w:p w14:paraId="0D6DA2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640" w:firstLineChars="200"/>
        <w:jc w:val="left"/>
        <w:textAlignment w:val="auto"/>
        <w:rPr>
          <w:rFonts w:hint="eastAsia" w:ascii="黑体" w:hAnsi="黑体" w:eastAsia="黑体" w:cs="黑体"/>
          <w:color w:val="000000"/>
          <w:spacing w:val="0"/>
          <w:positio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spacing w:val="0"/>
          <w:position w:val="0"/>
          <w:sz w:val="32"/>
          <w:szCs w:val="32"/>
          <w:lang w:val="en-US" w:eastAsia="zh-CN"/>
        </w:rPr>
        <w:t>二、一般公共预算支出情况</w:t>
      </w:r>
    </w:p>
    <w:p w14:paraId="591D3C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643" w:firstLineChars="200"/>
        <w:jc w:val="left"/>
        <w:textAlignment w:val="auto"/>
        <w:rPr>
          <w:rFonts w:hint="eastAsia" w:ascii="楷体_GB2312" w:hAnsi="楷体_GB2312" w:eastAsia="楷体_GB2312" w:cs="楷体_GB2312"/>
          <w:b/>
          <w:bCs/>
          <w:color w:val="000000"/>
          <w:spacing w:val="0"/>
          <w:position w:val="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color w:val="000000"/>
          <w:spacing w:val="0"/>
          <w:position w:val="0"/>
          <w:sz w:val="32"/>
          <w:szCs w:val="32"/>
          <w:lang w:val="en-US" w:eastAsia="zh-CN"/>
        </w:rPr>
        <w:t>(一)基本支出情况</w:t>
      </w:r>
    </w:p>
    <w:p w14:paraId="7F70E3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76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pacing w:val="0"/>
          <w:kern w:val="2"/>
          <w:positio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kern w:val="2"/>
          <w:position w:val="0"/>
          <w:sz w:val="32"/>
          <w:szCs w:val="32"/>
          <w:lang w:val="en-US" w:eastAsia="zh-CN" w:bidi="ar-SA"/>
        </w:rPr>
        <w:t>2024</w:t>
      </w:r>
      <w:r>
        <w:rPr>
          <w:rFonts w:hint="eastAsia" w:ascii="仿宋_GB2312" w:hAnsi="仿宋_GB2312" w:eastAsia="仿宋_GB2312" w:cs="仿宋_GB2312"/>
          <w:color w:val="000000"/>
          <w:spacing w:val="0"/>
          <w:kern w:val="2"/>
          <w:position w:val="0"/>
          <w:sz w:val="32"/>
          <w:szCs w:val="32"/>
          <w:lang w:val="en-US" w:eastAsia="zh-CN" w:bidi="ar-SA"/>
        </w:rPr>
        <w:t>年度财政拨款基本支出785.57万元，其中：人员经费706.96万元，占基本支出的89.99%，主要包括基本工资、奖金、绩效工资、机关事业单位基本养老保险缴费、职业年金缴费、职工基本医疗保险缴费、其他社会保障缴费、住房公积金、退休费、抚恤金、生活补助、其他对个人和家庭的补助；</w:t>
      </w:r>
      <w:r>
        <w:rPr>
          <w:rFonts w:hint="eastAsia" w:ascii="仿宋_GB2312" w:hAnsi="仿宋_GB2312" w:eastAsia="仿宋_GB2312" w:cs="仿宋_GB2312"/>
          <w:color w:val="auto"/>
          <w:spacing w:val="0"/>
          <w:kern w:val="2"/>
          <w:position w:val="0"/>
          <w:sz w:val="32"/>
          <w:szCs w:val="32"/>
          <w:lang w:val="en-US" w:eastAsia="zh-CN" w:bidi="ar-SA"/>
        </w:rPr>
        <w:t>公用经费78.61万元，占基本支出的10.01%</w:t>
      </w:r>
      <w:r>
        <w:rPr>
          <w:rFonts w:hint="eastAsia" w:ascii="仿宋_GB2312" w:hAnsi="仿宋_GB2312" w:eastAsia="仿宋_GB2312" w:cs="仿宋_GB2312"/>
          <w:color w:val="000000"/>
          <w:spacing w:val="0"/>
          <w:kern w:val="2"/>
          <w:position w:val="0"/>
          <w:sz w:val="32"/>
          <w:szCs w:val="32"/>
          <w:lang w:val="en-US" w:eastAsia="zh-CN" w:bidi="ar-SA"/>
        </w:rPr>
        <w:t>，主要包括办公费、印刷费、水费、电费、维修费、培训费、专用材料费、工会经费、福利费、其他交通费用、税金及附加费用、其他商品和服务支出。</w:t>
      </w:r>
    </w:p>
    <w:p w14:paraId="633501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76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pacing w:val="0"/>
          <w:kern w:val="2"/>
          <w:positio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kern w:val="2"/>
          <w:position w:val="0"/>
          <w:sz w:val="32"/>
          <w:szCs w:val="32"/>
          <w:lang w:val="en-US" w:eastAsia="zh-CN" w:bidi="ar-SA"/>
        </w:rPr>
        <w:t>2024</w:t>
      </w:r>
      <w:r>
        <w:rPr>
          <w:rFonts w:hint="eastAsia" w:ascii="仿宋_GB2312" w:hAnsi="仿宋_GB2312" w:eastAsia="仿宋_GB2312" w:cs="仿宋_GB2312"/>
          <w:color w:val="000000"/>
          <w:spacing w:val="0"/>
          <w:kern w:val="2"/>
          <w:position w:val="0"/>
          <w:sz w:val="32"/>
          <w:szCs w:val="32"/>
          <w:lang w:val="en-US" w:eastAsia="zh-CN" w:bidi="ar-SA"/>
        </w:rPr>
        <w:t>年度“三公”经费财政拨款支出预算为1.00万元，支出决算为</w:t>
      </w:r>
      <w:r>
        <w:rPr>
          <w:rFonts w:hint="eastAsia" w:ascii="仿宋_GB2312" w:hAnsi="仿宋_GB2312" w:eastAsia="仿宋_GB2312" w:cs="仿宋_GB2312"/>
          <w:color w:val="auto"/>
          <w:spacing w:val="0"/>
          <w:kern w:val="2"/>
          <w:position w:val="0"/>
          <w:sz w:val="32"/>
          <w:szCs w:val="32"/>
          <w:lang w:val="en-US" w:eastAsia="zh-CN" w:bidi="ar-SA"/>
        </w:rPr>
        <w:t>0.06万元</w:t>
      </w:r>
      <w:r>
        <w:rPr>
          <w:rFonts w:hint="eastAsia" w:ascii="仿宋_GB2312" w:hAnsi="仿宋_GB2312" w:eastAsia="仿宋_GB2312" w:cs="仿宋_GB2312"/>
          <w:color w:val="000000"/>
          <w:spacing w:val="0"/>
          <w:kern w:val="2"/>
          <w:position w:val="0"/>
          <w:sz w:val="32"/>
          <w:szCs w:val="32"/>
          <w:lang w:val="en-US" w:eastAsia="zh-CN" w:bidi="ar-SA"/>
        </w:rPr>
        <w:t>，完成预算的6.00%，其中：</w:t>
      </w:r>
    </w:p>
    <w:p w14:paraId="5E63EF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76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pacing w:val="0"/>
          <w:kern w:val="2"/>
          <w:positio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kern w:val="2"/>
          <w:position w:val="0"/>
          <w:sz w:val="32"/>
          <w:szCs w:val="32"/>
          <w:lang w:val="en-US" w:eastAsia="zh-CN" w:bidi="ar-SA"/>
        </w:rPr>
        <w:t>因公出国（境）费支出预算为0.00万元，支出决算为0.00万元，完成预算的0.00%，决算数与预算数一致，我单位无公出国（境）费支出；公务接待费支出预算为1.00万元，支出决算为0.06万元，完成预算的6.00%；公务用车购置费支出预算为0.00万元，支出决算为0.00万元，完成预算的0.00%，决算数与预算数一致，我单位无公务用车购置费支出；公务用车运行维护费支出预算为0.00万元，支出决算为0.00万元，完成预算的0.00%，决算数与预算数一致，我单位无公务用车运行维护费支出。</w:t>
      </w:r>
    </w:p>
    <w:p w14:paraId="1AD8F1B6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firstLine="643" w:firstLineChars="200"/>
        <w:jc w:val="left"/>
        <w:textAlignment w:val="auto"/>
        <w:rPr>
          <w:rFonts w:hint="eastAsia" w:ascii="楷体_GB2312" w:hAnsi="楷体_GB2312" w:eastAsia="楷体_GB2312" w:cs="楷体_GB2312"/>
          <w:b/>
          <w:bCs/>
          <w:color w:val="000000"/>
          <w:spacing w:val="0"/>
          <w:position w:val="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color w:val="000000"/>
          <w:spacing w:val="0"/>
          <w:position w:val="0"/>
          <w:sz w:val="32"/>
          <w:szCs w:val="32"/>
          <w:lang w:val="en-US" w:eastAsia="zh-CN"/>
        </w:rPr>
        <w:t>项目支出情况</w:t>
      </w:r>
    </w:p>
    <w:p w14:paraId="1A642B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76" w:lineRule="auto"/>
        <w:ind w:firstLine="640" w:firstLineChars="200"/>
        <w:jc w:val="both"/>
        <w:textAlignment w:val="auto"/>
        <w:rPr>
          <w:rFonts w:hint="eastAsia" w:ascii="Calibri" w:hAnsi="Calibri" w:eastAsia="宋体" w:cs="Times New Roman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kern w:val="2"/>
          <w:position w:val="0"/>
          <w:sz w:val="32"/>
          <w:szCs w:val="32"/>
          <w:lang w:val="en-US" w:eastAsia="zh-CN" w:bidi="ar-SA"/>
        </w:rPr>
        <w:t>2024年度项目支出10999.11万元，主要包括其他政府性基金及对应专项债务收入安排的支出、农贸市场的物业管理支出、市场经营税金及市场零星维修支出。2024年初项目支出预算157.00万元，实际支出10999.11万元</w:t>
      </w:r>
      <w:r>
        <w:rPr>
          <w:rFonts w:hint="eastAsia" w:ascii="仿宋_GB2312" w:hAnsi="仿宋_GB2312" w:eastAsia="仿宋_GB2312" w:cs="仿宋_GB2312"/>
          <w:color w:val="000000"/>
          <w:spacing w:val="0"/>
          <w:kern w:val="2"/>
          <w:position w:val="0"/>
          <w:sz w:val="32"/>
          <w:szCs w:val="32"/>
          <w:lang w:val="en-US" w:eastAsia="zh-CN" w:bidi="ar-SA"/>
        </w:rPr>
        <w:t>，主要为其他政府性基金及对应专项债务收入安排的支出，农贸市场的物业管理支出、市场经营税金及市场零星维修支出未超标。</w:t>
      </w:r>
    </w:p>
    <w:p w14:paraId="5542A4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640" w:firstLineChars="200"/>
        <w:jc w:val="left"/>
        <w:textAlignment w:val="auto"/>
        <w:rPr>
          <w:rFonts w:hint="eastAsia" w:ascii="黑体" w:hAnsi="黑体" w:eastAsia="黑体" w:cs="黑体"/>
          <w:color w:val="000000"/>
          <w:spacing w:val="0"/>
          <w:positio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spacing w:val="0"/>
          <w:position w:val="0"/>
          <w:sz w:val="32"/>
          <w:szCs w:val="32"/>
          <w:lang w:val="en-US" w:eastAsia="zh-CN"/>
        </w:rPr>
        <w:t>三、政府性基金预算支出情况</w:t>
      </w:r>
    </w:p>
    <w:p w14:paraId="0E0498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200" w:line="240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pacing w:val="0"/>
          <w:kern w:val="2"/>
          <w:positio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kern w:val="2"/>
          <w:position w:val="0"/>
          <w:sz w:val="32"/>
          <w:szCs w:val="32"/>
          <w:lang w:val="en-US" w:eastAsia="zh-CN" w:bidi="ar-SA"/>
        </w:rPr>
        <w:t xml:space="preserve">本单位无政府性基金收支。 </w:t>
      </w:r>
    </w:p>
    <w:p w14:paraId="0046DF2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jc w:val="left"/>
        <w:textAlignment w:val="auto"/>
        <w:rPr>
          <w:rFonts w:hint="eastAsia" w:ascii="黑体" w:hAnsi="黑体" w:eastAsia="黑体" w:cs="黑体"/>
          <w:color w:val="000000"/>
          <w:spacing w:val="0"/>
          <w:positio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spacing w:val="0"/>
          <w:kern w:val="2"/>
          <w:position w:val="0"/>
          <w:sz w:val="32"/>
          <w:szCs w:val="32"/>
          <w:lang w:val="en-US" w:eastAsia="zh-CN" w:bidi="ar-SA"/>
        </w:rPr>
        <w:t>四、</w:t>
      </w:r>
      <w:r>
        <w:rPr>
          <w:rFonts w:hint="eastAsia" w:ascii="黑体" w:hAnsi="黑体" w:eastAsia="黑体" w:cs="黑体"/>
          <w:color w:val="000000"/>
          <w:spacing w:val="0"/>
          <w:position w:val="0"/>
          <w:sz w:val="32"/>
          <w:szCs w:val="32"/>
          <w:lang w:val="en-US" w:eastAsia="zh-CN"/>
        </w:rPr>
        <w:t>国有资本经营预算支出情况</w:t>
      </w:r>
    </w:p>
    <w:p w14:paraId="2DC1A2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200" w:line="240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pacing w:val="0"/>
          <w:kern w:val="2"/>
          <w:positio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kern w:val="2"/>
          <w:position w:val="0"/>
          <w:sz w:val="32"/>
          <w:szCs w:val="32"/>
          <w:lang w:val="en-US" w:eastAsia="zh-CN" w:bidi="ar-SA"/>
        </w:rPr>
        <w:t>本单位无国有资本经营预算财政拨款支出。</w:t>
      </w:r>
    </w:p>
    <w:p w14:paraId="740BB1F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jc w:val="left"/>
        <w:textAlignment w:val="auto"/>
        <w:rPr>
          <w:rFonts w:hint="eastAsia" w:ascii="黑体" w:hAnsi="黑体" w:eastAsia="黑体" w:cs="黑体"/>
          <w:color w:val="000000"/>
          <w:spacing w:val="0"/>
          <w:positio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spacing w:val="0"/>
          <w:kern w:val="2"/>
          <w:position w:val="0"/>
          <w:sz w:val="32"/>
          <w:szCs w:val="32"/>
          <w:lang w:val="en-US" w:eastAsia="zh-CN" w:bidi="ar-SA"/>
        </w:rPr>
        <w:t>五、</w:t>
      </w:r>
      <w:r>
        <w:rPr>
          <w:rFonts w:hint="eastAsia" w:ascii="黑体" w:hAnsi="黑体" w:eastAsia="黑体" w:cs="黑体"/>
          <w:color w:val="000000"/>
          <w:spacing w:val="0"/>
          <w:position w:val="0"/>
          <w:sz w:val="32"/>
          <w:szCs w:val="32"/>
          <w:lang w:val="en-US" w:eastAsia="zh-CN"/>
        </w:rPr>
        <w:t>社会保险基金预算支出情况</w:t>
      </w:r>
    </w:p>
    <w:p w14:paraId="367EE0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200" w:line="240" w:lineRule="auto"/>
        <w:ind w:firstLine="640" w:firstLineChars="200"/>
        <w:jc w:val="both"/>
        <w:textAlignment w:val="auto"/>
        <w:rPr>
          <w:rFonts w:hint="eastAsia" w:ascii="Calibri" w:hAnsi="Calibri" w:eastAsia="宋体" w:cs="Times New Roman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kern w:val="2"/>
          <w:position w:val="0"/>
          <w:sz w:val="32"/>
          <w:szCs w:val="32"/>
          <w:lang w:val="en-US" w:eastAsia="zh-CN" w:bidi="ar-SA"/>
        </w:rPr>
        <w:t>本单位无社会保险基金预算财政拨款支出。</w:t>
      </w:r>
    </w:p>
    <w:p w14:paraId="12E954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640" w:firstLineChars="200"/>
        <w:jc w:val="left"/>
        <w:textAlignment w:val="auto"/>
        <w:rPr>
          <w:rFonts w:hint="eastAsia" w:ascii="黑体" w:hAnsi="黑体" w:eastAsia="黑体" w:cs="黑体"/>
          <w:color w:val="000000"/>
          <w:spacing w:val="0"/>
          <w:positio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spacing w:val="0"/>
          <w:position w:val="0"/>
          <w:sz w:val="32"/>
          <w:szCs w:val="32"/>
          <w:lang w:val="en-US" w:eastAsia="zh-CN"/>
        </w:rPr>
        <w:t>六、单位整体支出绩效情况</w:t>
      </w:r>
    </w:p>
    <w:p w14:paraId="335626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pacing w:val="0"/>
          <w:kern w:val="2"/>
          <w:positio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kern w:val="2"/>
          <w:position w:val="0"/>
          <w:sz w:val="32"/>
          <w:szCs w:val="32"/>
          <w:lang w:val="en-US" w:eastAsia="zh-CN" w:bidi="ar-SA"/>
        </w:rPr>
        <w:t>2024</w:t>
      </w:r>
      <w:r>
        <w:rPr>
          <w:rFonts w:hint="eastAsia" w:ascii="仿宋_GB2312" w:hAnsi="仿宋_GB2312" w:eastAsia="仿宋_GB2312" w:cs="仿宋_GB2312"/>
          <w:color w:val="000000"/>
          <w:spacing w:val="0"/>
          <w:kern w:val="2"/>
          <w:position w:val="0"/>
          <w:sz w:val="32"/>
          <w:szCs w:val="32"/>
          <w:lang w:val="en-US" w:eastAsia="zh-CN" w:bidi="ar-SA"/>
        </w:rPr>
        <w:t>年，我社认真学习贯彻市、区三级负责干部会议和区委经济工作会议精神，大力打造领导带头，党员示范，赛马比拼的干事创业氛围，针对如何坚持奋进“十律”、助推高质量发展，组织专题研讨，认真寻求供销工作破局的方法路径，出台相应工作方案和考核办法，为全年工作绘就蓝图、吹响号角；同时针对楼区农集贸市场管理痛点难点，深入开展走访调研，通过访样板、找差距、促提升；已</w:t>
      </w:r>
      <w:r>
        <w:rPr>
          <w:rFonts w:hint="eastAsia" w:ascii="仿宋_GB2312" w:hAnsi="仿宋_GB2312" w:eastAsia="仿宋_GB2312" w:cs="仿宋_GB2312"/>
          <w:color w:val="auto"/>
          <w:spacing w:val="0"/>
          <w:kern w:val="2"/>
          <w:position w:val="0"/>
          <w:sz w:val="32"/>
          <w:szCs w:val="32"/>
          <w:lang w:val="en-US" w:eastAsia="zh-CN" w:bidi="ar-SA"/>
        </w:rPr>
        <w:t>重建楼区供销合作联社，实现中心更名加挂牌，为进一步实现新的跨越式发展打好基础。</w:t>
      </w:r>
    </w:p>
    <w:p w14:paraId="0F2F6A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pacing w:val="0"/>
          <w:kern w:val="2"/>
          <w:positio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kern w:val="2"/>
          <w:position w:val="0"/>
          <w:sz w:val="32"/>
          <w:szCs w:val="32"/>
          <w:lang w:val="en-US" w:eastAsia="zh-CN" w:bidi="ar-SA"/>
        </w:rPr>
        <w:t>1、强化政治引领，突出“稳”字统筹全局。一是将党的二十大精神和习近平总书记的重要讲话精神纳入社组</w:t>
      </w:r>
      <w:r>
        <w:rPr>
          <w:rFonts w:hint="eastAsia" w:ascii="仿宋_GB2312" w:hAnsi="仿宋_GB2312" w:eastAsia="仿宋_GB2312" w:cs="仿宋_GB2312"/>
          <w:color w:val="auto"/>
          <w:spacing w:val="0"/>
          <w:kern w:val="2"/>
          <w:position w:val="0"/>
          <w:sz w:val="32"/>
          <w:szCs w:val="32"/>
          <w:lang w:val="en-US" w:eastAsia="zh-CN" w:bidi="ar-SA"/>
        </w:rPr>
        <w:t>2024</w:t>
      </w:r>
      <w:r>
        <w:rPr>
          <w:rFonts w:hint="eastAsia" w:ascii="仿宋_GB2312" w:hAnsi="仿宋_GB2312" w:eastAsia="仿宋_GB2312" w:cs="仿宋_GB2312"/>
          <w:color w:val="000000"/>
          <w:spacing w:val="0"/>
          <w:kern w:val="2"/>
          <w:position w:val="0"/>
          <w:sz w:val="32"/>
          <w:szCs w:val="32"/>
          <w:lang w:val="en-US" w:eastAsia="zh-CN" w:bidi="ar-SA"/>
        </w:rPr>
        <w:t>年理论学习重点，持续深入开展学习贯彻习近平新时代中国特色社会主义主题教育，引领党员干部统一思想、坚定立场。二是严格落实全面从严治党主体责任，召开全面从严治党专题会商会，扎实推进省委巡察发现党建共性问题、党组书记述职评议查找问题的整改。三是切实把意识形态工作作为党的建设重要内容，加强组织领导，定期召开分析研判会，重点分析当前意识形态工作形势存在的舆情、问题及对策，并定期通报，通过遏制苗头性问题把握意识形态领域主动权。</w:t>
      </w:r>
    </w:p>
    <w:p w14:paraId="6A7425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pacing w:val="0"/>
          <w:kern w:val="2"/>
          <w:positio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kern w:val="2"/>
          <w:position w:val="0"/>
          <w:sz w:val="32"/>
          <w:szCs w:val="32"/>
          <w:lang w:val="en-US" w:eastAsia="zh-CN" w:bidi="ar-SA"/>
        </w:rPr>
        <w:t>2、</w:t>
      </w:r>
      <w:r>
        <w:rPr>
          <w:rFonts w:hint="eastAsia" w:ascii="仿宋_GB2312" w:hAnsi="仿宋_GB2312" w:eastAsia="仿宋_GB2312" w:cs="仿宋_GB2312"/>
          <w:color w:val="000000"/>
          <w:spacing w:val="0"/>
          <w:kern w:val="2"/>
          <w:position w:val="0"/>
          <w:sz w:val="32"/>
          <w:szCs w:val="32"/>
          <w:lang w:val="en-US" w:eastAsia="zh-CN" w:bidi="ar-SA"/>
        </w:rPr>
        <w:t>强化作风建设，突出“严”字整风肃纪。一是开展“四风突出问题整治”纠风防腐专项行动,强化学习相关法律法规、党纪条规，党员干部结合实际撰写心得体会，对照“整治”行动内容进行全面自查。二是组织广大干部职工观看专题片《持续发力 纵深推进》、开展“忆初心、感党恩、颂清廉”廉洁文艺作品观展活动，党组书记《违规吃喝问题专项整治工作》主题党课活动，督促大家严格清廉自守，展现新时代新担当新风尚。三是深化整治利用领导干部职权或影响力“打牌子”“提篮子”谋取利益工作，抗牢专项整治主体责任，加强对领导干部和关键人员的教育、管理和监督。</w:t>
      </w:r>
    </w:p>
    <w:p w14:paraId="424B1A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pacing w:val="0"/>
          <w:kern w:val="2"/>
          <w:positio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kern w:val="2"/>
          <w:position w:val="0"/>
          <w:sz w:val="32"/>
          <w:szCs w:val="32"/>
          <w:lang w:val="en-US" w:eastAsia="zh-CN" w:bidi="ar-SA"/>
        </w:rPr>
        <w:t>3、强化市场管理，突出“实”字巩固爱卫。一是积极响应，明职明责。将爱卫工作内容逐条分解，层层落实到岗位、到地段、到门面（摊位），明确具体责任人，做到爱卫工作任务、责任、人员、进度、时限“五落实”。二是务实行动，强化标准。根据《国家卫生城市评审与管理办法》和</w:t>
      </w:r>
      <w:r>
        <w:rPr>
          <w:rFonts w:hint="eastAsia" w:ascii="仿宋_GB2312" w:hAnsi="仿宋_GB2312" w:eastAsia="仿宋_GB2312" w:cs="仿宋_GB2312"/>
          <w:color w:val="auto"/>
          <w:spacing w:val="0"/>
          <w:kern w:val="2"/>
          <w:position w:val="0"/>
          <w:sz w:val="32"/>
          <w:szCs w:val="32"/>
          <w:lang w:val="en-US" w:eastAsia="zh-CN" w:bidi="ar-SA"/>
        </w:rPr>
        <w:t>《城市市容和环境卫生管理条例》</w:t>
      </w:r>
      <w:r>
        <w:rPr>
          <w:rFonts w:hint="eastAsia" w:ascii="仿宋_GB2312" w:hAnsi="仿宋_GB2312" w:eastAsia="仿宋_GB2312" w:cs="仿宋_GB2312"/>
          <w:color w:val="000000"/>
          <w:spacing w:val="0"/>
          <w:kern w:val="2"/>
          <w:position w:val="0"/>
          <w:sz w:val="32"/>
          <w:szCs w:val="32"/>
          <w:lang w:val="en-US" w:eastAsia="zh-CN" w:bidi="ar-SA"/>
        </w:rPr>
        <w:t>要求，逐条对照落实，做到卫生环境、商品陈列、通道畅通、车辆管理、软件建设“五到位”。三是持之以恒，立足长效。通过健全的组织体系、完善的工作机制和规范的管理办法，让广大干部职工和经营户自觉遵从，一以贯之，做到精神状态、履职尽责、常态管理、考核督查、良性互动“五持久”。 四是开展生活垃圾分类引导及“迎中秋、庆国庆”爱国卫生大扫除，由主要负责人带头，全员参与，重点清理办公区、走廊、公厕蛛网灰尘、污垢污迹，市场卫生死角、杂物、杂草、牛皮癣，疏通排水沟渠，确保辖区环境量化、净化、美化。</w:t>
      </w:r>
    </w:p>
    <w:p w14:paraId="14A14A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pacing w:val="0"/>
          <w:kern w:val="2"/>
          <w:positio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kern w:val="2"/>
          <w:position w:val="0"/>
          <w:sz w:val="32"/>
          <w:szCs w:val="32"/>
          <w:lang w:val="en-US" w:eastAsia="zh-CN" w:bidi="ar-SA"/>
        </w:rPr>
        <w:t>4、强化安全维稳，突出“责”字守好底线。一是认真调研推进消防安全隐患、建筑安全隐患整治、各市场水电设施升级节能提质工作；二是坚持每两周最少一次安全隐患排查，列出整改清单，督促整改到位。三是制定企业人员群体信访问题的“五包一”稳控方案，积极协调，成立稳控工作组，做好信息动态跟踪，发现问题及时反馈，积极做好信访人的思想疏导和稳控工作，确保将问题解决在基层、人员稳控在当地。</w:t>
      </w:r>
    </w:p>
    <w:p w14:paraId="643068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pacing w:val="0"/>
          <w:kern w:val="2"/>
          <w:positio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kern w:val="2"/>
          <w:position w:val="0"/>
          <w:sz w:val="32"/>
          <w:szCs w:val="32"/>
          <w:lang w:val="en-US" w:eastAsia="zh-CN" w:bidi="ar-SA"/>
        </w:rPr>
        <w:t>5、强化职能职责，突出“闯”字赋能转型。中心下沉楼区后，经区委编办《关于区市场建设服务中心更名的批复》（岳楼编办发〔2023〕40号）同意我中心更名为岳阳楼区供销合作联社，同时加挂岳阳市岳阳楼区市场建设服务中心牌子，因部分资产划转至区汇城集团，单位由主要进行农集贸市场管理工作增加供销职能，重点围绕为农服务、合作经济、流通体系、综合改革四大核心方向进行创新工作；有力推动了中心赋能转型和楼区供销合作联社重建。</w:t>
      </w:r>
    </w:p>
    <w:p w14:paraId="460F10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pacing w:val="0"/>
          <w:kern w:val="2"/>
          <w:positio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kern w:val="2"/>
          <w:position w:val="0"/>
          <w:sz w:val="32"/>
          <w:szCs w:val="32"/>
          <w:lang w:val="en-US" w:eastAsia="zh-CN" w:bidi="ar-SA"/>
        </w:rPr>
        <w:t>6、强化经济工作，突出“创”发展提升。一是进一步加强财务内控、资金统筹管理，与时俱进完善三重一大等管理制度，并严格遵循落实；二是严把政策法规关，规范物业租赁合同文本，依法依规依程序开展招商招租；三是开展“走找想促”， 组织相关负责同志分赴</w:t>
      </w:r>
      <w:r>
        <w:rPr>
          <w:rFonts w:hint="eastAsia" w:ascii="仿宋_GB2312" w:hAnsi="仿宋_GB2312" w:eastAsia="仿宋_GB2312" w:cs="仿宋_GB2312"/>
          <w:color w:val="auto"/>
          <w:spacing w:val="0"/>
          <w:kern w:val="2"/>
          <w:position w:val="0"/>
          <w:sz w:val="32"/>
          <w:szCs w:val="32"/>
          <w:lang w:val="en-US" w:eastAsia="zh-CN" w:bidi="ar-SA"/>
        </w:rPr>
        <w:t>长沙</w:t>
      </w:r>
      <w:r>
        <w:rPr>
          <w:rFonts w:hint="eastAsia" w:ascii="仿宋_GB2312" w:hAnsi="仿宋_GB2312" w:eastAsia="仿宋_GB2312" w:cs="仿宋_GB2312"/>
          <w:color w:val="000000"/>
          <w:spacing w:val="0"/>
          <w:kern w:val="2"/>
          <w:position w:val="0"/>
          <w:sz w:val="32"/>
          <w:szCs w:val="32"/>
          <w:lang w:val="en-US" w:eastAsia="zh-CN" w:bidi="ar-SA"/>
        </w:rPr>
        <w:t>等地开展学习交流调研，在农业生产、农残终端检测、市场规划布局、精细化便民化服务、再生资源回收等方面取真经、找经验，形成专题报告向区委、区政府汇报，为推进城区农集贸市场事权改革工作提供参考意见。四是优化闲置资产管理，制定闲置资产动态情况表，跟踪问效；五是积极参加省供销系统的培训以及市供销系统农资工作会议，积极推动供销资产运营有限公司的成立，为来年实施“优销优供”平价超市、农资淡储、再生资源回收等项目搭好平台。六</w:t>
      </w:r>
      <w:r>
        <w:rPr>
          <w:rFonts w:hint="eastAsia" w:ascii="仿宋_GB2312" w:hAnsi="仿宋_GB2312" w:eastAsia="仿宋_GB2312" w:cs="仿宋_GB2312"/>
          <w:color w:val="auto"/>
          <w:spacing w:val="0"/>
          <w:kern w:val="2"/>
          <w:position w:val="0"/>
          <w:sz w:val="32"/>
          <w:szCs w:val="32"/>
          <w:lang w:val="en-US" w:eastAsia="zh-CN" w:bidi="ar-SA"/>
        </w:rPr>
        <w:t>是分解全年招商任务</w:t>
      </w:r>
      <w:r>
        <w:rPr>
          <w:rFonts w:hint="eastAsia" w:ascii="仿宋_GB2312" w:hAnsi="仿宋_GB2312" w:eastAsia="仿宋_GB2312" w:cs="仿宋_GB2312"/>
          <w:color w:val="000000"/>
          <w:spacing w:val="0"/>
          <w:kern w:val="2"/>
          <w:position w:val="0"/>
          <w:sz w:val="32"/>
          <w:szCs w:val="32"/>
          <w:lang w:val="en-US" w:eastAsia="zh-CN" w:bidi="ar-SA"/>
        </w:rPr>
        <w:t>，每个分中心和科室全年招商任务完成情况进入2024年度目标管理考核，实行奖惩兑现；六是确保经济目标任务完成，截至目前已全额完成了本年度目标收入。</w:t>
      </w:r>
    </w:p>
    <w:p w14:paraId="1B77E2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640" w:firstLineChars="200"/>
        <w:jc w:val="left"/>
        <w:textAlignment w:val="auto"/>
        <w:rPr>
          <w:rFonts w:hint="eastAsia" w:ascii="黑体" w:hAnsi="黑体" w:eastAsia="黑体" w:cs="黑体"/>
          <w:color w:val="000000"/>
          <w:spacing w:val="0"/>
          <w:positio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spacing w:val="0"/>
          <w:position w:val="0"/>
          <w:sz w:val="32"/>
          <w:szCs w:val="32"/>
          <w:lang w:val="en-US" w:eastAsia="zh-CN"/>
        </w:rPr>
        <w:t>七、存在的问题及原因分析</w:t>
      </w:r>
    </w:p>
    <w:p w14:paraId="56E1ED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640" w:firstLineChars="200"/>
        <w:jc w:val="left"/>
        <w:textAlignment w:val="auto"/>
        <w:rPr>
          <w:rFonts w:hint="eastAsia" w:ascii="Calibri" w:hAnsi="Calibri" w:eastAsia="宋体" w:cs="Times New Roman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position w:val="0"/>
          <w:sz w:val="32"/>
          <w:szCs w:val="32"/>
          <w:lang w:val="en-US" w:eastAsia="zh-CN"/>
        </w:rPr>
        <w:t>通过绩效自评，发现我单位绩效管理存在的主要问题为:</w:t>
      </w:r>
    </w:p>
    <w:p w14:paraId="1BE198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pacing w:val="0"/>
          <w:positio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position w:val="0"/>
          <w:sz w:val="32"/>
          <w:szCs w:val="32"/>
          <w:lang w:val="en-US" w:eastAsia="zh-CN"/>
        </w:rPr>
        <w:t>一是绩效目标设置科学性有待提高。部分绩效指标存在评价标准难以量化、指标值难以获取，指标设置不够全面、代表性不足等问题。</w:t>
      </w:r>
    </w:p>
    <w:p w14:paraId="54EBF9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pacing w:val="0"/>
          <w:positio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position w:val="0"/>
          <w:sz w:val="32"/>
          <w:szCs w:val="32"/>
          <w:lang w:val="en-US" w:eastAsia="zh-CN"/>
        </w:rPr>
        <w:t>二是考核体系有待完善。服务质量类指标缺乏客观有效的评估手段，服务对象参与积极性不高</w:t>
      </w:r>
      <w:r>
        <w:rPr>
          <w:rFonts w:hint="eastAsia" w:ascii="仿宋_GB2312" w:hAnsi="仿宋_GB2312" w:eastAsia="仿宋_GB2312" w:cs="仿宋_GB2312"/>
          <w:color w:val="auto"/>
          <w:spacing w:val="0"/>
          <w:position w:val="0"/>
          <w:sz w:val="32"/>
          <w:szCs w:val="32"/>
          <w:lang w:val="en-US" w:eastAsia="zh-CN"/>
        </w:rPr>
        <w:t>。</w:t>
      </w:r>
    </w:p>
    <w:p w14:paraId="54AED1DA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firstLine="640" w:firstLineChars="200"/>
        <w:jc w:val="left"/>
        <w:textAlignment w:val="auto"/>
        <w:rPr>
          <w:rFonts w:hint="eastAsia" w:ascii="黑体" w:hAnsi="黑体" w:eastAsia="黑体" w:cs="黑体"/>
          <w:color w:val="000000"/>
          <w:spacing w:val="0"/>
          <w:positio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spacing w:val="0"/>
          <w:position w:val="0"/>
          <w:sz w:val="32"/>
          <w:szCs w:val="32"/>
          <w:lang w:val="en-US" w:eastAsia="zh-CN"/>
        </w:rPr>
        <w:t>下一步改进措施</w:t>
      </w:r>
    </w:p>
    <w:p w14:paraId="21D9F9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pacing w:val="0"/>
          <w:positio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position w:val="0"/>
          <w:sz w:val="32"/>
          <w:szCs w:val="32"/>
          <w:lang w:val="en-US" w:eastAsia="zh-CN"/>
        </w:rPr>
        <w:t>针对自评发现问题，我单位积极采取措施，分别从以下几个方面改进绩效管理工作:</w:t>
      </w:r>
    </w:p>
    <w:p w14:paraId="1AA0D4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pacing w:val="0"/>
          <w:positio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position w:val="0"/>
          <w:sz w:val="32"/>
          <w:szCs w:val="32"/>
          <w:lang w:val="en-US" w:eastAsia="zh-CN"/>
        </w:rPr>
        <w:t>一是聚焦区委区政府重大决策部署，加大调研督查力度，对重要领域和关键环节坚持案头调研和实地调研相结合，深入一线开展机构职能优化、机构设置研究，为科学决策提供有力支撑，对影响和制约发展的体制机制问题，提出贯彻落实措施，强化机构资源服务支撑作用，助推各项事业发展。</w:t>
      </w:r>
    </w:p>
    <w:p w14:paraId="45E252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pacing w:val="0"/>
          <w:positio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position w:val="0"/>
          <w:sz w:val="32"/>
          <w:szCs w:val="32"/>
          <w:lang w:val="en-US" w:eastAsia="zh-CN"/>
        </w:rPr>
        <w:t>二是加大机构业务培训力度组织开展多层次、多形式的培训教育和实践锻炼，促进提升系统干部业务水平，努力打造高素质专业化的干部队伍。</w:t>
      </w:r>
    </w:p>
    <w:p w14:paraId="741BD3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pacing w:val="0"/>
          <w:positio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position w:val="0"/>
          <w:sz w:val="32"/>
          <w:szCs w:val="32"/>
          <w:lang w:val="en-US" w:eastAsia="zh-CN"/>
        </w:rPr>
        <w:t>三是科学编制产出目标，产出目标既要参考历史标准，又要考虑环境因素，做到科学、合理编制绩效指标。</w:t>
      </w:r>
    </w:p>
    <w:p w14:paraId="0085F429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jc w:val="left"/>
        <w:textAlignment w:val="auto"/>
        <w:rPr>
          <w:rFonts w:hint="eastAsia" w:ascii="黑体" w:hAnsi="黑体" w:eastAsia="黑体" w:cs="黑体"/>
          <w:color w:val="000000"/>
          <w:spacing w:val="0"/>
          <w:positio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spacing w:val="0"/>
          <w:position w:val="0"/>
          <w:sz w:val="32"/>
          <w:szCs w:val="32"/>
          <w:lang w:val="en-US" w:eastAsia="zh-CN"/>
        </w:rPr>
        <w:t>单位整体支出绩效自评结果拟应用和公开情况</w:t>
      </w:r>
    </w:p>
    <w:p w14:paraId="5EDBB3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pacing w:val="0"/>
          <w:positio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position w:val="0"/>
          <w:sz w:val="32"/>
          <w:szCs w:val="32"/>
          <w:lang w:val="en-US" w:eastAsia="zh-CN"/>
        </w:rPr>
        <w:t>此次绩效自评结果主要以《2024年度预算单位整体支出绩效评价基础数据表》、《2024年度预算单位整体支出绩效自评表》、《2024年度单位整体支出绩效自评报告》的形式体现，自评表及自评报告内容完整、权重合理、数据真实、结果客观。我单位将绩效自评结果作为完善政策和改进管理的重要依据，同时加强评价结果的应用，对有效支出安排预算、低效支出压减预算、无效支出进行问责，切实提高单位预算绩效管理水平。自评结果按照要求依法予以公开。</w:t>
      </w:r>
    </w:p>
    <w:p w14:paraId="570901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640" w:firstLineChars="200"/>
        <w:jc w:val="left"/>
        <w:textAlignment w:val="auto"/>
        <w:rPr>
          <w:rFonts w:hint="eastAsia" w:ascii="黑体" w:hAnsi="黑体" w:eastAsia="黑体" w:cs="黑体"/>
          <w:color w:val="000000"/>
          <w:spacing w:val="0"/>
          <w:positio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spacing w:val="0"/>
          <w:position w:val="0"/>
          <w:sz w:val="32"/>
          <w:szCs w:val="32"/>
          <w:lang w:val="en-US" w:eastAsia="zh-CN"/>
        </w:rPr>
        <w:t>十、其他需要说明的情况</w:t>
      </w:r>
    </w:p>
    <w:p w14:paraId="50650E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640" w:firstLineChars="200"/>
        <w:jc w:val="left"/>
        <w:textAlignment w:val="auto"/>
        <w:rPr>
          <w:rFonts w:hint="eastAsia" w:ascii="Arial" w:hAnsi="Arial" w:eastAsia="宋体" w:cs="Times New Roman"/>
          <w:kern w:val="2"/>
          <w:sz w:val="24"/>
          <w:szCs w:val="21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position w:val="0"/>
          <w:sz w:val="32"/>
          <w:szCs w:val="32"/>
          <w:lang w:val="en-US" w:eastAsia="zh-CN"/>
        </w:rPr>
        <w:t>无其他需要说明的问题。</w:t>
      </w:r>
    </w:p>
    <w:p w14:paraId="1B4C56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pacing w:val="0"/>
          <w:positio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position w:val="0"/>
          <w:sz w:val="32"/>
          <w:szCs w:val="32"/>
          <w:lang w:val="en-US" w:eastAsia="zh-CN"/>
        </w:rPr>
        <w:t>附件：1、单位整体支出绩效评价基础数据表</w:t>
      </w:r>
    </w:p>
    <w:p w14:paraId="505F25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945" w:leftChars="45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pacing w:val="0"/>
          <w:positio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position w:val="0"/>
          <w:sz w:val="32"/>
          <w:szCs w:val="32"/>
          <w:lang w:val="en-US" w:eastAsia="zh-CN"/>
        </w:rPr>
        <w:t>2、单位整体支出绩效自评表</w:t>
      </w:r>
    </w:p>
    <w:p w14:paraId="223B99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945" w:leftChars="45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pacing w:val="0"/>
          <w:positio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position w:val="0"/>
          <w:sz w:val="32"/>
          <w:szCs w:val="32"/>
          <w:lang w:val="en-US" w:eastAsia="zh-CN"/>
        </w:rPr>
        <w:t>3、项目支出绩效自评表(每个一级项目一张表)</w:t>
      </w:r>
    </w:p>
    <w:p w14:paraId="7B1B63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945" w:leftChars="45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pacing w:val="0"/>
          <w:positio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position w:val="0"/>
          <w:sz w:val="32"/>
          <w:szCs w:val="32"/>
          <w:lang w:val="en-US" w:eastAsia="zh-CN"/>
        </w:rPr>
        <w:t>4、政府性基金预算支出情况表</w:t>
      </w:r>
    </w:p>
    <w:p w14:paraId="08B069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945" w:leftChars="45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pacing w:val="0"/>
          <w:positio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position w:val="0"/>
          <w:sz w:val="32"/>
          <w:szCs w:val="32"/>
          <w:lang w:val="en-US" w:eastAsia="zh-CN"/>
        </w:rPr>
        <w:t>5、国有资本经营预算支出情况表</w:t>
      </w:r>
    </w:p>
    <w:p w14:paraId="077A27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945" w:leftChars="450" w:firstLine="640" w:firstLineChars="200"/>
        <w:jc w:val="left"/>
        <w:textAlignment w:val="auto"/>
      </w:pPr>
      <w:r>
        <w:rPr>
          <w:rFonts w:hint="eastAsia" w:ascii="仿宋_GB2312" w:hAnsi="仿宋_GB2312" w:eastAsia="仿宋_GB2312" w:cs="仿宋_GB2312"/>
          <w:color w:val="000000"/>
          <w:spacing w:val="0"/>
          <w:position w:val="0"/>
          <w:sz w:val="32"/>
          <w:szCs w:val="32"/>
          <w:lang w:val="en-US" w:eastAsia="zh-CN"/>
        </w:rPr>
        <w:t>6、社会保险基金预算支出情况表</w:t>
      </w:r>
    </w:p>
    <w:sectPr>
      <w:footerReference r:id="rId4" w:type="default"/>
      <w:pgSz w:w="11906" w:h="16838"/>
      <w:pgMar w:top="1701" w:right="1701" w:bottom="1701" w:left="1701" w:header="851" w:footer="992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0000600000000000000"/>
    <w:charset w:val="86"/>
    <w:family w:val="auto"/>
    <w:pitch w:val="default"/>
    <w:sig w:usb0="00000000" w:usb1="00000000" w:usb2="00000012" w:usb3="00000000" w:csb0="00160001" w:csb1="1203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F9CC612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B59C78">
    <w:pPr>
      <w:pStyle w:val="3"/>
      <w:spacing w:before="1" w:line="174" w:lineRule="auto"/>
      <w:ind w:left="574"/>
      <w:rPr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E8A2250">
                          <w:pPr>
                            <w:pStyle w:val="4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10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E8A2250">
                    <w:pPr>
                      <w:pStyle w:val="4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10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3FE49C">
    <w:pPr>
      <w:spacing w:line="14" w:lineRule="auto"/>
      <w:rPr>
        <w:rFonts w:ascii="Arial" w:hAnsi="Calibri" w:eastAsia="宋体" w:cs="Times New Roman"/>
        <w:sz w:val="2"/>
      </w:rPr>
    </w:pPr>
    <w:r>
      <w:rPr>
        <w:rFonts w:ascii="Calibri" w:hAnsi="Calibri" w:eastAsia="宋体" w:cs="Times New Roman"/>
        <w:sz w:val="2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396E6A5">
                          <w:pPr>
                            <w:widowControl w:val="0"/>
                            <w:tabs>
                              <w:tab w:val="center" w:pos="4153"/>
                              <w:tab w:val="right" w:pos="8306"/>
                            </w:tabs>
                            <w:snapToGrid w:val="0"/>
                            <w:jc w:val="left"/>
                            <w:rPr>
                              <w:rFonts w:ascii="Calibri" w:hAnsi="Calibri" w:eastAsia="宋体" w:cs="Times New Roman"/>
                              <w:kern w:val="2"/>
                              <w:sz w:val="18"/>
                              <w:szCs w:val="24"/>
                              <w:lang w:val="en-US" w:eastAsia="zh-CN" w:bidi="ar-SA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t>7</w:t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/z8DRz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396E6A5">
                    <w:pPr>
                      <w:widowControl w:val="0"/>
                      <w:tabs>
                        <w:tab w:val="center" w:pos="4153"/>
                        <w:tab w:val="right" w:pos="8306"/>
                      </w:tabs>
                      <w:snapToGrid w:val="0"/>
                      <w:jc w:val="left"/>
                      <w:rPr>
                        <w:rFonts w:ascii="Calibri" w:hAnsi="Calibri" w:eastAsia="宋体" w:cs="Times New Roman"/>
                        <w:kern w:val="2"/>
                        <w:sz w:val="18"/>
                        <w:szCs w:val="24"/>
                        <w:lang w:val="en-US" w:eastAsia="zh-CN" w:bidi="ar-SA"/>
                      </w:rPr>
                    </w:pP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t>7</w:t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78E140C"/>
    <w:multiLevelType w:val="singleLevel"/>
    <w:tmpl w:val="B78E140C"/>
    <w:lvl w:ilvl="0" w:tentative="0">
      <w:start w:val="8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041050D8"/>
    <w:multiLevelType w:val="singleLevel"/>
    <w:tmpl w:val="041050D8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34CF47B5"/>
    <w:multiLevelType w:val="singleLevel"/>
    <w:tmpl w:val="34CF47B5"/>
    <w:lvl w:ilvl="0" w:tentative="0">
      <w:start w:val="2"/>
      <w:numFmt w:val="chineseCounting"/>
      <w:lvlText w:val="(%1)"/>
      <w:lvlJc w:val="left"/>
      <w:pPr>
        <w:tabs>
          <w:tab w:val="left" w:pos="312"/>
        </w:tabs>
      </w:pPr>
      <w:rPr>
        <w:rFonts w:hint="eastAsi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E04777F"/>
    <w:rsid w:val="02570EE7"/>
    <w:rsid w:val="02A67194"/>
    <w:rsid w:val="033B56D0"/>
    <w:rsid w:val="050741C2"/>
    <w:rsid w:val="05544226"/>
    <w:rsid w:val="065D3220"/>
    <w:rsid w:val="06E91411"/>
    <w:rsid w:val="07854E5D"/>
    <w:rsid w:val="07E950CF"/>
    <w:rsid w:val="092F6620"/>
    <w:rsid w:val="0B2E3DE2"/>
    <w:rsid w:val="0C5525F7"/>
    <w:rsid w:val="0C575ED8"/>
    <w:rsid w:val="0DF50570"/>
    <w:rsid w:val="0E053F99"/>
    <w:rsid w:val="0E640410"/>
    <w:rsid w:val="0F3E32AD"/>
    <w:rsid w:val="10293659"/>
    <w:rsid w:val="10F80BC2"/>
    <w:rsid w:val="13387739"/>
    <w:rsid w:val="13C609E5"/>
    <w:rsid w:val="14902636"/>
    <w:rsid w:val="168B0F88"/>
    <w:rsid w:val="188C4D77"/>
    <w:rsid w:val="1A224F93"/>
    <w:rsid w:val="1B76720E"/>
    <w:rsid w:val="1CE371B8"/>
    <w:rsid w:val="1DAC2A21"/>
    <w:rsid w:val="1DEC5879"/>
    <w:rsid w:val="1ECB4101"/>
    <w:rsid w:val="204D2E0F"/>
    <w:rsid w:val="207E6748"/>
    <w:rsid w:val="213273B4"/>
    <w:rsid w:val="21810476"/>
    <w:rsid w:val="21A460DD"/>
    <w:rsid w:val="226330E8"/>
    <w:rsid w:val="2445794A"/>
    <w:rsid w:val="28536ACE"/>
    <w:rsid w:val="286777E3"/>
    <w:rsid w:val="289005AB"/>
    <w:rsid w:val="28A51D7B"/>
    <w:rsid w:val="28F409F6"/>
    <w:rsid w:val="2BD12CFE"/>
    <w:rsid w:val="2BFA3B3E"/>
    <w:rsid w:val="2D925687"/>
    <w:rsid w:val="2E7E1767"/>
    <w:rsid w:val="2F6A1CB4"/>
    <w:rsid w:val="2F7147A0"/>
    <w:rsid w:val="2F9934C3"/>
    <w:rsid w:val="300138C3"/>
    <w:rsid w:val="319720BE"/>
    <w:rsid w:val="328E53CE"/>
    <w:rsid w:val="33CF0D98"/>
    <w:rsid w:val="33EA0473"/>
    <w:rsid w:val="343E5245"/>
    <w:rsid w:val="38DE382B"/>
    <w:rsid w:val="39732D2C"/>
    <w:rsid w:val="3AC906C7"/>
    <w:rsid w:val="3B6B1867"/>
    <w:rsid w:val="3FE0432D"/>
    <w:rsid w:val="400B001F"/>
    <w:rsid w:val="40A818F2"/>
    <w:rsid w:val="40AA2CE2"/>
    <w:rsid w:val="41201A0E"/>
    <w:rsid w:val="43275BF1"/>
    <w:rsid w:val="43B75D8E"/>
    <w:rsid w:val="4432077B"/>
    <w:rsid w:val="459E4A85"/>
    <w:rsid w:val="46A2058E"/>
    <w:rsid w:val="47601A8D"/>
    <w:rsid w:val="492D0547"/>
    <w:rsid w:val="4A4132BF"/>
    <w:rsid w:val="4A5D532D"/>
    <w:rsid w:val="4AB41401"/>
    <w:rsid w:val="4AE4721C"/>
    <w:rsid w:val="4CAE3158"/>
    <w:rsid w:val="4E04777F"/>
    <w:rsid w:val="4F2D0814"/>
    <w:rsid w:val="505809BB"/>
    <w:rsid w:val="52181704"/>
    <w:rsid w:val="54A47238"/>
    <w:rsid w:val="55B72FBF"/>
    <w:rsid w:val="55CA11E1"/>
    <w:rsid w:val="566B1984"/>
    <w:rsid w:val="58242BB1"/>
    <w:rsid w:val="58BA6A91"/>
    <w:rsid w:val="59164BBB"/>
    <w:rsid w:val="591C4539"/>
    <w:rsid w:val="598F4117"/>
    <w:rsid w:val="59D26D36"/>
    <w:rsid w:val="5BAF63C3"/>
    <w:rsid w:val="5E5061D7"/>
    <w:rsid w:val="5E6D65A5"/>
    <w:rsid w:val="62755F7C"/>
    <w:rsid w:val="62766C4A"/>
    <w:rsid w:val="641C6CAC"/>
    <w:rsid w:val="686D2352"/>
    <w:rsid w:val="69A578CA"/>
    <w:rsid w:val="6A4946F9"/>
    <w:rsid w:val="6A533DA5"/>
    <w:rsid w:val="6B804F99"/>
    <w:rsid w:val="6BE71C2E"/>
    <w:rsid w:val="6C304422"/>
    <w:rsid w:val="6DD662A4"/>
    <w:rsid w:val="6FAA79E8"/>
    <w:rsid w:val="71B303F4"/>
    <w:rsid w:val="730E682F"/>
    <w:rsid w:val="73652407"/>
    <w:rsid w:val="74441C24"/>
    <w:rsid w:val="756B1EDB"/>
    <w:rsid w:val="756C139F"/>
    <w:rsid w:val="75CD2DB2"/>
    <w:rsid w:val="768C03AE"/>
    <w:rsid w:val="77362F70"/>
    <w:rsid w:val="781F6A91"/>
    <w:rsid w:val="787C2FF5"/>
    <w:rsid w:val="79A47B9E"/>
    <w:rsid w:val="7B9D48A5"/>
    <w:rsid w:val="7CC571A4"/>
    <w:rsid w:val="7D032A78"/>
    <w:rsid w:val="7D75475B"/>
    <w:rsid w:val="7DBC4EC9"/>
    <w:rsid w:val="7E591345"/>
    <w:rsid w:val="7FAE2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99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a heading"/>
    <w:next w:val="1"/>
    <w:qFormat/>
    <w:uiPriority w:val="99"/>
    <w:pPr>
      <w:widowControl w:val="0"/>
      <w:spacing w:before="120" w:after="200" w:line="276" w:lineRule="auto"/>
      <w:jc w:val="both"/>
    </w:pPr>
    <w:rPr>
      <w:rFonts w:ascii="Arial" w:hAnsi="Arial" w:eastAsia="宋体" w:cs="Times New Roman"/>
      <w:kern w:val="2"/>
      <w:sz w:val="24"/>
      <w:szCs w:val="21"/>
      <w:lang w:val="en-US" w:eastAsia="zh-CN" w:bidi="ar-SA"/>
    </w:rPr>
  </w:style>
  <w:style w:type="paragraph" w:styleId="3">
    <w:name w:val="Body Text"/>
    <w:basedOn w:val="1"/>
    <w:semiHidden/>
    <w:qFormat/>
    <w:uiPriority w:val="0"/>
    <w:rPr>
      <w:rFonts w:ascii="仿宋" w:hAnsi="仿宋" w:eastAsia="仿宋" w:cs="仿宋"/>
      <w:sz w:val="35"/>
      <w:szCs w:val="35"/>
      <w:lang w:val="en-US" w:eastAsia="en-US" w:bidi="ar-SA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customStyle="1" w:styleId="7">
    <w:name w:val="Table Normal"/>
    <w:autoRedefine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8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13</Pages>
  <Words>5081</Words>
  <Characters>5501</Characters>
  <Lines>0</Lines>
  <Paragraphs>0</Paragraphs>
  <TotalTime>7</TotalTime>
  <ScaleCrop>false</ScaleCrop>
  <LinksUpToDate>false</LinksUpToDate>
  <CharactersWithSpaces>5587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2025-07-07T02:39:00Z</dcterms:created>
  <dc:creator>　</dc:creator>
  <cp:lastModifiedBy>烟雨胡同</cp:lastModifiedBy>
  <cp:lastPrinted>2025-07-11T07:42:00Z</cp:lastPrinted>
  <dcterms:modified xsi:type="dcterms:W3CDTF">2026-08-28T06:13:13Z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07EC19C20FD449AA8A9D0C5A0BDCB8DB_13</vt:lpwstr>
  </property>
  <property fmtid="{D5CDD505-2E9C-101B-9397-08002B2CF9AE}" pid="4" name="KSOTemplateDocerSaveRecord">
    <vt:lpwstr>eyJoZGlkIjoiZWFkMzQ0MzRlNzcyNjcwMGM5NjNmNDc2MTJiNzBhYzgiLCJ1c2VySWQiOiI0MTIxMDY5NjYifQ==</vt:lpwstr>
  </property>
</Properties>
</file>