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E4192">
      <w:pPr>
        <w:widowControl w:val="0"/>
        <w:kinsoku/>
        <w:autoSpaceDE/>
        <w:autoSpaceDN/>
        <w:adjustRightInd/>
        <w:snapToGrid/>
        <w:spacing w:after="120" w:afterLines="50" w:line="600" w:lineRule="exact"/>
        <w:jc w:val="both"/>
        <w:textAlignment w:val="auto"/>
        <w:rPr>
          <w:rFonts w:hint="eastAsia" w:ascii="黑体" w:hAnsi="黑体" w:eastAsia="黑体" w:cs="黑体"/>
          <w:snapToGrid/>
          <w:sz w:val="32"/>
          <w:szCs w:val="32"/>
          <w:highlight w:val="none"/>
          <w:lang w:val="en-US" w:eastAsia="zh-CN"/>
        </w:rPr>
      </w:pP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1</w:t>
      </w:r>
    </w:p>
    <w:p w14:paraId="61DEF227">
      <w:pPr>
        <w:keepNext w:val="0"/>
        <w:keepLines w:val="0"/>
        <w:pageBreakBefore w:val="0"/>
        <w:widowControl w:val="0"/>
        <w:kinsoku/>
        <w:wordWrap/>
        <w:overflowPunct/>
        <w:topLinePunct w:val="0"/>
        <w:autoSpaceDE/>
        <w:autoSpaceDN/>
        <w:bidi w:val="0"/>
        <w:adjustRightInd/>
        <w:snapToGrid/>
        <w:spacing w:after="120" w:afterLines="50" w:line="400" w:lineRule="exact"/>
        <w:jc w:val="center"/>
        <w:textAlignment w:val="auto"/>
        <w:rPr>
          <w:rFonts w:hint="eastAsia" w:ascii="方正小标宋简体" w:hAnsi="方正小标宋简体" w:eastAsia="方正小标宋简体" w:cs="方正小标宋简体"/>
          <w:snapToGrid/>
          <w:sz w:val="36"/>
          <w:szCs w:val="36"/>
          <w:highlight w:val="none"/>
          <w:lang w:eastAsia="zh-CN"/>
        </w:rPr>
      </w:pPr>
      <w:r>
        <w:rPr>
          <w:rFonts w:hint="eastAsia" w:ascii="方正小标宋简体" w:hAnsi="方正小标宋简体" w:eastAsia="方正小标宋简体" w:cs="方正小标宋简体"/>
          <w:snapToGrid/>
          <w:sz w:val="36"/>
          <w:szCs w:val="36"/>
          <w:highlight w:val="none"/>
          <w:lang w:eastAsia="zh-CN"/>
        </w:rPr>
        <w:t>202</w:t>
      </w:r>
      <w:r>
        <w:rPr>
          <w:rFonts w:hint="eastAsia" w:ascii="方正小标宋简体" w:hAnsi="方正小标宋简体" w:eastAsia="方正小标宋简体" w:cs="方正小标宋简体"/>
          <w:snapToGrid/>
          <w:sz w:val="36"/>
          <w:szCs w:val="36"/>
          <w:highlight w:val="none"/>
          <w:lang w:val="en-US" w:eastAsia="zh-CN"/>
        </w:rPr>
        <w:t>4</w:t>
      </w:r>
      <w:r>
        <w:rPr>
          <w:rFonts w:hint="eastAsia" w:ascii="方正小标宋简体" w:hAnsi="方正小标宋简体" w:eastAsia="方正小标宋简体" w:cs="方正小标宋简体"/>
          <w:snapToGrid/>
          <w:sz w:val="36"/>
          <w:szCs w:val="36"/>
          <w:highlight w:val="none"/>
          <w:lang w:eastAsia="zh-CN"/>
        </w:rPr>
        <w:t>年度岳阳市岳阳楼区价格认证鉴定中心</w:t>
      </w:r>
    </w:p>
    <w:p w14:paraId="25925647">
      <w:pPr>
        <w:keepNext w:val="0"/>
        <w:keepLines w:val="0"/>
        <w:pageBreakBefore w:val="0"/>
        <w:widowControl w:val="0"/>
        <w:kinsoku/>
        <w:wordWrap/>
        <w:overflowPunct/>
        <w:topLinePunct w:val="0"/>
        <w:autoSpaceDE/>
        <w:autoSpaceDN/>
        <w:bidi w:val="0"/>
        <w:adjustRightInd/>
        <w:snapToGrid/>
        <w:spacing w:after="120" w:afterLines="50" w:line="400" w:lineRule="exact"/>
        <w:jc w:val="center"/>
        <w:textAlignment w:val="auto"/>
        <w:rPr>
          <w:rFonts w:hint="eastAsia" w:ascii="方正小标宋简体" w:hAnsi="方正小标宋简体" w:eastAsia="方正小标宋简体" w:cs="方正小标宋简体"/>
          <w:snapToGrid/>
          <w:sz w:val="24"/>
          <w:szCs w:val="24"/>
          <w:highlight w:val="none"/>
          <w:lang w:eastAsia="zh-CN"/>
        </w:rPr>
      </w:pPr>
      <w:r>
        <w:rPr>
          <w:rFonts w:hint="eastAsia" w:ascii="方正小标宋简体" w:hAnsi="方正小标宋简体" w:eastAsia="方正小标宋简体" w:cs="方正小标宋简体"/>
          <w:snapToGrid/>
          <w:sz w:val="36"/>
          <w:szCs w:val="36"/>
          <w:highlight w:val="none"/>
          <w:lang w:eastAsia="zh-CN"/>
        </w:rPr>
        <w:t>整体支出绩效评价基础数据表</w:t>
      </w:r>
    </w:p>
    <w:tbl>
      <w:tblPr>
        <w:tblStyle w:val="5"/>
        <w:tblW w:w="9673" w:type="dxa"/>
        <w:jc w:val="center"/>
        <w:tblLayout w:type="fixed"/>
        <w:tblCellMar>
          <w:top w:w="0" w:type="dxa"/>
          <w:left w:w="108" w:type="dxa"/>
          <w:bottom w:w="0" w:type="dxa"/>
          <w:right w:w="108" w:type="dxa"/>
        </w:tblCellMar>
      </w:tblPr>
      <w:tblGrid>
        <w:gridCol w:w="3354"/>
        <w:gridCol w:w="1189"/>
        <w:gridCol w:w="849"/>
        <w:gridCol w:w="959"/>
        <w:gridCol w:w="1193"/>
        <w:gridCol w:w="1065"/>
        <w:gridCol w:w="1064"/>
      </w:tblGrid>
      <w:tr w14:paraId="0D37D9B6">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52DED2C0">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305C09B1">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编制数</w:t>
            </w:r>
          </w:p>
        </w:tc>
        <w:tc>
          <w:tcPr>
            <w:tcW w:w="2152" w:type="dxa"/>
            <w:gridSpan w:val="2"/>
            <w:tcBorders>
              <w:top w:val="single" w:color="auto" w:sz="4" w:space="0"/>
              <w:left w:val="nil"/>
              <w:bottom w:val="single" w:color="auto" w:sz="4" w:space="0"/>
              <w:right w:val="single" w:color="auto" w:sz="4" w:space="0"/>
            </w:tcBorders>
            <w:noWrap w:val="0"/>
            <w:vAlign w:val="center"/>
          </w:tcPr>
          <w:p w14:paraId="0D5BCF29">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年实际在职人数</w:t>
            </w:r>
          </w:p>
        </w:tc>
        <w:tc>
          <w:tcPr>
            <w:tcW w:w="2129" w:type="dxa"/>
            <w:gridSpan w:val="2"/>
            <w:tcBorders>
              <w:top w:val="single" w:color="auto" w:sz="4" w:space="0"/>
              <w:left w:val="nil"/>
              <w:bottom w:val="single" w:color="auto" w:sz="4" w:space="0"/>
              <w:right w:val="single" w:color="auto" w:sz="4" w:space="0"/>
            </w:tcBorders>
            <w:noWrap w:val="0"/>
            <w:vAlign w:val="center"/>
          </w:tcPr>
          <w:p w14:paraId="267E96F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控制率</w:t>
            </w:r>
          </w:p>
        </w:tc>
      </w:tr>
      <w:tr w14:paraId="069B7EC1">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4CE2E59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2038" w:type="dxa"/>
            <w:gridSpan w:val="2"/>
            <w:tcBorders>
              <w:top w:val="single" w:color="auto" w:sz="4" w:space="0"/>
              <w:left w:val="nil"/>
              <w:bottom w:val="single" w:color="auto" w:sz="4" w:space="0"/>
              <w:right w:val="single" w:color="auto" w:sz="4" w:space="0"/>
            </w:tcBorders>
            <w:noWrap w:val="0"/>
            <w:vAlign w:val="center"/>
          </w:tcPr>
          <w:p w14:paraId="3ECB9067">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6</w:t>
            </w:r>
          </w:p>
        </w:tc>
        <w:tc>
          <w:tcPr>
            <w:tcW w:w="2152" w:type="dxa"/>
            <w:gridSpan w:val="2"/>
            <w:tcBorders>
              <w:top w:val="single" w:color="auto" w:sz="4" w:space="0"/>
              <w:left w:val="nil"/>
              <w:bottom w:val="single" w:color="auto" w:sz="4" w:space="0"/>
              <w:right w:val="single" w:color="auto" w:sz="4" w:space="0"/>
            </w:tcBorders>
            <w:noWrap w:val="0"/>
            <w:vAlign w:val="center"/>
          </w:tcPr>
          <w:p w14:paraId="3B8C2F1A">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6</w:t>
            </w:r>
          </w:p>
        </w:tc>
        <w:tc>
          <w:tcPr>
            <w:tcW w:w="2129" w:type="dxa"/>
            <w:gridSpan w:val="2"/>
            <w:tcBorders>
              <w:top w:val="single" w:color="auto" w:sz="4" w:space="0"/>
              <w:left w:val="nil"/>
              <w:bottom w:val="single" w:color="auto" w:sz="4" w:space="0"/>
              <w:right w:val="single" w:color="auto" w:sz="4" w:space="0"/>
            </w:tcBorders>
            <w:noWrap w:val="0"/>
            <w:vAlign w:val="center"/>
          </w:tcPr>
          <w:p w14:paraId="7A994068">
            <w:pPr>
              <w:widowControl/>
              <w:kinsoku/>
              <w:autoSpaceDE/>
              <w:autoSpaceDN/>
              <w:adjustRightInd/>
              <w:snapToGrid/>
              <w:spacing w:line="3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val="en-US" w:eastAsia="zh-CN"/>
              </w:rPr>
              <w:t>100.00%</w:t>
            </w:r>
          </w:p>
        </w:tc>
      </w:tr>
      <w:tr w14:paraId="7354F0A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363BC9">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4D6521D5">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3</w:t>
            </w:r>
            <w:r>
              <w:rPr>
                <w:rFonts w:hint="eastAsia" w:ascii="仿宋_GB2312" w:hAnsi="仿宋_GB2312" w:eastAsia="仿宋_GB2312" w:cs="仿宋_GB2312"/>
                <w:b/>
                <w:bCs/>
                <w:snapToGrid/>
                <w:sz w:val="20"/>
                <w:szCs w:val="20"/>
                <w:highlight w:val="none"/>
                <w:lang w:eastAsia="zh-CN"/>
              </w:rPr>
              <w:t>年决算数</w:t>
            </w:r>
          </w:p>
        </w:tc>
        <w:tc>
          <w:tcPr>
            <w:tcW w:w="2152" w:type="dxa"/>
            <w:gridSpan w:val="2"/>
            <w:tcBorders>
              <w:top w:val="single" w:color="auto" w:sz="4" w:space="0"/>
              <w:left w:val="nil"/>
              <w:bottom w:val="single" w:color="auto" w:sz="4" w:space="0"/>
              <w:right w:val="single" w:color="000000" w:sz="4" w:space="0"/>
            </w:tcBorders>
            <w:noWrap w:val="0"/>
            <w:vAlign w:val="center"/>
          </w:tcPr>
          <w:p w14:paraId="0061C35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年预算数</w:t>
            </w:r>
          </w:p>
        </w:tc>
        <w:tc>
          <w:tcPr>
            <w:tcW w:w="2129" w:type="dxa"/>
            <w:gridSpan w:val="2"/>
            <w:tcBorders>
              <w:top w:val="single" w:color="auto" w:sz="4" w:space="0"/>
              <w:left w:val="nil"/>
              <w:bottom w:val="single" w:color="auto" w:sz="4" w:space="0"/>
              <w:right w:val="single" w:color="000000" w:sz="4" w:space="0"/>
            </w:tcBorders>
            <w:noWrap w:val="0"/>
            <w:vAlign w:val="center"/>
          </w:tcPr>
          <w:p w14:paraId="41B48596">
            <w:pPr>
              <w:widowControl/>
              <w:kinsoku/>
              <w:autoSpaceDE/>
              <w:autoSpaceDN/>
              <w:adjustRightInd/>
              <w:snapToGrid/>
              <w:spacing w:line="360" w:lineRule="exact"/>
              <w:jc w:val="center"/>
              <w:textAlignment w:val="auto"/>
              <w:rPr>
                <w:rFonts w:hint="eastAsia" w:ascii="仿宋_GB2312" w:hAnsi="仿宋_GB2312" w:eastAsia="仿宋_GB2312" w:cs="仿宋_GB2312"/>
                <w:b/>
                <w:bCs/>
                <w:snapToGrid/>
                <w:sz w:val="20"/>
                <w:szCs w:val="20"/>
                <w:highlight w:val="none"/>
                <w:lang w:eastAsia="zh-CN"/>
              </w:rPr>
            </w:pPr>
            <w:r>
              <w:rPr>
                <w:rFonts w:hint="eastAsia" w:ascii="仿宋_GB2312" w:hAnsi="仿宋_GB2312" w:eastAsia="仿宋_GB2312" w:cs="仿宋_GB2312"/>
                <w:b/>
                <w:bCs/>
                <w:snapToGrid/>
                <w:sz w:val="20"/>
                <w:szCs w:val="20"/>
                <w:highlight w:val="none"/>
                <w:lang w:eastAsia="zh-CN"/>
              </w:rPr>
              <w:t>202</w:t>
            </w:r>
            <w:r>
              <w:rPr>
                <w:rFonts w:hint="eastAsia" w:ascii="仿宋_GB2312" w:hAnsi="仿宋_GB2312" w:eastAsia="仿宋_GB2312" w:cs="仿宋_GB2312"/>
                <w:b/>
                <w:bCs/>
                <w:snapToGrid/>
                <w:sz w:val="20"/>
                <w:szCs w:val="20"/>
                <w:highlight w:val="none"/>
                <w:lang w:val="en-US" w:eastAsia="zh-CN"/>
              </w:rPr>
              <w:t>4</w:t>
            </w:r>
            <w:r>
              <w:rPr>
                <w:rFonts w:hint="eastAsia" w:ascii="仿宋_GB2312" w:hAnsi="仿宋_GB2312" w:eastAsia="仿宋_GB2312" w:cs="仿宋_GB2312"/>
                <w:b/>
                <w:bCs/>
                <w:snapToGrid/>
                <w:sz w:val="20"/>
                <w:szCs w:val="20"/>
                <w:highlight w:val="none"/>
                <w:lang w:eastAsia="zh-CN"/>
              </w:rPr>
              <w:t>年决算数</w:t>
            </w:r>
          </w:p>
        </w:tc>
      </w:tr>
      <w:tr w14:paraId="2F9206F0">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DA786D">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D57965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0.00</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A85A2A3">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0.00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5BD8D795">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r>
              <w:rPr>
                <w:rFonts w:hint="eastAsia" w:ascii="仿宋_GB2312" w:hAnsi="仿宋_GB2312" w:eastAsia="仿宋_GB2312" w:cs="仿宋_GB2312"/>
                <w:snapToGrid/>
                <w:kern w:val="0"/>
                <w:sz w:val="20"/>
                <w:szCs w:val="20"/>
                <w:highlight w:val="none"/>
                <w:lang w:val="en-US" w:eastAsia="zh-CN" w:bidi="ar-SA"/>
              </w:rPr>
              <w:t>0.00</w:t>
            </w:r>
          </w:p>
        </w:tc>
      </w:tr>
      <w:tr w14:paraId="1B55A24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CCE8A58">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DCFB99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5DB1231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7BE11978">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337B77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671D7A">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157A5C7C">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416626D7">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49DC9550">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65FC2C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E9D9F9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7C9B6A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3C1F451C">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09445EB7">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33FDDD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B4D01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B8B17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74A0EB73">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7F11069">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0C526391">
        <w:tblPrEx>
          <w:tblCellMar>
            <w:top w:w="0" w:type="dxa"/>
            <w:left w:w="108" w:type="dxa"/>
            <w:bottom w:w="0" w:type="dxa"/>
            <w:right w:w="108" w:type="dxa"/>
          </w:tblCellMar>
        </w:tblPrEx>
        <w:trPr>
          <w:trHeight w:val="34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476CFC">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1B26A98A">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187740DD">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26B46D73">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46C370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CB064A0">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4BCA3459">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30.30</w:t>
            </w:r>
          </w:p>
        </w:tc>
        <w:tc>
          <w:tcPr>
            <w:tcW w:w="2152" w:type="dxa"/>
            <w:gridSpan w:val="2"/>
            <w:tcBorders>
              <w:top w:val="single" w:color="auto" w:sz="4" w:space="0"/>
              <w:left w:val="nil"/>
              <w:bottom w:val="single" w:color="auto" w:sz="4" w:space="0"/>
              <w:right w:val="single" w:color="000000" w:sz="4" w:space="0"/>
            </w:tcBorders>
            <w:shd w:val="clear" w:color="auto" w:fill="auto"/>
            <w:noWrap w:val="0"/>
            <w:vAlign w:val="center"/>
          </w:tcPr>
          <w:p w14:paraId="65E7F7E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23.00</w:t>
            </w:r>
          </w:p>
        </w:tc>
        <w:tc>
          <w:tcPr>
            <w:tcW w:w="2129" w:type="dxa"/>
            <w:gridSpan w:val="2"/>
            <w:tcBorders>
              <w:top w:val="single" w:color="auto" w:sz="4" w:space="0"/>
              <w:left w:val="nil"/>
              <w:bottom w:val="single" w:color="auto" w:sz="4" w:space="0"/>
              <w:right w:val="single" w:color="000000" w:sz="4" w:space="0"/>
            </w:tcBorders>
            <w:shd w:val="clear" w:color="auto" w:fill="auto"/>
            <w:noWrap w:val="0"/>
            <w:vAlign w:val="center"/>
          </w:tcPr>
          <w:p w14:paraId="3806868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12.33</w:t>
            </w:r>
          </w:p>
        </w:tc>
      </w:tr>
      <w:tr w14:paraId="1ADC39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7B615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eastAsia="zh-CN"/>
              </w:rPr>
              <w:t>1、</w:t>
            </w:r>
            <w:r>
              <w:rPr>
                <w:rFonts w:hint="eastAsia" w:ascii="仿宋_GB2312" w:hAnsi="仿宋_GB2312" w:eastAsia="仿宋_GB2312" w:cs="仿宋_GB2312"/>
                <w:snapToGrid/>
                <w:sz w:val="20"/>
                <w:szCs w:val="20"/>
                <w:highlight w:val="none"/>
                <w:lang w:val="en-US" w:eastAsia="zh-CN"/>
              </w:rPr>
              <w:t>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3F7C825">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noWrap w:val="0"/>
            <w:vAlign w:val="center"/>
          </w:tcPr>
          <w:p w14:paraId="6192202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23.00</w:t>
            </w:r>
          </w:p>
        </w:tc>
        <w:tc>
          <w:tcPr>
            <w:tcW w:w="2129" w:type="dxa"/>
            <w:gridSpan w:val="2"/>
            <w:tcBorders>
              <w:top w:val="single" w:color="auto" w:sz="4" w:space="0"/>
              <w:left w:val="nil"/>
              <w:bottom w:val="single" w:color="auto" w:sz="4" w:space="0"/>
              <w:right w:val="single" w:color="000000" w:sz="4" w:space="0"/>
            </w:tcBorders>
            <w:noWrap w:val="0"/>
            <w:vAlign w:val="center"/>
          </w:tcPr>
          <w:p w14:paraId="6A5DBB4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12.33</w:t>
            </w:r>
          </w:p>
        </w:tc>
      </w:tr>
      <w:tr w14:paraId="2256B6C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B6415A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w:t>
            </w:r>
            <w:r>
              <w:rPr>
                <w:rFonts w:hint="eastAsia" w:ascii="仿宋_GB2312" w:hAnsi="仿宋_GB2312" w:eastAsia="仿宋_GB2312" w:cs="仿宋_GB2312"/>
                <w:snapToGrid/>
                <w:sz w:val="20"/>
                <w:szCs w:val="20"/>
                <w:highlight w:val="none"/>
                <w:lang w:eastAsia="zh-CN"/>
              </w:rPr>
              <w:t>、</w:t>
            </w:r>
            <w:r>
              <w:rPr>
                <w:rFonts w:hint="eastAsia" w:ascii="仿宋_GB2312" w:hAnsi="仿宋_GB2312" w:eastAsia="仿宋_GB2312" w:cs="仿宋_GB2312"/>
                <w:snapToGrid/>
                <w:kern w:val="2"/>
                <w:sz w:val="20"/>
                <w:szCs w:val="20"/>
                <w:highlight w:val="none"/>
                <w:lang w:eastAsia="zh-CN"/>
              </w:rPr>
              <w:t>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89AB0A0">
            <w:pPr>
              <w:widowControl/>
              <w:kinsoku/>
              <w:autoSpaceDE/>
              <w:autoSpaceDN/>
              <w:adjustRightInd/>
              <w:snapToGrid/>
              <w:spacing w:line="360" w:lineRule="exact"/>
              <w:jc w:val="center"/>
              <w:textAlignment w:val="auto"/>
              <w:rPr>
                <w:rFonts w:hint="eastAsia" w:ascii="仿宋_GB2312" w:hAnsi="仿宋_GB2312" w:eastAsia="仿宋_GB2312" w:cs="仿宋_GB2312"/>
                <w:snapToGrid/>
                <w:kern w:val="0"/>
                <w:sz w:val="20"/>
                <w:szCs w:val="20"/>
                <w:highlight w:val="none"/>
                <w:lang w:val="en-US" w:eastAsia="zh-CN" w:bidi="ar-SA"/>
              </w:rPr>
            </w:pPr>
          </w:p>
        </w:tc>
        <w:tc>
          <w:tcPr>
            <w:tcW w:w="2152" w:type="dxa"/>
            <w:gridSpan w:val="2"/>
            <w:tcBorders>
              <w:top w:val="single" w:color="auto" w:sz="4" w:space="0"/>
              <w:left w:val="nil"/>
              <w:bottom w:val="single" w:color="auto" w:sz="4" w:space="0"/>
              <w:right w:val="single" w:color="000000" w:sz="4" w:space="0"/>
            </w:tcBorders>
            <w:noWrap w:val="0"/>
            <w:vAlign w:val="center"/>
          </w:tcPr>
          <w:p w14:paraId="33F477A2">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c>
          <w:tcPr>
            <w:tcW w:w="2129" w:type="dxa"/>
            <w:gridSpan w:val="2"/>
            <w:tcBorders>
              <w:top w:val="single" w:color="auto" w:sz="4" w:space="0"/>
              <w:left w:val="nil"/>
              <w:bottom w:val="single" w:color="auto" w:sz="4" w:space="0"/>
              <w:right w:val="single" w:color="000000" w:sz="4" w:space="0"/>
            </w:tcBorders>
            <w:noWrap w:val="0"/>
            <w:vAlign w:val="center"/>
          </w:tcPr>
          <w:p w14:paraId="261AF98E">
            <w:pPr>
              <w:widowControl/>
              <w:kinsoku/>
              <w:autoSpaceDE/>
              <w:autoSpaceDN/>
              <w:adjustRightInd/>
              <w:snapToGrid/>
              <w:spacing w:line="360" w:lineRule="exact"/>
              <w:jc w:val="center"/>
              <w:textAlignment w:val="auto"/>
              <w:rPr>
                <w:rFonts w:hint="default" w:ascii="仿宋_GB2312" w:hAnsi="仿宋_GB2312" w:eastAsia="仿宋_GB2312" w:cs="仿宋_GB2312"/>
                <w:snapToGrid/>
                <w:kern w:val="0"/>
                <w:sz w:val="20"/>
                <w:szCs w:val="20"/>
                <w:highlight w:val="none"/>
                <w:lang w:val="en-US" w:eastAsia="zh-CN" w:bidi="ar-SA"/>
              </w:rPr>
            </w:pPr>
          </w:p>
        </w:tc>
      </w:tr>
      <w:tr w14:paraId="1E3CB7F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90295AE">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w:t>
            </w:r>
            <w:r>
              <w:rPr>
                <w:rFonts w:hint="eastAsia" w:ascii="仿宋_GB2312" w:hAnsi="仿宋_GB2312" w:eastAsia="仿宋_GB2312" w:cs="仿宋_GB2312"/>
                <w:snapToGrid/>
                <w:sz w:val="20"/>
                <w:szCs w:val="20"/>
                <w:highlight w:val="none"/>
                <w:lang w:eastAsia="zh-CN"/>
              </w:rPr>
              <w:t>、价格认定专项经费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3CE24C9">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30.30</w:t>
            </w:r>
          </w:p>
        </w:tc>
        <w:tc>
          <w:tcPr>
            <w:tcW w:w="2152" w:type="dxa"/>
            <w:gridSpan w:val="2"/>
            <w:tcBorders>
              <w:top w:val="single" w:color="auto" w:sz="4" w:space="0"/>
              <w:left w:val="nil"/>
              <w:bottom w:val="single" w:color="auto" w:sz="4" w:space="0"/>
              <w:right w:val="single" w:color="000000" w:sz="4" w:space="0"/>
            </w:tcBorders>
            <w:noWrap w:val="0"/>
            <w:vAlign w:val="center"/>
          </w:tcPr>
          <w:p w14:paraId="7E419DE7">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noWrap w:val="0"/>
            <w:vAlign w:val="center"/>
          </w:tcPr>
          <w:p w14:paraId="25A356A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r>
      <w:tr w14:paraId="3BD6BF83">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7ED2A603">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公用经费</w:t>
            </w:r>
          </w:p>
        </w:tc>
        <w:tc>
          <w:tcPr>
            <w:tcW w:w="2038" w:type="dxa"/>
            <w:gridSpan w:val="2"/>
            <w:tcBorders>
              <w:top w:val="single" w:color="auto" w:sz="4" w:space="0"/>
              <w:left w:val="nil"/>
              <w:bottom w:val="single" w:color="auto" w:sz="4" w:space="0"/>
              <w:right w:val="single" w:color="auto" w:sz="4" w:space="0"/>
            </w:tcBorders>
            <w:noWrap w:val="0"/>
            <w:vAlign w:val="center"/>
          </w:tcPr>
          <w:p w14:paraId="17C09E1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10.90</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255DAA6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10.80</w:t>
            </w:r>
          </w:p>
        </w:tc>
        <w:tc>
          <w:tcPr>
            <w:tcW w:w="2129" w:type="dxa"/>
            <w:gridSpan w:val="2"/>
            <w:tcBorders>
              <w:top w:val="single" w:color="auto" w:sz="4" w:space="0"/>
              <w:left w:val="nil"/>
              <w:bottom w:val="single" w:color="auto" w:sz="4" w:space="0"/>
              <w:right w:val="single" w:color="000000" w:sz="4" w:space="0"/>
            </w:tcBorders>
            <w:noWrap w:val="0"/>
            <w:vAlign w:val="center"/>
          </w:tcPr>
          <w:p w14:paraId="6A40EEF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11.48</w:t>
            </w:r>
            <w:bookmarkStart w:id="1" w:name="_GoBack"/>
            <w:bookmarkEnd w:id="1"/>
          </w:p>
        </w:tc>
      </w:tr>
      <w:tr w14:paraId="428334CC">
        <w:tblPrEx>
          <w:tblCellMar>
            <w:top w:w="0" w:type="dxa"/>
            <w:left w:w="108" w:type="dxa"/>
            <w:bottom w:w="0" w:type="dxa"/>
            <w:right w:w="108" w:type="dxa"/>
          </w:tblCellMar>
        </w:tblPrEx>
        <w:trPr>
          <w:trHeight w:val="9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262E545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2B4586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2.51</w:t>
            </w:r>
          </w:p>
        </w:tc>
        <w:tc>
          <w:tcPr>
            <w:tcW w:w="2152" w:type="dxa"/>
            <w:gridSpan w:val="2"/>
            <w:tcBorders>
              <w:top w:val="single" w:color="auto" w:sz="4" w:space="0"/>
              <w:left w:val="nil"/>
              <w:bottom w:val="single" w:color="auto" w:sz="4" w:space="0"/>
              <w:right w:val="single" w:color="000000" w:sz="4" w:space="0"/>
            </w:tcBorders>
            <w:noWrap w:val="0"/>
            <w:vAlign w:val="center"/>
          </w:tcPr>
          <w:p w14:paraId="03353911">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4.00</w:t>
            </w:r>
          </w:p>
        </w:tc>
        <w:tc>
          <w:tcPr>
            <w:tcW w:w="2129" w:type="dxa"/>
            <w:gridSpan w:val="2"/>
            <w:tcBorders>
              <w:top w:val="single" w:color="auto" w:sz="4" w:space="0"/>
              <w:left w:val="nil"/>
              <w:bottom w:val="single" w:color="auto" w:sz="4" w:space="0"/>
              <w:right w:val="single" w:color="000000" w:sz="4" w:space="0"/>
            </w:tcBorders>
            <w:noWrap w:val="0"/>
            <w:vAlign w:val="center"/>
          </w:tcPr>
          <w:p w14:paraId="291A85D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11.36</w:t>
            </w:r>
          </w:p>
        </w:tc>
      </w:tr>
      <w:tr w14:paraId="24F149C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FA328E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6928648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0.80</w:t>
            </w:r>
          </w:p>
        </w:tc>
        <w:tc>
          <w:tcPr>
            <w:tcW w:w="2152" w:type="dxa"/>
            <w:gridSpan w:val="2"/>
            <w:tcBorders>
              <w:top w:val="single" w:color="auto" w:sz="4" w:space="0"/>
              <w:left w:val="nil"/>
              <w:bottom w:val="single" w:color="auto" w:sz="4" w:space="0"/>
              <w:right w:val="single" w:color="000000" w:sz="4" w:space="0"/>
            </w:tcBorders>
            <w:noWrap w:val="0"/>
            <w:vAlign w:val="center"/>
          </w:tcPr>
          <w:p w14:paraId="635FA7FB">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0.50</w:t>
            </w:r>
          </w:p>
        </w:tc>
        <w:tc>
          <w:tcPr>
            <w:tcW w:w="2129" w:type="dxa"/>
            <w:gridSpan w:val="2"/>
            <w:tcBorders>
              <w:top w:val="single" w:color="auto" w:sz="4" w:space="0"/>
              <w:left w:val="nil"/>
              <w:bottom w:val="single" w:color="auto" w:sz="4" w:space="0"/>
              <w:right w:val="single" w:color="000000" w:sz="4" w:space="0"/>
            </w:tcBorders>
            <w:noWrap w:val="0"/>
            <w:vAlign w:val="center"/>
          </w:tcPr>
          <w:p w14:paraId="09F5F616">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0.50</w:t>
            </w:r>
          </w:p>
        </w:tc>
      </w:tr>
      <w:tr w14:paraId="39A920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7E7721">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8FD53BA">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nil"/>
              <w:bottom w:val="single" w:color="auto" w:sz="4" w:space="0"/>
              <w:right w:val="single" w:color="000000" w:sz="4" w:space="0"/>
            </w:tcBorders>
            <w:noWrap w:val="0"/>
            <w:vAlign w:val="center"/>
          </w:tcPr>
          <w:p w14:paraId="6DA1C291">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c>
          <w:tcPr>
            <w:tcW w:w="2129" w:type="dxa"/>
            <w:gridSpan w:val="2"/>
            <w:tcBorders>
              <w:top w:val="single" w:color="auto" w:sz="4" w:space="0"/>
              <w:left w:val="nil"/>
              <w:bottom w:val="single" w:color="auto" w:sz="4" w:space="0"/>
              <w:right w:val="single" w:color="000000" w:sz="4" w:space="0"/>
            </w:tcBorders>
            <w:noWrap w:val="0"/>
            <w:vAlign w:val="center"/>
          </w:tcPr>
          <w:p w14:paraId="7895BCD2">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p>
        </w:tc>
      </w:tr>
      <w:tr w14:paraId="698A091C">
        <w:tblPrEx>
          <w:tblCellMar>
            <w:top w:w="0" w:type="dxa"/>
            <w:left w:w="108" w:type="dxa"/>
            <w:bottom w:w="0" w:type="dxa"/>
            <w:right w:w="108" w:type="dxa"/>
          </w:tblCellMar>
        </w:tblPrEx>
        <w:trPr>
          <w:trHeight w:val="0" w:hRule="atLeast"/>
          <w:jc w:val="center"/>
        </w:trPr>
        <w:tc>
          <w:tcPr>
            <w:tcW w:w="3354" w:type="dxa"/>
            <w:tcBorders>
              <w:top w:val="single" w:color="auto" w:sz="4" w:space="0"/>
              <w:left w:val="single" w:color="auto" w:sz="4" w:space="0"/>
              <w:bottom w:val="single" w:color="auto" w:sz="4" w:space="0"/>
              <w:right w:val="single" w:color="auto" w:sz="4" w:space="0"/>
            </w:tcBorders>
            <w:noWrap w:val="0"/>
            <w:vAlign w:val="center"/>
          </w:tcPr>
          <w:p w14:paraId="690A01BB">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政府采购金额</w:t>
            </w:r>
          </w:p>
        </w:tc>
        <w:tc>
          <w:tcPr>
            <w:tcW w:w="2038" w:type="dxa"/>
            <w:gridSpan w:val="2"/>
            <w:tcBorders>
              <w:top w:val="single" w:color="auto" w:sz="4" w:space="0"/>
              <w:left w:val="nil"/>
              <w:bottom w:val="single" w:color="auto" w:sz="4" w:space="0"/>
              <w:right w:val="single" w:color="auto" w:sz="4" w:space="0"/>
            </w:tcBorders>
            <w:noWrap w:val="0"/>
            <w:vAlign w:val="center"/>
          </w:tcPr>
          <w:p w14:paraId="50AF2EF0">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29.00</w:t>
            </w: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77D3299E">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33.80</w:t>
            </w:r>
          </w:p>
        </w:tc>
        <w:tc>
          <w:tcPr>
            <w:tcW w:w="2129" w:type="dxa"/>
            <w:gridSpan w:val="2"/>
            <w:tcBorders>
              <w:top w:val="single" w:color="auto" w:sz="4" w:space="0"/>
              <w:left w:val="nil"/>
              <w:bottom w:val="single" w:color="auto" w:sz="4" w:space="0"/>
              <w:right w:val="single" w:color="000000" w:sz="4" w:space="0"/>
            </w:tcBorders>
            <w:noWrap w:val="0"/>
            <w:vAlign w:val="center"/>
          </w:tcPr>
          <w:p w14:paraId="2B0A36AF">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29.20</w:t>
            </w:r>
          </w:p>
        </w:tc>
      </w:tr>
      <w:tr w14:paraId="701C9D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2100E9">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部门基本支出预算调整</w:t>
            </w:r>
          </w:p>
        </w:tc>
        <w:tc>
          <w:tcPr>
            <w:tcW w:w="2038" w:type="dxa"/>
            <w:gridSpan w:val="2"/>
            <w:tcBorders>
              <w:top w:val="single" w:color="auto" w:sz="4" w:space="0"/>
              <w:left w:val="nil"/>
              <w:bottom w:val="single" w:color="auto" w:sz="4" w:space="0"/>
              <w:right w:val="single" w:color="auto" w:sz="4" w:space="0"/>
            </w:tcBorders>
            <w:noWrap w:val="0"/>
            <w:vAlign w:val="center"/>
          </w:tcPr>
          <w:p w14:paraId="42A3209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c>
          <w:tcPr>
            <w:tcW w:w="2152" w:type="dxa"/>
            <w:gridSpan w:val="2"/>
            <w:tcBorders>
              <w:top w:val="single" w:color="auto" w:sz="4" w:space="0"/>
              <w:left w:val="single" w:color="auto" w:sz="4" w:space="0"/>
              <w:bottom w:val="single" w:color="auto" w:sz="4" w:space="0"/>
              <w:right w:val="single" w:color="000000" w:sz="4" w:space="0"/>
            </w:tcBorders>
            <w:noWrap w:val="0"/>
            <w:vAlign w:val="center"/>
          </w:tcPr>
          <w:p w14:paraId="092D104C">
            <w:pPr>
              <w:widowControl/>
              <w:kinsoku/>
              <w:autoSpaceDE/>
              <w:autoSpaceDN/>
              <w:adjustRightInd/>
              <w:snapToGrid/>
              <w:spacing w:line="36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17.03</w:t>
            </w:r>
          </w:p>
        </w:tc>
        <w:tc>
          <w:tcPr>
            <w:tcW w:w="2129" w:type="dxa"/>
            <w:gridSpan w:val="2"/>
            <w:tcBorders>
              <w:top w:val="single" w:color="auto" w:sz="4" w:space="0"/>
              <w:left w:val="nil"/>
              <w:bottom w:val="single" w:color="auto" w:sz="4" w:space="0"/>
              <w:right w:val="single" w:color="000000" w:sz="4" w:space="0"/>
            </w:tcBorders>
            <w:noWrap w:val="0"/>
            <w:vAlign w:val="center"/>
          </w:tcPr>
          <w:p w14:paraId="74B7233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p>
        </w:tc>
      </w:tr>
      <w:tr w14:paraId="2335DE5E">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176A75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楼堂馆所控制情况</w:t>
            </w:r>
          </w:p>
          <w:p w14:paraId="27F70CC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（202</w:t>
            </w:r>
            <w:r>
              <w:rPr>
                <w:rFonts w:hint="eastAsia" w:ascii="仿宋_GB2312" w:hAnsi="仿宋_GB2312" w:eastAsia="仿宋_GB2312" w:cs="仿宋_GB2312"/>
                <w:snapToGrid/>
                <w:sz w:val="20"/>
                <w:szCs w:val="20"/>
                <w:highlight w:val="none"/>
                <w:lang w:val="en-US" w:eastAsia="zh-CN"/>
              </w:rPr>
              <w:t>4</w:t>
            </w:r>
            <w:r>
              <w:rPr>
                <w:rFonts w:hint="eastAsia" w:ascii="仿宋_GB2312" w:hAnsi="仿宋_GB2312" w:eastAsia="仿宋_GB2312" w:cs="仿宋_GB2312"/>
                <w:snapToGrid/>
                <w:sz w:val="20"/>
                <w:szCs w:val="20"/>
                <w:highlight w:val="none"/>
                <w:lang w:eastAsia="zh-CN"/>
              </w:rPr>
              <w:t>年完工项目）</w:t>
            </w:r>
          </w:p>
        </w:tc>
        <w:tc>
          <w:tcPr>
            <w:tcW w:w="1189" w:type="dxa"/>
            <w:tcBorders>
              <w:top w:val="single" w:color="auto" w:sz="4" w:space="0"/>
              <w:left w:val="nil"/>
              <w:bottom w:val="single" w:color="auto" w:sz="4" w:space="0"/>
              <w:right w:val="single" w:color="auto" w:sz="4" w:space="0"/>
            </w:tcBorders>
            <w:noWrap w:val="0"/>
            <w:vAlign w:val="center"/>
          </w:tcPr>
          <w:p w14:paraId="346C890A">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批复规模</w:t>
            </w:r>
          </w:p>
          <w:p w14:paraId="457C80CD">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w:t>
            </w:r>
          </w:p>
        </w:tc>
        <w:tc>
          <w:tcPr>
            <w:tcW w:w="849" w:type="dxa"/>
            <w:tcBorders>
              <w:top w:val="single" w:color="auto" w:sz="4" w:space="0"/>
              <w:left w:val="nil"/>
              <w:bottom w:val="single" w:color="auto" w:sz="4" w:space="0"/>
              <w:right w:val="single" w:color="auto" w:sz="4" w:space="0"/>
            </w:tcBorders>
            <w:noWrap w:val="0"/>
            <w:vAlign w:val="center"/>
          </w:tcPr>
          <w:p w14:paraId="3B4307F4">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实际规模（㎡）</w:t>
            </w:r>
          </w:p>
        </w:tc>
        <w:tc>
          <w:tcPr>
            <w:tcW w:w="959" w:type="dxa"/>
            <w:tcBorders>
              <w:top w:val="nil"/>
              <w:left w:val="nil"/>
              <w:bottom w:val="single" w:color="auto" w:sz="4" w:space="0"/>
              <w:right w:val="single" w:color="auto" w:sz="4" w:space="0"/>
            </w:tcBorders>
            <w:noWrap w:val="0"/>
            <w:vAlign w:val="center"/>
          </w:tcPr>
          <w:p w14:paraId="499EC8B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规模控制率</w:t>
            </w:r>
          </w:p>
        </w:tc>
        <w:tc>
          <w:tcPr>
            <w:tcW w:w="1193" w:type="dxa"/>
            <w:tcBorders>
              <w:top w:val="nil"/>
              <w:left w:val="nil"/>
              <w:bottom w:val="single" w:color="auto" w:sz="4" w:space="0"/>
              <w:right w:val="single" w:color="auto" w:sz="4" w:space="0"/>
            </w:tcBorders>
            <w:noWrap w:val="0"/>
            <w:vAlign w:val="center"/>
          </w:tcPr>
          <w:p w14:paraId="17ADECDB">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预算投资（万元）</w:t>
            </w:r>
          </w:p>
        </w:tc>
        <w:tc>
          <w:tcPr>
            <w:tcW w:w="1065" w:type="dxa"/>
            <w:tcBorders>
              <w:top w:val="nil"/>
              <w:left w:val="nil"/>
              <w:bottom w:val="single" w:color="auto" w:sz="4" w:space="0"/>
              <w:right w:val="single" w:color="auto" w:sz="4" w:space="0"/>
            </w:tcBorders>
            <w:noWrap w:val="0"/>
            <w:vAlign w:val="center"/>
          </w:tcPr>
          <w:p w14:paraId="131C5A98">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实际投资（万元）</w:t>
            </w:r>
          </w:p>
        </w:tc>
        <w:tc>
          <w:tcPr>
            <w:tcW w:w="1064" w:type="dxa"/>
            <w:tcBorders>
              <w:top w:val="nil"/>
              <w:left w:val="nil"/>
              <w:bottom w:val="single" w:color="auto" w:sz="4" w:space="0"/>
              <w:right w:val="single" w:color="auto" w:sz="4" w:space="0"/>
            </w:tcBorders>
            <w:noWrap w:val="0"/>
            <w:vAlign w:val="center"/>
          </w:tcPr>
          <w:p w14:paraId="0725FD93">
            <w:pPr>
              <w:widowControl/>
              <w:kinsoku/>
              <w:autoSpaceDE/>
              <w:autoSpaceDN/>
              <w:adjustRightInd/>
              <w:snapToGrid/>
              <w:spacing w:line="360" w:lineRule="exact"/>
              <w:jc w:val="center"/>
              <w:textAlignment w:val="auto"/>
              <w:rPr>
                <w:rFonts w:hint="eastAsia" w:ascii="仿宋_GB2312" w:hAnsi="仿宋_GB2312" w:eastAsia="仿宋_GB2312" w:cs="仿宋_GB2312"/>
                <w:bCs/>
                <w:snapToGrid/>
                <w:sz w:val="20"/>
                <w:szCs w:val="20"/>
                <w:highlight w:val="none"/>
                <w:lang w:eastAsia="zh-CN"/>
              </w:rPr>
            </w:pPr>
            <w:r>
              <w:rPr>
                <w:rFonts w:hint="eastAsia" w:ascii="仿宋_GB2312" w:hAnsi="仿宋_GB2312" w:eastAsia="仿宋_GB2312" w:cs="仿宋_GB2312"/>
                <w:bCs/>
                <w:snapToGrid/>
                <w:sz w:val="20"/>
                <w:szCs w:val="20"/>
                <w:highlight w:val="none"/>
                <w:lang w:eastAsia="zh-CN"/>
              </w:rPr>
              <w:t>投资概算控制率</w:t>
            </w:r>
          </w:p>
        </w:tc>
      </w:tr>
      <w:tr w14:paraId="1CAE32D8">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4F667415">
            <w:pPr>
              <w:widowControl/>
              <w:kinsoku/>
              <w:autoSpaceDE/>
              <w:autoSpaceDN/>
              <w:adjustRightInd/>
              <w:snapToGrid/>
              <w:spacing w:line="360" w:lineRule="exact"/>
              <w:jc w:val="left"/>
              <w:textAlignment w:val="auto"/>
              <w:rPr>
                <w:rFonts w:hint="eastAsia" w:ascii="仿宋_GB2312" w:hAnsi="仿宋_GB2312" w:eastAsia="仿宋_GB2312" w:cs="仿宋_GB2312"/>
                <w:snapToGrid/>
                <w:sz w:val="20"/>
                <w:szCs w:val="20"/>
                <w:highlight w:val="none"/>
                <w:lang w:eastAsia="zh-CN"/>
              </w:rPr>
            </w:pPr>
          </w:p>
        </w:tc>
        <w:tc>
          <w:tcPr>
            <w:tcW w:w="1189" w:type="dxa"/>
            <w:tcBorders>
              <w:top w:val="nil"/>
              <w:left w:val="nil"/>
              <w:bottom w:val="single" w:color="auto" w:sz="4" w:space="0"/>
              <w:right w:val="single" w:color="auto" w:sz="4" w:space="0"/>
            </w:tcBorders>
            <w:noWrap w:val="0"/>
            <w:vAlign w:val="center"/>
          </w:tcPr>
          <w:p w14:paraId="52E7F2CD">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341F2476">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959" w:type="dxa"/>
            <w:tcBorders>
              <w:top w:val="nil"/>
              <w:left w:val="nil"/>
              <w:bottom w:val="single" w:color="auto" w:sz="4" w:space="0"/>
              <w:right w:val="single" w:color="auto" w:sz="4" w:space="0"/>
            </w:tcBorders>
            <w:noWrap w:val="0"/>
            <w:vAlign w:val="center"/>
          </w:tcPr>
          <w:p w14:paraId="7354CBB1">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193" w:type="dxa"/>
            <w:tcBorders>
              <w:top w:val="nil"/>
              <w:left w:val="nil"/>
              <w:bottom w:val="single" w:color="auto" w:sz="4" w:space="0"/>
              <w:right w:val="single" w:color="auto" w:sz="4" w:space="0"/>
            </w:tcBorders>
            <w:noWrap w:val="0"/>
            <w:vAlign w:val="center"/>
          </w:tcPr>
          <w:p w14:paraId="69A19C44">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5" w:type="dxa"/>
            <w:tcBorders>
              <w:top w:val="nil"/>
              <w:left w:val="nil"/>
              <w:bottom w:val="single" w:color="auto" w:sz="4" w:space="0"/>
              <w:right w:val="single" w:color="auto" w:sz="4" w:space="0"/>
            </w:tcBorders>
            <w:noWrap w:val="0"/>
            <w:vAlign w:val="center"/>
          </w:tcPr>
          <w:p w14:paraId="5BE3D03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c>
          <w:tcPr>
            <w:tcW w:w="1064" w:type="dxa"/>
            <w:tcBorders>
              <w:top w:val="nil"/>
              <w:left w:val="nil"/>
              <w:bottom w:val="single" w:color="auto" w:sz="4" w:space="0"/>
              <w:right w:val="single" w:color="auto" w:sz="4" w:space="0"/>
            </w:tcBorders>
            <w:noWrap w:val="0"/>
            <w:vAlign w:val="center"/>
          </w:tcPr>
          <w:p w14:paraId="30103C83">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0</w:t>
            </w:r>
          </w:p>
        </w:tc>
      </w:tr>
      <w:tr w14:paraId="218A755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44145F">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F2B002B">
            <w:pPr>
              <w:widowControl/>
              <w:kinsoku/>
              <w:autoSpaceDE/>
              <w:autoSpaceDN/>
              <w:adjustRightInd/>
              <w:snapToGrid/>
              <w:spacing w:line="3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val="en-US" w:eastAsia="zh-CN"/>
              </w:rPr>
              <w:t>严格落实中央八项规定，从严控制“三公”经费。</w:t>
            </w:r>
          </w:p>
        </w:tc>
      </w:tr>
    </w:tbl>
    <w:p w14:paraId="4B9AFC24">
      <w:pPr>
        <w:widowControl/>
        <w:kinsoku/>
        <w:autoSpaceDE/>
        <w:autoSpaceDN/>
        <w:adjustRightInd/>
        <w:snapToGrid/>
        <w:spacing w:afterLines="0" w:line="400" w:lineRule="exact"/>
        <w:jc w:val="left"/>
        <w:textAlignment w:val="auto"/>
        <w:rPr>
          <w:rFonts w:hint="eastAsia" w:ascii="黑体" w:hAnsi="黑体" w:eastAsia="黑体" w:cs="黑体"/>
          <w:snapToGrid/>
          <w:sz w:val="32"/>
          <w:szCs w:val="32"/>
          <w:highlight w:val="none"/>
          <w:lang w:eastAsia="zh-CN"/>
        </w:rPr>
      </w:pPr>
      <w:r>
        <w:rPr>
          <w:rFonts w:hint="eastAsia" w:ascii="Times New Roman" w:hAnsi="Times New Roman" w:eastAsia="仿宋_GB2312" w:cs="Times New Roman"/>
          <w:snapToGrid/>
          <w:sz w:val="16"/>
          <w:szCs w:val="18"/>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填表人：</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填报日期：</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 </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 xml:space="preserve">联系电话： </w:t>
      </w:r>
      <w:r>
        <w:rPr>
          <w:rFonts w:hint="eastAsia" w:ascii="Times New Roman" w:hAnsi="Times New Roman" w:eastAsia="仿宋_GB2312" w:cs="Times New Roman"/>
          <w:snapToGrid/>
          <w:sz w:val="22"/>
          <w:szCs w:val="24"/>
          <w:highlight w:val="none"/>
          <w:lang w:val="en-US" w:eastAsia="zh-CN"/>
        </w:rPr>
        <w:t xml:space="preserve">                      </w:t>
      </w:r>
      <w:r>
        <w:rPr>
          <w:rFonts w:hint="default" w:ascii="Times New Roman" w:hAnsi="Times New Roman" w:eastAsia="仿宋_GB2312" w:cs="Times New Roman"/>
          <w:snapToGrid/>
          <w:sz w:val="22"/>
          <w:szCs w:val="24"/>
          <w:highlight w:val="none"/>
          <w:lang w:eastAsia="zh-CN"/>
        </w:rPr>
        <w:t>单位负责人签字：</w:t>
      </w:r>
      <w:r>
        <w:rPr>
          <w:rFonts w:hint="default" w:ascii="Times New Roman" w:hAnsi="Times New Roman" w:eastAsia="仿宋_GB2312" w:cs="Times New Roman"/>
          <w:snapToGrid/>
          <w:sz w:val="22"/>
          <w:szCs w:val="24"/>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2</w:t>
      </w:r>
    </w:p>
    <w:p w14:paraId="259D1C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年度岳阳市岳阳楼区价格认证鉴定中心</w:t>
      </w:r>
    </w:p>
    <w:p w14:paraId="4CD3F2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整体支出绩效自评表</w:t>
      </w:r>
    </w:p>
    <w:tbl>
      <w:tblPr>
        <w:tblStyle w:val="5"/>
        <w:tblW w:w="10079" w:type="dxa"/>
        <w:jc w:val="center"/>
        <w:tblLayout w:type="autofit"/>
        <w:tblCellMar>
          <w:top w:w="0" w:type="dxa"/>
          <w:left w:w="108" w:type="dxa"/>
          <w:bottom w:w="0" w:type="dxa"/>
          <w:right w:w="108" w:type="dxa"/>
        </w:tblCellMar>
      </w:tblPr>
      <w:tblGrid>
        <w:gridCol w:w="1074"/>
        <w:gridCol w:w="1075"/>
        <w:gridCol w:w="1027"/>
        <w:gridCol w:w="1265"/>
        <w:gridCol w:w="1310"/>
        <w:gridCol w:w="1264"/>
        <w:gridCol w:w="714"/>
        <w:gridCol w:w="916"/>
        <w:gridCol w:w="1434"/>
      </w:tblGrid>
      <w:tr w14:paraId="61A1D94B">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7948CAF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val="en-US" w:eastAsia="zh-CN"/>
              </w:rPr>
              <w:t>单位</w:t>
            </w:r>
            <w:r>
              <w:rPr>
                <w:rFonts w:hint="eastAsia" w:ascii="仿宋_GB2312" w:hAnsi="仿宋_GB2312" w:eastAsia="仿宋_GB2312" w:cs="仿宋_GB2312"/>
                <w:snapToGrid/>
                <w:color w:val="000000"/>
                <w:sz w:val="20"/>
                <w:szCs w:val="20"/>
                <w:highlight w:val="none"/>
                <w:lang w:eastAsia="zh-CN"/>
              </w:rPr>
              <w:t>名称</w:t>
            </w:r>
          </w:p>
        </w:tc>
        <w:tc>
          <w:tcPr>
            <w:tcW w:w="9005" w:type="dxa"/>
            <w:gridSpan w:val="8"/>
            <w:tcBorders>
              <w:top w:val="single" w:color="auto" w:sz="4" w:space="0"/>
              <w:left w:val="nil"/>
              <w:bottom w:val="single" w:color="auto" w:sz="4" w:space="0"/>
              <w:right w:val="single" w:color="auto" w:sz="4" w:space="0"/>
            </w:tcBorders>
            <w:noWrap w:val="0"/>
            <w:vAlign w:val="center"/>
          </w:tcPr>
          <w:p w14:paraId="5FB06C0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岳阳市岳阳楼区价格认证鉴定中心</w:t>
            </w:r>
          </w:p>
        </w:tc>
      </w:tr>
      <w:tr w14:paraId="2A7E26C4">
        <w:tblPrEx>
          <w:tblCellMar>
            <w:top w:w="0" w:type="dxa"/>
            <w:left w:w="108" w:type="dxa"/>
            <w:bottom w:w="0" w:type="dxa"/>
            <w:right w:w="108" w:type="dxa"/>
          </w:tblCellMar>
        </w:tblPrEx>
        <w:trPr>
          <w:trHeight w:val="208" w:hRule="atLeast"/>
          <w:jc w:val="center"/>
        </w:trPr>
        <w:tc>
          <w:tcPr>
            <w:tcW w:w="1074" w:type="dxa"/>
            <w:vMerge w:val="restart"/>
            <w:tcBorders>
              <w:top w:val="nil"/>
              <w:left w:val="single" w:color="auto" w:sz="4" w:space="0"/>
              <w:right w:val="single" w:color="auto" w:sz="4" w:space="0"/>
            </w:tcBorders>
            <w:noWrap w:val="0"/>
            <w:vAlign w:val="center"/>
          </w:tcPr>
          <w:p w14:paraId="350B619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年度预</w:t>
            </w:r>
          </w:p>
          <w:p w14:paraId="33D8A45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算申请</w:t>
            </w:r>
          </w:p>
          <w:p w14:paraId="6A42C37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02" w:type="dxa"/>
            <w:gridSpan w:val="2"/>
            <w:tcBorders>
              <w:top w:val="nil"/>
              <w:left w:val="nil"/>
              <w:bottom w:val="single" w:color="auto" w:sz="4" w:space="0"/>
              <w:right w:val="single" w:color="auto" w:sz="4" w:space="0"/>
            </w:tcBorders>
            <w:noWrap w:val="0"/>
            <w:vAlign w:val="center"/>
          </w:tcPr>
          <w:p w14:paraId="54312C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p>
        </w:tc>
        <w:tc>
          <w:tcPr>
            <w:tcW w:w="1265" w:type="dxa"/>
            <w:tcBorders>
              <w:top w:val="nil"/>
              <w:left w:val="nil"/>
              <w:bottom w:val="single" w:color="auto" w:sz="4" w:space="0"/>
              <w:right w:val="single" w:color="auto" w:sz="4" w:space="0"/>
            </w:tcBorders>
            <w:noWrap w:val="0"/>
            <w:vAlign w:val="center"/>
          </w:tcPr>
          <w:p w14:paraId="3BBF2C3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年初预算数</w:t>
            </w:r>
          </w:p>
        </w:tc>
        <w:tc>
          <w:tcPr>
            <w:tcW w:w="1310" w:type="dxa"/>
            <w:tcBorders>
              <w:top w:val="nil"/>
              <w:left w:val="nil"/>
              <w:bottom w:val="single" w:color="auto" w:sz="4" w:space="0"/>
              <w:right w:val="single" w:color="auto" w:sz="4" w:space="0"/>
            </w:tcBorders>
            <w:noWrap w:val="0"/>
            <w:vAlign w:val="center"/>
          </w:tcPr>
          <w:p w14:paraId="4D25B10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全年预算数</w:t>
            </w:r>
          </w:p>
        </w:tc>
        <w:tc>
          <w:tcPr>
            <w:tcW w:w="1264" w:type="dxa"/>
            <w:tcBorders>
              <w:top w:val="nil"/>
              <w:left w:val="nil"/>
              <w:bottom w:val="single" w:color="auto" w:sz="4" w:space="0"/>
              <w:right w:val="single" w:color="auto" w:sz="4" w:space="0"/>
            </w:tcBorders>
            <w:noWrap w:val="0"/>
            <w:vAlign w:val="center"/>
          </w:tcPr>
          <w:p w14:paraId="64DD3FA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全年执行数</w:t>
            </w:r>
          </w:p>
        </w:tc>
        <w:tc>
          <w:tcPr>
            <w:tcW w:w="714" w:type="dxa"/>
            <w:tcBorders>
              <w:top w:val="nil"/>
              <w:left w:val="nil"/>
              <w:bottom w:val="single" w:color="auto" w:sz="4" w:space="0"/>
              <w:right w:val="single" w:color="auto" w:sz="4" w:space="0"/>
            </w:tcBorders>
            <w:noWrap w:val="0"/>
            <w:vAlign w:val="center"/>
          </w:tcPr>
          <w:p w14:paraId="5543FFFA">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916" w:type="dxa"/>
            <w:tcBorders>
              <w:top w:val="nil"/>
              <w:left w:val="nil"/>
              <w:bottom w:val="single" w:color="auto" w:sz="4" w:space="0"/>
              <w:right w:val="single" w:color="auto" w:sz="4" w:space="0"/>
            </w:tcBorders>
            <w:noWrap w:val="0"/>
            <w:vAlign w:val="center"/>
          </w:tcPr>
          <w:p w14:paraId="21F7295C">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34" w:type="dxa"/>
            <w:tcBorders>
              <w:top w:val="nil"/>
              <w:left w:val="nil"/>
              <w:bottom w:val="single" w:color="auto" w:sz="4" w:space="0"/>
              <w:right w:val="single" w:color="auto" w:sz="4" w:space="0"/>
            </w:tcBorders>
            <w:noWrap w:val="0"/>
            <w:vAlign w:val="center"/>
          </w:tcPr>
          <w:p w14:paraId="41A6A48B">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B307BFA">
        <w:tblPrEx>
          <w:tblCellMar>
            <w:top w:w="0" w:type="dxa"/>
            <w:left w:w="108" w:type="dxa"/>
            <w:bottom w:w="0" w:type="dxa"/>
            <w:right w:w="108" w:type="dxa"/>
          </w:tblCellMar>
        </w:tblPrEx>
        <w:trPr>
          <w:jc w:val="center"/>
        </w:trPr>
        <w:tc>
          <w:tcPr>
            <w:tcW w:w="1074" w:type="dxa"/>
            <w:vMerge w:val="continue"/>
            <w:tcBorders>
              <w:top w:val="nil"/>
              <w:left w:val="single" w:color="auto" w:sz="4" w:space="0"/>
              <w:right w:val="single" w:color="auto" w:sz="4" w:space="0"/>
            </w:tcBorders>
            <w:noWrap w:val="0"/>
            <w:vAlign w:val="center"/>
          </w:tcPr>
          <w:p w14:paraId="6133EDD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2102" w:type="dxa"/>
            <w:gridSpan w:val="2"/>
            <w:tcBorders>
              <w:top w:val="nil"/>
              <w:left w:val="nil"/>
              <w:bottom w:val="single" w:color="auto" w:sz="4" w:space="0"/>
              <w:right w:val="single" w:color="auto" w:sz="4" w:space="0"/>
            </w:tcBorders>
            <w:noWrap w:val="0"/>
            <w:vAlign w:val="center"/>
          </w:tcPr>
          <w:p w14:paraId="2E59A136">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w:t>
            </w:r>
          </w:p>
        </w:tc>
        <w:tc>
          <w:tcPr>
            <w:tcW w:w="1265" w:type="dxa"/>
            <w:tcBorders>
              <w:top w:val="nil"/>
              <w:left w:val="nil"/>
              <w:bottom w:val="single" w:color="auto" w:sz="4" w:space="0"/>
              <w:right w:val="single" w:color="auto" w:sz="4" w:space="0"/>
            </w:tcBorders>
            <w:noWrap w:val="0"/>
            <w:vAlign w:val="center"/>
          </w:tcPr>
          <w:p w14:paraId="13924838">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119.83</w:t>
            </w:r>
          </w:p>
        </w:tc>
        <w:tc>
          <w:tcPr>
            <w:tcW w:w="1310" w:type="dxa"/>
            <w:tcBorders>
              <w:top w:val="nil"/>
              <w:left w:val="nil"/>
              <w:bottom w:val="single" w:color="auto" w:sz="4" w:space="0"/>
              <w:right w:val="single" w:color="auto" w:sz="4" w:space="0"/>
            </w:tcBorders>
            <w:noWrap w:val="0"/>
            <w:vAlign w:val="center"/>
          </w:tcPr>
          <w:p w14:paraId="3F6E38CF">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126.19</w:t>
            </w:r>
          </w:p>
        </w:tc>
        <w:tc>
          <w:tcPr>
            <w:tcW w:w="1264" w:type="dxa"/>
            <w:tcBorders>
              <w:top w:val="nil"/>
              <w:left w:val="nil"/>
              <w:bottom w:val="single" w:color="auto" w:sz="4" w:space="0"/>
              <w:right w:val="single" w:color="auto" w:sz="4" w:space="0"/>
            </w:tcBorders>
            <w:noWrap w:val="0"/>
            <w:vAlign w:val="center"/>
          </w:tcPr>
          <w:p w14:paraId="021BEFDC">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default" w:ascii="仿宋_GB2312" w:hAnsi="仿宋_GB2312" w:eastAsia="仿宋_GB2312" w:cs="仿宋_GB2312"/>
                <w:snapToGrid/>
                <w:sz w:val="20"/>
                <w:szCs w:val="20"/>
                <w:highlight w:val="none"/>
                <w:lang w:val="en-US" w:eastAsia="zh-CN"/>
              </w:rPr>
              <w:t>115.2</w:t>
            </w:r>
            <w:r>
              <w:rPr>
                <w:rFonts w:hint="eastAsia" w:ascii="仿宋_GB2312" w:hAnsi="仿宋_GB2312" w:eastAsia="仿宋_GB2312" w:cs="仿宋_GB2312"/>
                <w:snapToGrid/>
                <w:sz w:val="20"/>
                <w:szCs w:val="20"/>
                <w:highlight w:val="none"/>
                <w:lang w:val="en-US" w:eastAsia="zh-CN"/>
              </w:rPr>
              <w:t>0</w:t>
            </w:r>
          </w:p>
        </w:tc>
        <w:tc>
          <w:tcPr>
            <w:tcW w:w="714" w:type="dxa"/>
            <w:tcBorders>
              <w:top w:val="nil"/>
              <w:left w:val="nil"/>
              <w:bottom w:val="single" w:color="auto" w:sz="4" w:space="0"/>
              <w:right w:val="single" w:color="auto" w:sz="4" w:space="0"/>
            </w:tcBorders>
            <w:noWrap w:val="0"/>
            <w:vAlign w:val="center"/>
          </w:tcPr>
          <w:p w14:paraId="70361FB9">
            <w:pPr>
              <w:widowControl w:val="0"/>
              <w:kinsoku/>
              <w:autoSpaceDE/>
              <w:autoSpaceDN/>
              <w:adjustRightInd/>
              <w:snapToGrid/>
              <w:spacing w:line="24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10</w:t>
            </w:r>
          </w:p>
        </w:tc>
        <w:tc>
          <w:tcPr>
            <w:tcW w:w="916" w:type="dxa"/>
            <w:tcBorders>
              <w:top w:val="nil"/>
              <w:left w:val="nil"/>
              <w:bottom w:val="single" w:color="auto" w:sz="4" w:space="0"/>
              <w:right w:val="single" w:color="auto" w:sz="4" w:space="0"/>
            </w:tcBorders>
            <w:noWrap w:val="0"/>
            <w:vAlign w:val="center"/>
          </w:tcPr>
          <w:p w14:paraId="1BF5BB32">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91.29%</w:t>
            </w:r>
          </w:p>
        </w:tc>
        <w:tc>
          <w:tcPr>
            <w:tcW w:w="1434" w:type="dxa"/>
            <w:tcBorders>
              <w:top w:val="nil"/>
              <w:left w:val="nil"/>
              <w:bottom w:val="single" w:color="auto" w:sz="4" w:space="0"/>
              <w:right w:val="single" w:color="auto" w:sz="4" w:space="0"/>
            </w:tcBorders>
            <w:noWrap w:val="0"/>
            <w:vAlign w:val="center"/>
          </w:tcPr>
          <w:p w14:paraId="3EDC9DCE">
            <w:pPr>
              <w:widowControl w:val="0"/>
              <w:kinsoku/>
              <w:autoSpaceDE/>
              <w:autoSpaceDN/>
              <w:adjustRightInd/>
              <w:snapToGrid/>
              <w:spacing w:line="240" w:lineRule="exact"/>
              <w:jc w:val="center"/>
              <w:textAlignment w:val="auto"/>
              <w:rPr>
                <w:rFonts w:hint="default" w:ascii="仿宋_GB2312" w:hAnsi="仿宋_GB2312" w:eastAsia="仿宋_GB2312" w:cs="仿宋_GB2312"/>
                <w:snapToGrid/>
                <w:sz w:val="20"/>
                <w:szCs w:val="20"/>
                <w:highlight w:val="none"/>
                <w:lang w:val="en-US" w:eastAsia="zh-CN"/>
              </w:rPr>
            </w:pPr>
            <w:r>
              <w:rPr>
                <w:rFonts w:hint="eastAsia" w:ascii="仿宋_GB2312" w:hAnsi="仿宋_GB2312" w:eastAsia="仿宋_GB2312" w:cs="仿宋_GB2312"/>
                <w:snapToGrid/>
                <w:sz w:val="20"/>
                <w:szCs w:val="20"/>
                <w:highlight w:val="none"/>
                <w:lang w:val="en-US" w:eastAsia="zh-CN"/>
              </w:rPr>
              <w:t>9.13</w:t>
            </w:r>
          </w:p>
        </w:tc>
      </w:tr>
      <w:tr w14:paraId="670FFD35">
        <w:tblPrEx>
          <w:tblCellMar>
            <w:top w:w="0" w:type="dxa"/>
            <w:left w:w="108" w:type="dxa"/>
            <w:bottom w:w="0" w:type="dxa"/>
            <w:right w:w="108" w:type="dxa"/>
          </w:tblCellMar>
        </w:tblPrEx>
        <w:trPr>
          <w:trHeight w:val="231" w:hRule="atLeast"/>
          <w:jc w:val="center"/>
        </w:trPr>
        <w:tc>
          <w:tcPr>
            <w:tcW w:w="1074" w:type="dxa"/>
            <w:vMerge w:val="continue"/>
            <w:tcBorders>
              <w:left w:val="single" w:color="auto" w:sz="4" w:space="0"/>
              <w:right w:val="single" w:color="auto" w:sz="4" w:space="0"/>
            </w:tcBorders>
            <w:noWrap w:val="0"/>
            <w:vAlign w:val="center"/>
          </w:tcPr>
          <w:p w14:paraId="16B201FB">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2116EC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按收入性质分：</w:t>
            </w:r>
          </w:p>
        </w:tc>
        <w:tc>
          <w:tcPr>
            <w:tcW w:w="4328" w:type="dxa"/>
            <w:gridSpan w:val="4"/>
            <w:tcBorders>
              <w:top w:val="nil"/>
              <w:left w:val="nil"/>
              <w:bottom w:val="single" w:color="auto" w:sz="4" w:space="0"/>
              <w:right w:val="single" w:color="auto" w:sz="4" w:space="0"/>
            </w:tcBorders>
            <w:noWrap w:val="0"/>
            <w:vAlign w:val="center"/>
          </w:tcPr>
          <w:p w14:paraId="721A663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按支出性质分：</w:t>
            </w:r>
          </w:p>
        </w:tc>
      </w:tr>
      <w:tr w14:paraId="0CC6C976">
        <w:tblPrEx>
          <w:tblCellMar>
            <w:top w:w="0" w:type="dxa"/>
            <w:left w:w="108" w:type="dxa"/>
            <w:bottom w:w="0" w:type="dxa"/>
            <w:right w:w="108" w:type="dxa"/>
          </w:tblCellMar>
        </w:tblPrEx>
        <w:trPr>
          <w:trHeight w:val="90" w:hRule="atLeast"/>
          <w:jc w:val="center"/>
        </w:trPr>
        <w:tc>
          <w:tcPr>
            <w:tcW w:w="1074" w:type="dxa"/>
            <w:vMerge w:val="continue"/>
            <w:tcBorders>
              <w:left w:val="single" w:color="auto" w:sz="4" w:space="0"/>
              <w:right w:val="single" w:color="auto" w:sz="4" w:space="0"/>
            </w:tcBorders>
            <w:noWrap w:val="0"/>
            <w:vAlign w:val="center"/>
          </w:tcPr>
          <w:p w14:paraId="0560824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03E56651">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 xml:space="preserve">  其中：  一般公共预算：</w:t>
            </w:r>
            <w:r>
              <w:rPr>
                <w:rFonts w:hint="eastAsia" w:ascii="仿宋_GB2312" w:hAnsi="仿宋_GB2312" w:eastAsia="仿宋_GB2312" w:cs="仿宋_GB2312"/>
                <w:snapToGrid/>
                <w:color w:val="auto"/>
                <w:sz w:val="20"/>
                <w:szCs w:val="20"/>
                <w:highlight w:val="none"/>
                <w:lang w:val="en-US" w:eastAsia="zh-CN"/>
              </w:rPr>
              <w:t>115.20</w:t>
            </w:r>
          </w:p>
        </w:tc>
        <w:tc>
          <w:tcPr>
            <w:tcW w:w="4328" w:type="dxa"/>
            <w:gridSpan w:val="4"/>
            <w:tcBorders>
              <w:top w:val="nil"/>
              <w:left w:val="nil"/>
              <w:bottom w:val="single" w:color="auto" w:sz="4" w:space="0"/>
              <w:right w:val="single" w:color="auto" w:sz="4" w:space="0"/>
            </w:tcBorders>
            <w:noWrap w:val="0"/>
            <w:vAlign w:val="center"/>
          </w:tcPr>
          <w:p w14:paraId="055BA7E8">
            <w:pPr>
              <w:widowControl/>
              <w:kinsoku/>
              <w:autoSpaceDE/>
              <w:autoSpaceDN/>
              <w:adjustRightInd/>
              <w:snapToGrid/>
              <w:spacing w:line="240" w:lineRule="exact"/>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其中：基本支出：</w:t>
            </w:r>
            <w:r>
              <w:rPr>
                <w:rFonts w:hint="eastAsia" w:ascii="仿宋_GB2312" w:hAnsi="仿宋_GB2312" w:eastAsia="仿宋_GB2312" w:cs="仿宋_GB2312"/>
                <w:snapToGrid/>
                <w:color w:val="000000"/>
                <w:sz w:val="20"/>
                <w:szCs w:val="20"/>
                <w:highlight w:val="none"/>
                <w:lang w:val="en-US" w:eastAsia="zh-CN"/>
              </w:rPr>
              <w:t>102.87</w:t>
            </w:r>
          </w:p>
        </w:tc>
      </w:tr>
      <w:tr w14:paraId="4470ACF4">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F35F07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396E36AE">
            <w:pPr>
              <w:widowControl/>
              <w:kinsoku/>
              <w:autoSpaceDE/>
              <w:autoSpaceDN/>
              <w:adjustRightInd/>
              <w:snapToGrid/>
              <w:spacing w:line="240" w:lineRule="exact"/>
              <w:ind w:firstLine="800" w:firstLineChars="400"/>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政府性基金拨款：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5112848">
            <w:pPr>
              <w:widowControl/>
              <w:kinsoku/>
              <w:autoSpaceDE/>
              <w:autoSpaceDN/>
              <w:adjustRightInd/>
              <w:snapToGrid/>
              <w:spacing w:line="240" w:lineRule="exact"/>
              <w:ind w:firstLine="600" w:firstLineChars="300"/>
              <w:jc w:val="left"/>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eastAsia="zh-CN"/>
              </w:rPr>
              <w:t>项目支出：</w:t>
            </w:r>
            <w:r>
              <w:rPr>
                <w:rFonts w:hint="eastAsia" w:ascii="仿宋_GB2312" w:hAnsi="仿宋_GB2312" w:eastAsia="仿宋_GB2312" w:cs="仿宋_GB2312"/>
                <w:snapToGrid/>
                <w:color w:val="000000"/>
                <w:sz w:val="20"/>
                <w:szCs w:val="20"/>
                <w:highlight w:val="none"/>
                <w:lang w:val="en-US" w:eastAsia="zh-CN"/>
              </w:rPr>
              <w:t>12.33</w:t>
            </w:r>
          </w:p>
        </w:tc>
      </w:tr>
      <w:tr w14:paraId="5A1C05FE">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0B6A32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116ACF0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纳入专户管理的非税收入拨款：</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1393FF28">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0BD48C79">
        <w:tblPrEx>
          <w:tblCellMar>
            <w:top w:w="0" w:type="dxa"/>
            <w:left w:w="108" w:type="dxa"/>
            <w:bottom w:w="0" w:type="dxa"/>
            <w:right w:w="108" w:type="dxa"/>
          </w:tblCellMar>
        </w:tblPrEx>
        <w:trPr>
          <w:jc w:val="center"/>
        </w:trPr>
        <w:tc>
          <w:tcPr>
            <w:tcW w:w="1074" w:type="dxa"/>
            <w:vMerge w:val="continue"/>
            <w:tcBorders>
              <w:left w:val="single" w:color="auto" w:sz="4" w:space="0"/>
              <w:bottom w:val="single" w:color="000000" w:sz="4" w:space="0"/>
              <w:right w:val="single" w:color="auto" w:sz="4" w:space="0"/>
            </w:tcBorders>
            <w:noWrap w:val="0"/>
            <w:vAlign w:val="center"/>
          </w:tcPr>
          <w:p w14:paraId="3DC591D9">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nil"/>
              <w:left w:val="nil"/>
              <w:bottom w:val="single" w:color="auto" w:sz="4" w:space="0"/>
              <w:right w:val="single" w:color="auto" w:sz="4" w:space="0"/>
            </w:tcBorders>
            <w:noWrap w:val="0"/>
            <w:vAlign w:val="center"/>
          </w:tcPr>
          <w:p w14:paraId="53F753B0">
            <w:pPr>
              <w:widowControl/>
              <w:kinsoku/>
              <w:autoSpaceDE/>
              <w:autoSpaceDN/>
              <w:adjustRightInd/>
              <w:snapToGrid/>
              <w:spacing w:line="240" w:lineRule="exact"/>
              <w:ind w:firstLine="1400" w:firstLineChars="700"/>
              <w:jc w:val="left"/>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其他资金：</w:t>
            </w:r>
            <w:r>
              <w:rPr>
                <w:rFonts w:hint="eastAsia" w:ascii="仿宋_GB2312" w:hAnsi="仿宋_GB2312" w:eastAsia="仿宋_GB2312" w:cs="仿宋_GB2312"/>
                <w:snapToGrid/>
                <w:color w:val="auto"/>
                <w:sz w:val="20"/>
                <w:szCs w:val="20"/>
                <w:highlight w:val="none"/>
                <w:lang w:val="en-US" w:eastAsia="zh-CN"/>
              </w:rPr>
              <w:t>0</w:t>
            </w:r>
          </w:p>
        </w:tc>
        <w:tc>
          <w:tcPr>
            <w:tcW w:w="4328" w:type="dxa"/>
            <w:gridSpan w:val="4"/>
            <w:tcBorders>
              <w:top w:val="nil"/>
              <w:left w:val="nil"/>
              <w:bottom w:val="single" w:color="auto" w:sz="4" w:space="0"/>
              <w:right w:val="single" w:color="auto" w:sz="4" w:space="0"/>
            </w:tcBorders>
            <w:noWrap w:val="0"/>
            <w:vAlign w:val="center"/>
          </w:tcPr>
          <w:p w14:paraId="626C5E13">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42C5464B">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017431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677" w:type="dxa"/>
            <w:gridSpan w:val="4"/>
            <w:tcBorders>
              <w:top w:val="single" w:color="auto" w:sz="4" w:space="0"/>
              <w:left w:val="nil"/>
              <w:bottom w:val="single" w:color="auto" w:sz="4" w:space="0"/>
              <w:right w:val="single" w:color="000000" w:sz="4" w:space="0"/>
            </w:tcBorders>
            <w:noWrap w:val="0"/>
            <w:vAlign w:val="center"/>
          </w:tcPr>
          <w:p w14:paraId="7103047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28" w:type="dxa"/>
            <w:gridSpan w:val="4"/>
            <w:tcBorders>
              <w:top w:val="single" w:color="auto" w:sz="4" w:space="0"/>
              <w:left w:val="nil"/>
              <w:bottom w:val="single" w:color="auto" w:sz="4" w:space="0"/>
              <w:right w:val="single" w:color="auto" w:sz="4" w:space="0"/>
            </w:tcBorders>
            <w:noWrap w:val="0"/>
            <w:vAlign w:val="center"/>
          </w:tcPr>
          <w:p w14:paraId="2F8CB0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7E701DF8">
        <w:tblPrEx>
          <w:tblCellMar>
            <w:top w:w="0" w:type="dxa"/>
            <w:left w:w="108" w:type="dxa"/>
            <w:bottom w:w="0" w:type="dxa"/>
            <w:right w:w="108" w:type="dxa"/>
          </w:tblCellMar>
        </w:tblPrEx>
        <w:trPr>
          <w:trHeight w:val="692" w:hRule="atLeast"/>
          <w:jc w:val="center"/>
        </w:trPr>
        <w:tc>
          <w:tcPr>
            <w:tcW w:w="1074" w:type="dxa"/>
            <w:vMerge w:val="continue"/>
            <w:tcBorders>
              <w:top w:val="nil"/>
              <w:left w:val="single" w:color="auto" w:sz="4" w:space="0"/>
              <w:bottom w:val="single" w:color="auto" w:sz="4" w:space="0"/>
              <w:right w:val="single" w:color="auto" w:sz="4" w:space="0"/>
            </w:tcBorders>
            <w:noWrap w:val="0"/>
            <w:vAlign w:val="center"/>
          </w:tcPr>
          <w:p w14:paraId="093F1BD2">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677" w:type="dxa"/>
            <w:gridSpan w:val="4"/>
            <w:tcBorders>
              <w:top w:val="single" w:color="auto" w:sz="4" w:space="0"/>
              <w:left w:val="nil"/>
              <w:bottom w:val="single" w:color="auto" w:sz="4" w:space="0"/>
              <w:right w:val="single" w:color="000000" w:sz="4" w:space="0"/>
            </w:tcBorders>
            <w:noWrap w:val="0"/>
            <w:vAlign w:val="center"/>
          </w:tcPr>
          <w:p w14:paraId="2A560604">
            <w:pPr>
              <w:widowControl/>
              <w:numPr>
                <w:ilvl w:val="0"/>
                <w:numId w:val="0"/>
              </w:numPr>
              <w:kinsoku/>
              <w:autoSpaceDE/>
              <w:autoSpaceDN/>
              <w:adjustRightInd/>
              <w:snapToGrid/>
              <w:spacing w:line="240" w:lineRule="exact"/>
              <w:ind w:leftChars="0"/>
              <w:jc w:val="left"/>
              <w:textAlignment w:val="auto"/>
              <w:rPr>
                <w:rFonts w:hint="eastAsia" w:ascii="仿宋_GB2312" w:hAnsi="仿宋_GB2312" w:eastAsia="仿宋_GB2312" w:cs="仿宋_GB2312"/>
                <w:snapToGrid/>
                <w:color w:val="auto"/>
                <w:sz w:val="20"/>
                <w:szCs w:val="20"/>
                <w:highlight w:val="none"/>
                <w:lang w:eastAsia="zh-CN"/>
              </w:rPr>
            </w:pPr>
            <w:r>
              <w:rPr>
                <w:rFonts w:hint="eastAsia" w:ascii="仿宋_GB2312" w:hAnsi="仿宋_GB2312" w:eastAsia="仿宋_GB2312" w:cs="仿宋_GB2312"/>
                <w:snapToGrid/>
                <w:color w:val="auto"/>
                <w:sz w:val="20"/>
                <w:szCs w:val="20"/>
                <w:highlight w:val="none"/>
                <w:lang w:eastAsia="zh-CN"/>
              </w:rPr>
              <w:t>做好涉案、价格认定工作，岳阳市公安局涉案物价格认定案件50件、岳阳楼区公安局500件、经开区公安分局200件。</w:t>
            </w:r>
          </w:p>
        </w:tc>
        <w:tc>
          <w:tcPr>
            <w:tcW w:w="4328" w:type="dxa"/>
            <w:gridSpan w:val="4"/>
            <w:tcBorders>
              <w:top w:val="single" w:color="auto" w:sz="4" w:space="0"/>
              <w:left w:val="nil"/>
              <w:bottom w:val="single" w:color="auto" w:sz="4" w:space="0"/>
              <w:right w:val="single" w:color="auto" w:sz="4" w:space="0"/>
            </w:tcBorders>
            <w:noWrap w:val="0"/>
            <w:vAlign w:val="center"/>
          </w:tcPr>
          <w:p w14:paraId="51EDEC84">
            <w:pPr>
              <w:widowControl/>
              <w:numPr>
                <w:ilvl w:val="0"/>
                <w:numId w:val="0"/>
              </w:numPr>
              <w:kinsoku/>
              <w:autoSpaceDE/>
              <w:autoSpaceDN/>
              <w:adjustRightInd/>
              <w:snapToGrid/>
              <w:spacing w:line="24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auto"/>
                <w:sz w:val="20"/>
                <w:szCs w:val="20"/>
                <w:highlight w:val="none"/>
                <w:lang w:eastAsia="zh-CN"/>
              </w:rPr>
              <w:t>已完成</w:t>
            </w:r>
          </w:p>
        </w:tc>
      </w:tr>
      <w:tr w14:paraId="24A8914A">
        <w:tblPrEx>
          <w:tblCellMar>
            <w:top w:w="0" w:type="dxa"/>
            <w:left w:w="108" w:type="dxa"/>
            <w:bottom w:w="0" w:type="dxa"/>
            <w:right w:w="108" w:type="dxa"/>
          </w:tblCellMar>
        </w:tblPrEx>
        <w:trPr>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2B8C16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251BF1E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74F3F6B3">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10521AF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p w14:paraId="4F899EB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4625F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7AECD0B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00F5F94">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CED617D">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年度指标值</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1BAF34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实际完成值</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BFC0FB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9482D9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CCA02EF">
            <w:pPr>
              <w:widowControl/>
              <w:kinsoku/>
              <w:autoSpaceDE/>
              <w:autoSpaceDN/>
              <w:adjustRightInd/>
              <w:snapToGrid/>
              <w:spacing w:line="24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47BEBC8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3A59C9F">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04FBF1B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4A4AAA6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46A94CF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(50分)</w:t>
            </w:r>
          </w:p>
        </w:tc>
        <w:tc>
          <w:tcPr>
            <w:tcW w:w="1027" w:type="dxa"/>
            <w:tcBorders>
              <w:top w:val="single" w:color="auto" w:sz="4" w:space="0"/>
              <w:left w:val="single" w:color="auto" w:sz="4" w:space="0"/>
              <w:right w:val="single" w:color="auto" w:sz="4" w:space="0"/>
            </w:tcBorders>
            <w:noWrap w:val="0"/>
            <w:vAlign w:val="center"/>
          </w:tcPr>
          <w:p w14:paraId="3E047339">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3F21A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价格认定工作750件</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2F9E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≥750件</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6D2A932">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已完成</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45C7D8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605FE94">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7880B2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09A6D963">
        <w:tblPrEx>
          <w:tblCellMar>
            <w:top w:w="0" w:type="dxa"/>
            <w:left w:w="108" w:type="dxa"/>
            <w:bottom w:w="0" w:type="dxa"/>
            <w:right w:w="108" w:type="dxa"/>
          </w:tblCellMar>
        </w:tblPrEx>
        <w:trPr>
          <w:trHeight w:val="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6B41DF8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left w:val="single" w:color="auto" w:sz="4" w:space="0"/>
              <w:right w:val="single" w:color="auto" w:sz="4" w:space="0"/>
            </w:tcBorders>
            <w:noWrap w:val="0"/>
            <w:vAlign w:val="center"/>
          </w:tcPr>
          <w:p w14:paraId="277D763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164A141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27F3221">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价格认证案件合规率</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375DE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42C497D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9D0F2D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7DB2991">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1F726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17233B13">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9D64FE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5437F43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right w:val="single" w:color="auto" w:sz="4" w:space="0"/>
            </w:tcBorders>
            <w:noWrap w:val="0"/>
            <w:vAlign w:val="center"/>
          </w:tcPr>
          <w:p w14:paraId="51478F8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8E592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上半年价格认定业务400件，下半年价格认定业务350件</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66B7F3E">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≥100%</w:t>
            </w:r>
          </w:p>
        </w:tc>
        <w:tc>
          <w:tcPr>
            <w:tcW w:w="12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B036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已完成</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21222508">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DFFB995">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D770B27">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684FAAB1">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E606C2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10E40FEA">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restart"/>
            <w:tcBorders>
              <w:top w:val="single" w:color="auto" w:sz="4" w:space="0"/>
              <w:left w:val="single" w:color="auto" w:sz="4" w:space="0"/>
              <w:right w:val="single" w:color="auto" w:sz="4" w:space="0"/>
            </w:tcBorders>
            <w:noWrap w:val="0"/>
            <w:vAlign w:val="center"/>
          </w:tcPr>
          <w:p w14:paraId="0950503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C98113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财政资金支出</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910DFF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≤130万元</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6ACC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115.2万元</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B24DD8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5145974">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2488D3D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4D68BC6">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044AA95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03679618">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vMerge w:val="continue"/>
            <w:tcBorders>
              <w:left w:val="single" w:color="auto" w:sz="4" w:space="0"/>
              <w:bottom w:val="single" w:color="auto" w:sz="4" w:space="0"/>
              <w:right w:val="single" w:color="auto" w:sz="4" w:space="0"/>
            </w:tcBorders>
            <w:noWrap w:val="0"/>
            <w:vAlign w:val="center"/>
          </w:tcPr>
          <w:p w14:paraId="4D1CF75C">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EBBDDC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社会成本指标</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B5C2AAB">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提升政府形象，促进了社会发展和公共福利</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A6591C">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提升政府形象，促进了社会发展和公共福利</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A337CF6">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54765F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9BD1728">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0B838FBE">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B516983">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restart"/>
            <w:tcBorders>
              <w:top w:val="single" w:color="auto" w:sz="4" w:space="0"/>
              <w:left w:val="single" w:color="auto" w:sz="4" w:space="0"/>
              <w:bottom w:val="single" w:color="auto" w:sz="4" w:space="0"/>
              <w:right w:val="single" w:color="auto" w:sz="4" w:space="0"/>
            </w:tcBorders>
            <w:noWrap w:val="0"/>
            <w:vAlign w:val="center"/>
          </w:tcPr>
          <w:p w14:paraId="267857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440435E4">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0C334CAC">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（30分）</w:t>
            </w:r>
          </w:p>
          <w:p w14:paraId="207E013E">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DBCB12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0CF3E76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3B3919D">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创造好的营商环境</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004A3CE">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推动我区建设进度，为经济发展增添后劲</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087249B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已完成</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49297D8">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297B320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D36E96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F487EBA">
        <w:tblPrEx>
          <w:tblCellMar>
            <w:top w:w="0" w:type="dxa"/>
            <w:left w:w="108" w:type="dxa"/>
            <w:bottom w:w="0" w:type="dxa"/>
            <w:right w:w="108" w:type="dxa"/>
          </w:tblCellMar>
        </w:tblPrEx>
        <w:trPr>
          <w:trHeight w:val="442"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784F84D1">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40171D39">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52EDB9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457CB83A">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454C513">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提升服务岳阳市公安局、岳阳楼分局、经开区分局价格认定工作水平</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B06C0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应保尽保</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738CA52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已提升</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C08F31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C698412">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7D6476C5">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AC5D407">
        <w:tblPrEx>
          <w:tblCellMar>
            <w:top w:w="0" w:type="dxa"/>
            <w:left w:w="108" w:type="dxa"/>
            <w:bottom w:w="0" w:type="dxa"/>
            <w:right w:w="108" w:type="dxa"/>
          </w:tblCellMar>
        </w:tblPrEx>
        <w:trPr>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88FBCD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64DB7327">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0A1FBE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0B8C1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E5B1B0C">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不适用</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173F42F">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264" w:type="dxa"/>
            <w:tcBorders>
              <w:top w:val="single" w:color="auto" w:sz="4" w:space="0"/>
              <w:left w:val="single" w:color="auto" w:sz="4" w:space="0"/>
              <w:bottom w:val="single" w:color="auto" w:sz="4" w:space="0"/>
              <w:right w:val="single" w:color="auto" w:sz="4" w:space="0"/>
            </w:tcBorders>
            <w:noWrap w:val="0"/>
            <w:vAlign w:val="center"/>
          </w:tcPr>
          <w:p w14:paraId="134EFB7F">
            <w:pPr>
              <w:widowControl/>
              <w:kinsoku/>
              <w:autoSpaceDE/>
              <w:autoSpaceDN/>
              <w:adjustRightInd/>
              <w:snapToGrid/>
              <w:spacing w:line="240" w:lineRule="exact"/>
              <w:jc w:val="center"/>
              <w:textAlignment w:val="auto"/>
              <w:rPr>
                <w:rFonts w:hint="default" w:ascii="仿宋_GB2312" w:hAnsi="宋体" w:eastAsia="仿宋_GB2312" w:cs="仿宋_GB2312"/>
                <w:i w:val="0"/>
                <w:iCs w:val="0"/>
                <w:snapToGrid/>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noWrap w:val="0"/>
            <w:vAlign w:val="center"/>
          </w:tcPr>
          <w:p w14:paraId="564EF0AC">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4AC50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182762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A3E99AA">
        <w:tblPrEx>
          <w:tblCellMar>
            <w:top w:w="0" w:type="dxa"/>
            <w:left w:w="108" w:type="dxa"/>
            <w:bottom w:w="0" w:type="dxa"/>
            <w:right w:w="108" w:type="dxa"/>
          </w:tblCellMar>
        </w:tblPrEx>
        <w:trPr>
          <w:trHeight w:val="29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9CA1491">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14:paraId="7DC886EA">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245577AB">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DF0EAE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保证单位正常运转</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84831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正常运转</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3DC98B">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正常运转</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9DFDF73">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6DEBAD7">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9686862">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17800CB2">
        <w:tblPrEx>
          <w:tblCellMar>
            <w:top w:w="0" w:type="dxa"/>
            <w:left w:w="108" w:type="dxa"/>
            <w:bottom w:w="0" w:type="dxa"/>
            <w:right w:w="108" w:type="dxa"/>
          </w:tblCellMar>
        </w:tblPrEx>
        <w:trPr>
          <w:trHeight w:val="330" w:hRule="atLeast"/>
          <w:jc w:val="center"/>
        </w:trPr>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A5EAECC">
            <w:pPr>
              <w:widowControl w:val="0"/>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A9491C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0E0CFC30">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p w14:paraId="2AC65DA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（10分）</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91E28ED">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F54B97D">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eastAsia" w:ascii="仿宋_GB2312" w:hAnsi="宋体" w:eastAsia="仿宋_GB2312" w:cs="仿宋_GB2312"/>
                <w:i w:val="0"/>
                <w:iCs w:val="0"/>
                <w:snapToGrid/>
                <w:color w:val="000000"/>
                <w:kern w:val="0"/>
                <w:sz w:val="20"/>
                <w:szCs w:val="20"/>
                <w:u w:val="none"/>
                <w:lang w:val="en-US" w:eastAsia="zh-CN" w:bidi="ar"/>
              </w:rPr>
              <w:t>调查对象满意度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4A9A3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≥90%</w:t>
            </w:r>
          </w:p>
        </w:tc>
        <w:tc>
          <w:tcPr>
            <w:tcW w:w="1264" w:type="dxa"/>
            <w:tcBorders>
              <w:top w:val="single" w:color="auto" w:sz="4" w:space="0"/>
              <w:left w:val="single" w:color="auto" w:sz="4" w:space="0"/>
              <w:bottom w:val="single" w:color="auto" w:sz="4" w:space="0"/>
              <w:right w:val="single" w:color="auto" w:sz="4" w:space="0"/>
            </w:tcBorders>
            <w:noWrap w:val="0"/>
            <w:vAlign w:val="center"/>
          </w:tcPr>
          <w:p w14:paraId="6A894426">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93%</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D276E70">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E974219">
            <w:pPr>
              <w:widowControl/>
              <w:kinsoku/>
              <w:autoSpaceDE/>
              <w:autoSpaceDN/>
              <w:adjustRightInd/>
              <w:snapToGrid/>
              <w:spacing w:line="240" w:lineRule="exact"/>
              <w:jc w:val="center"/>
              <w:textAlignment w:val="auto"/>
              <w:rPr>
                <w:rFonts w:hint="eastAsia" w:ascii="仿宋_GB2312" w:hAnsi="宋体" w:eastAsia="仿宋_GB2312" w:cs="仿宋_GB2312"/>
                <w:i w:val="0"/>
                <w:iCs w:val="0"/>
                <w:snapToGrid/>
                <w:color w:val="000000"/>
                <w:kern w:val="0"/>
                <w:sz w:val="20"/>
                <w:szCs w:val="20"/>
                <w:u w:val="none"/>
                <w:lang w:val="en-US" w:eastAsia="zh-CN" w:bidi="ar"/>
              </w:rPr>
            </w:pPr>
            <w:r>
              <w:rPr>
                <w:rFonts w:hint="default" w:ascii="仿宋_GB2312" w:hAnsi="宋体" w:eastAsia="仿宋_GB2312" w:cs="仿宋_GB2312"/>
                <w:i w:val="0"/>
                <w:iCs w:val="0"/>
                <w:snapToGrid/>
                <w:color w:val="000000"/>
                <w:kern w:val="0"/>
                <w:sz w:val="20"/>
                <w:szCs w:val="20"/>
                <w:u w:val="none"/>
                <w:lang w:val="en-US" w:eastAsia="zh-CN" w:bidi="ar"/>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84352BF">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kern w:val="0"/>
                <w:sz w:val="20"/>
                <w:szCs w:val="20"/>
                <w:lang w:val="en-US" w:eastAsia="zh-CN" w:bidi="ar-SA"/>
              </w:rPr>
            </w:pPr>
          </w:p>
        </w:tc>
      </w:tr>
      <w:tr w14:paraId="4D74D487">
        <w:tblPrEx>
          <w:tblCellMar>
            <w:top w:w="0" w:type="dxa"/>
            <w:left w:w="108" w:type="dxa"/>
            <w:bottom w:w="0" w:type="dxa"/>
            <w:right w:w="108" w:type="dxa"/>
          </w:tblCellMar>
        </w:tblPrEx>
        <w:trPr>
          <w:trHeight w:val="270" w:hRule="atLeast"/>
          <w:jc w:val="center"/>
        </w:trPr>
        <w:tc>
          <w:tcPr>
            <w:tcW w:w="7015" w:type="dxa"/>
            <w:gridSpan w:val="6"/>
            <w:tcBorders>
              <w:top w:val="single" w:color="auto" w:sz="4" w:space="0"/>
              <w:left w:val="single" w:color="auto" w:sz="4" w:space="0"/>
              <w:bottom w:val="single" w:color="auto" w:sz="4" w:space="0"/>
              <w:right w:val="single" w:color="000000" w:sz="4" w:space="0"/>
            </w:tcBorders>
            <w:noWrap w:val="0"/>
            <w:vAlign w:val="center"/>
          </w:tcPr>
          <w:p w14:paraId="03FDBAE6">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714" w:type="dxa"/>
            <w:tcBorders>
              <w:top w:val="single" w:color="auto" w:sz="4" w:space="0"/>
              <w:left w:val="nil"/>
              <w:bottom w:val="single" w:color="auto" w:sz="4" w:space="0"/>
              <w:right w:val="single" w:color="auto" w:sz="4" w:space="0"/>
            </w:tcBorders>
            <w:noWrap w:val="0"/>
            <w:vAlign w:val="center"/>
          </w:tcPr>
          <w:p w14:paraId="1535B33E">
            <w:pPr>
              <w:widowControl/>
              <w:kinsoku/>
              <w:autoSpaceDE/>
              <w:autoSpaceDN/>
              <w:adjustRightInd/>
              <w:snapToGrid/>
              <w:spacing w:line="24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916" w:type="dxa"/>
            <w:tcBorders>
              <w:top w:val="single" w:color="auto" w:sz="4" w:space="0"/>
              <w:left w:val="nil"/>
              <w:bottom w:val="single" w:color="auto" w:sz="4" w:space="0"/>
              <w:right w:val="single" w:color="auto" w:sz="4" w:space="0"/>
            </w:tcBorders>
            <w:noWrap w:val="0"/>
            <w:vAlign w:val="center"/>
          </w:tcPr>
          <w:p w14:paraId="59848181">
            <w:pPr>
              <w:widowControl/>
              <w:kinsoku/>
              <w:autoSpaceDE/>
              <w:autoSpaceDN/>
              <w:adjustRightInd/>
              <w:snapToGrid/>
              <w:spacing w:line="24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99.13</w:t>
            </w:r>
          </w:p>
        </w:tc>
        <w:tc>
          <w:tcPr>
            <w:tcW w:w="1434" w:type="dxa"/>
            <w:tcBorders>
              <w:top w:val="single" w:color="auto" w:sz="4" w:space="0"/>
              <w:left w:val="nil"/>
              <w:bottom w:val="single" w:color="auto" w:sz="4" w:space="0"/>
              <w:right w:val="single" w:color="auto" w:sz="4" w:space="0"/>
            </w:tcBorders>
            <w:noWrap w:val="0"/>
            <w:vAlign w:val="center"/>
          </w:tcPr>
          <w:p w14:paraId="7F12F3D5">
            <w:pPr>
              <w:widowControl/>
              <w:kinsoku/>
              <w:autoSpaceDE/>
              <w:autoSpaceDN/>
              <w:adjustRightInd/>
              <w:snapToGrid/>
              <w:spacing w:line="24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2F0C8421">
      <w:pPr>
        <w:widowControl/>
        <w:kinsoku/>
        <w:autoSpaceDE/>
        <w:autoSpaceDN/>
        <w:adjustRightInd/>
        <w:snapToGrid/>
        <w:spacing w:line="600" w:lineRule="exact"/>
        <w:jc w:val="left"/>
        <w:textAlignment w:val="auto"/>
        <w:rPr>
          <w:rFonts w:hint="default" w:ascii="Times New Roman" w:hAnsi="Times New Roman" w:eastAsia="黑体" w:cs="Times New Roman"/>
          <w:snapToGrid/>
          <w:sz w:val="32"/>
          <w:szCs w:val="32"/>
          <w:highlight w:val="none"/>
          <w:lang w:val="en-US"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单位负责人签字：</w:t>
      </w:r>
      <w:r>
        <w:rPr>
          <w:rFonts w:hint="default" w:ascii="Times New Roman" w:hAnsi="Times New Roman" w:eastAsia="仿宋_GB2312" w:cs="Times New Roman"/>
          <w:snapToGrid/>
          <w:sz w:val="22"/>
          <w:szCs w:val="22"/>
          <w:highlight w:val="none"/>
          <w:lang w:eastAsia="zh-CN"/>
        </w:rPr>
        <w:br w:type="page"/>
      </w:r>
      <w:r>
        <w:rPr>
          <w:rFonts w:hint="eastAsia" w:ascii="黑体" w:hAnsi="黑体" w:eastAsia="黑体" w:cs="黑体"/>
          <w:snapToGrid/>
          <w:sz w:val="32"/>
          <w:szCs w:val="32"/>
          <w:highlight w:val="none"/>
          <w:lang w:eastAsia="zh-CN"/>
        </w:rPr>
        <w:t>附件</w:t>
      </w:r>
      <w:r>
        <w:rPr>
          <w:rFonts w:hint="eastAsia" w:ascii="黑体" w:hAnsi="黑体" w:eastAsia="黑体" w:cs="黑体"/>
          <w:snapToGrid/>
          <w:sz w:val="32"/>
          <w:szCs w:val="32"/>
          <w:highlight w:val="none"/>
          <w:lang w:val="en-US" w:eastAsia="zh-CN"/>
        </w:rPr>
        <w:t>3</w:t>
      </w:r>
    </w:p>
    <w:p w14:paraId="796E0E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202</w:t>
      </w:r>
      <w:r>
        <w:rPr>
          <w:rFonts w:hint="eastAsia" w:ascii="方正小标宋简体" w:hAnsi="方正小标宋简体" w:eastAsia="方正小标宋简体" w:cs="方正小标宋简体"/>
          <w:snapToGrid/>
          <w:color w:val="000000"/>
          <w:sz w:val="36"/>
          <w:szCs w:val="36"/>
          <w:highlight w:val="none"/>
          <w:lang w:val="en-US" w:eastAsia="zh-CN"/>
        </w:rPr>
        <w:t>4</w:t>
      </w:r>
      <w:r>
        <w:rPr>
          <w:rFonts w:hint="eastAsia" w:ascii="方正小标宋简体" w:hAnsi="方正小标宋简体" w:eastAsia="方正小标宋简体" w:cs="方正小标宋简体"/>
          <w:snapToGrid/>
          <w:color w:val="000000"/>
          <w:sz w:val="36"/>
          <w:szCs w:val="36"/>
          <w:highlight w:val="none"/>
          <w:lang w:eastAsia="zh-CN"/>
        </w:rPr>
        <w:t>年度岳阳市岳阳楼区价格认证鉴定中心</w:t>
      </w:r>
    </w:p>
    <w:p w14:paraId="7A5A6AE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sz w:val="36"/>
          <w:szCs w:val="36"/>
          <w:highlight w:val="none"/>
          <w:lang w:eastAsia="zh-CN"/>
        </w:rPr>
      </w:pPr>
      <w:r>
        <w:rPr>
          <w:rFonts w:hint="eastAsia" w:ascii="方正小标宋简体" w:hAnsi="方正小标宋简体" w:eastAsia="方正小标宋简体" w:cs="方正小标宋简体"/>
          <w:snapToGrid/>
          <w:color w:val="000000"/>
          <w:sz w:val="36"/>
          <w:szCs w:val="36"/>
          <w:highlight w:val="none"/>
          <w:lang w:eastAsia="zh-CN"/>
        </w:rPr>
        <w:t>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026"/>
        <w:gridCol w:w="1042"/>
        <w:gridCol w:w="1028"/>
        <w:gridCol w:w="873"/>
        <w:gridCol w:w="1418"/>
      </w:tblGrid>
      <w:tr w14:paraId="4E9CEED1">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CBC7F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项目名称</w:t>
            </w:r>
          </w:p>
        </w:tc>
        <w:tc>
          <w:tcPr>
            <w:tcW w:w="8771" w:type="dxa"/>
            <w:gridSpan w:val="8"/>
            <w:tcBorders>
              <w:top w:val="single" w:color="auto" w:sz="4" w:space="0"/>
              <w:left w:val="nil"/>
              <w:bottom w:val="single" w:color="auto" w:sz="4" w:space="0"/>
              <w:right w:val="single" w:color="auto" w:sz="4" w:space="0"/>
            </w:tcBorders>
            <w:noWrap w:val="0"/>
            <w:vAlign w:val="center"/>
          </w:tcPr>
          <w:p w14:paraId="3AEC92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sz w:val="20"/>
                <w:szCs w:val="20"/>
                <w:highlight w:val="none"/>
                <w:lang w:val="en-US" w:eastAsia="zh-CN"/>
              </w:rPr>
              <w:t>业务工作经费</w:t>
            </w:r>
          </w:p>
        </w:tc>
      </w:tr>
      <w:tr w14:paraId="2A461123">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A54D4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主管部门</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6EF57E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岳阳市岳阳楼区发展和改革局</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99952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实施单位</w:t>
            </w:r>
          </w:p>
        </w:tc>
        <w:tc>
          <w:tcPr>
            <w:tcW w:w="3319" w:type="dxa"/>
            <w:gridSpan w:val="3"/>
            <w:tcBorders>
              <w:top w:val="single" w:color="auto" w:sz="4" w:space="0"/>
              <w:left w:val="single" w:color="auto" w:sz="4" w:space="0"/>
              <w:bottom w:val="single" w:color="auto" w:sz="4" w:space="0"/>
              <w:right w:val="single" w:color="auto" w:sz="4" w:space="0"/>
            </w:tcBorders>
            <w:noWrap w:val="0"/>
            <w:vAlign w:val="center"/>
          </w:tcPr>
          <w:p w14:paraId="6437A5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lang w:val="en-US" w:eastAsia="zh-CN"/>
              </w:rPr>
              <w:t>岳阳市岳阳楼区价格认证鉴定中心</w:t>
            </w:r>
          </w:p>
        </w:tc>
      </w:tr>
      <w:tr w14:paraId="1B2277F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FB384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项目资金</w:t>
            </w:r>
          </w:p>
          <w:p w14:paraId="0BC39A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7AFC0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C6DF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年初</w:t>
            </w:r>
          </w:p>
          <w:p w14:paraId="7E662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856F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全年</w:t>
            </w:r>
          </w:p>
          <w:p w14:paraId="0A1A82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预算数</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37E7EA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全年</w:t>
            </w:r>
          </w:p>
          <w:p w14:paraId="7E0226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执行数</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754B38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190A6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7BD1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sz w:val="20"/>
                <w:szCs w:val="20"/>
                <w:highlight w:val="none"/>
                <w:lang w:eastAsia="zh-CN"/>
              </w:rPr>
            </w:pPr>
            <w:r>
              <w:rPr>
                <w:rFonts w:hint="eastAsia" w:ascii="仿宋_GB2312" w:hAnsi="仿宋_GB2312" w:eastAsia="仿宋_GB2312" w:cs="仿宋_GB2312"/>
                <w:snapToGrid/>
                <w:sz w:val="20"/>
                <w:szCs w:val="20"/>
                <w:highlight w:val="none"/>
                <w:lang w:eastAsia="zh-CN"/>
              </w:rPr>
              <w:t>得分</w:t>
            </w:r>
          </w:p>
        </w:tc>
      </w:tr>
      <w:tr w14:paraId="4D74AA7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9FB39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4E6C3C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E0C0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23.00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69E1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23.00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E66D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12.33</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6CD3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5853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53.00%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06C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5.30</w:t>
            </w:r>
          </w:p>
        </w:tc>
      </w:tr>
      <w:tr w14:paraId="0965B10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F6C4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75A88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3C5E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23.00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B2125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23.00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65A82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auto"/>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12.33</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7EC2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2C8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65B4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2F7C5E8B">
        <w:tblPrEx>
          <w:tblCellMar>
            <w:top w:w="0" w:type="dxa"/>
            <w:left w:w="108" w:type="dxa"/>
            <w:bottom w:w="0" w:type="dxa"/>
            <w:right w:w="108" w:type="dxa"/>
          </w:tblCellMar>
        </w:tblPrEx>
        <w:trPr>
          <w:trHeight w:val="2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B00B0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9D7CFA7">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910F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5820F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EBB1F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C4DF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9DDC8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9632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25D418C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AE94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820722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DCD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val="en-US" w:eastAsia="zh-CN"/>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B929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02588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0BF9A0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AE6F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F71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8F768EE">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A7D08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年度总体目标</w:t>
            </w: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48EA34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预期目标</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562800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实际完成情况　</w:t>
            </w:r>
          </w:p>
        </w:tc>
      </w:tr>
      <w:tr w14:paraId="3BBF261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043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4410" w:type="dxa"/>
            <w:gridSpan w:val="4"/>
            <w:tcBorders>
              <w:top w:val="single" w:color="auto" w:sz="4" w:space="0"/>
              <w:left w:val="single" w:color="auto" w:sz="4" w:space="0"/>
              <w:bottom w:val="single" w:color="auto" w:sz="4" w:space="0"/>
              <w:right w:val="single" w:color="auto" w:sz="4" w:space="0"/>
            </w:tcBorders>
            <w:noWrap w:val="0"/>
            <w:vAlign w:val="center"/>
          </w:tcPr>
          <w:p w14:paraId="20E6A7F9">
            <w:pPr>
              <w:widowControl/>
              <w:numPr>
                <w:ilvl w:val="0"/>
                <w:numId w:val="0"/>
              </w:numPr>
              <w:kinsoku/>
              <w:autoSpaceDE/>
              <w:autoSpaceDN/>
              <w:adjustRightInd/>
              <w:snapToGrid/>
              <w:spacing w:line="240" w:lineRule="exact"/>
              <w:ind w:left="0" w:leftChars="0" w:firstLine="0" w:firstLineChars="0"/>
              <w:jc w:val="left"/>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岳阳楼区价格认证中心2024年预计完成岳阳市公安局涉案物价格认定案件50件、岳阳楼区公安局500件、经开区公安分局200件。</w:t>
            </w:r>
          </w:p>
        </w:tc>
        <w:tc>
          <w:tcPr>
            <w:tcW w:w="4361" w:type="dxa"/>
            <w:gridSpan w:val="4"/>
            <w:tcBorders>
              <w:top w:val="single" w:color="auto" w:sz="4" w:space="0"/>
              <w:left w:val="single" w:color="auto" w:sz="4" w:space="0"/>
              <w:bottom w:val="single" w:color="auto" w:sz="4" w:space="0"/>
              <w:right w:val="single" w:color="auto" w:sz="4" w:space="0"/>
            </w:tcBorders>
            <w:noWrap w:val="0"/>
            <w:vAlign w:val="center"/>
          </w:tcPr>
          <w:p w14:paraId="30FABC2E">
            <w:pPr>
              <w:widowControl/>
              <w:numPr>
                <w:ilvl w:val="0"/>
                <w:numId w:val="0"/>
              </w:numPr>
              <w:kinsoku/>
              <w:autoSpaceDE/>
              <w:autoSpaceDN/>
              <w:adjustRightInd/>
              <w:snapToGrid/>
              <w:spacing w:line="240" w:lineRule="exact"/>
              <w:ind w:left="0" w:leftChars="0" w:firstLine="0" w:firstLineChars="0"/>
              <w:jc w:val="center"/>
              <w:textAlignment w:val="auto"/>
              <w:rPr>
                <w:rFonts w:hint="default" w:ascii="仿宋" w:hAnsi="仿宋" w:eastAsia="宋体" w:cs="Times New Roman"/>
                <w:snapToGrid/>
                <w:sz w:val="28"/>
                <w:szCs w:val="24"/>
                <w:lang w:val="en-US" w:eastAsia="zh-CN"/>
              </w:rPr>
            </w:pPr>
            <w:r>
              <w:rPr>
                <w:rFonts w:hint="eastAsia" w:ascii="仿宋_GB2312" w:hAnsi="仿宋_GB2312" w:eastAsia="仿宋_GB2312" w:cs="仿宋_GB2312"/>
                <w:snapToGrid/>
                <w:color w:val="auto"/>
                <w:sz w:val="20"/>
                <w:szCs w:val="20"/>
                <w:highlight w:val="none"/>
                <w:lang w:eastAsia="zh-CN"/>
              </w:rPr>
              <w:t>已圆满完成。</w:t>
            </w:r>
          </w:p>
        </w:tc>
      </w:tr>
      <w:tr w14:paraId="249FBD27">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47207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绩</w:t>
            </w:r>
          </w:p>
          <w:p w14:paraId="64E0D5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w:t>
            </w:r>
          </w:p>
          <w:p w14:paraId="6E8AD9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w:t>
            </w:r>
          </w:p>
          <w:p w14:paraId="31A99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EC16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404B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C1D23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三级指标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11ABA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年度</w:t>
            </w:r>
          </w:p>
          <w:p w14:paraId="72AA65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指标值</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18ED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实际</w:t>
            </w:r>
          </w:p>
          <w:p w14:paraId="61749C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完成值</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DC8B9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16CA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D1D8FD">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偏差原因分析及改进措施</w:t>
            </w:r>
          </w:p>
        </w:tc>
      </w:tr>
      <w:tr w14:paraId="38ACA25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434BEA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303AE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产出指标</w:t>
            </w:r>
          </w:p>
          <w:p w14:paraId="0F3AA9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p w14:paraId="1EB6B0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(50分)</w:t>
            </w:r>
          </w:p>
        </w:tc>
        <w:tc>
          <w:tcPr>
            <w:tcW w:w="1080" w:type="dxa"/>
            <w:tcBorders>
              <w:top w:val="single" w:color="auto" w:sz="4" w:space="0"/>
              <w:left w:val="single" w:color="auto" w:sz="4" w:space="0"/>
              <w:right w:val="single" w:color="auto" w:sz="4" w:space="0"/>
            </w:tcBorders>
            <w:noWrap w:val="0"/>
            <w:vAlign w:val="center"/>
          </w:tcPr>
          <w:p w14:paraId="32D60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A535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完成了公安的涉案认定案件</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7ACB2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≥750件</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B74CF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已完成</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F3C98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5F27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5EA2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7E99926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7571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67D99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626A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276AC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无违法违规现象</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468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E1030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≥100%</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974C9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FA34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3618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3A01A73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03DA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AA971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B2DF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D5C1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按时完成认定</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01784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≥100%</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C13E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已完成</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5E005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C6C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2ED29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178A0BB1">
        <w:tblPrEx>
          <w:tblCellMar>
            <w:top w:w="0" w:type="dxa"/>
            <w:left w:w="108" w:type="dxa"/>
            <w:bottom w:w="0" w:type="dxa"/>
            <w:right w:w="108" w:type="dxa"/>
          </w:tblCellMar>
        </w:tblPrEx>
        <w:trPr>
          <w:trHeight w:val="52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A9C8AB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1AEA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CFFA2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86B98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工作经费≤23万元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5327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≤23万元</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9700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12.33万元</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56959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3702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166D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r>
      <w:tr w14:paraId="265CC405">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2AD74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7EB90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效益指标</w:t>
            </w:r>
          </w:p>
          <w:p w14:paraId="21E055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p w14:paraId="03F152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（30分）</w:t>
            </w:r>
          </w:p>
          <w:p w14:paraId="4AF6B8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9D8C6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经济效</w:t>
            </w:r>
          </w:p>
          <w:p w14:paraId="3F4A5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1C68D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创造好的营商环境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F2B36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促进经济发展</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27EEFB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促进经济发展</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27F965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10B04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F7D4C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54C5059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5482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B909B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95C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社会效</w:t>
            </w:r>
          </w:p>
          <w:p w14:paraId="5BC7C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3595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提升服务岳阳市公安局、岳阳楼分局、经开区分局价格认定工作水平</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29D70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应保尽保</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44C76D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已提升</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07937F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74BA6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43C8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3E7EF01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0C7B0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9009E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64DA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生态效</w:t>
            </w:r>
          </w:p>
          <w:p w14:paraId="64C0B4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B7325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打造生态环境</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E1FBD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有所改善</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DD39A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有所改善</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F6D2A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3E554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A66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r>
      <w:tr w14:paraId="576A540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3949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B263C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40BD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237C1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服务市、楼区、经开区价格认定工作</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28D8E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有所提升</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7A489B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有所提升</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5ADBD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E75A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EE32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0A21408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A12F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BBDE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满意度</w:t>
            </w:r>
          </w:p>
          <w:p w14:paraId="7F59B6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指标</w:t>
            </w:r>
          </w:p>
          <w:p w14:paraId="67A22C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28D5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030A1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受益对象满意度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AFB7C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≥98%</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65DC99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98%</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7E63C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6813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lang w:val="en-US" w:eastAsia="zh-CN"/>
              </w:rPr>
            </w:pPr>
            <w:r>
              <w:rPr>
                <w:rFonts w:hint="eastAsia" w:ascii="仿宋_GB2312" w:hAnsi="仿宋_GB2312" w:eastAsia="仿宋_GB2312" w:cs="仿宋_GB2312"/>
                <w:snapToGrid/>
                <w:color w:val="000000"/>
                <w:sz w:val="20"/>
                <w:szCs w:val="20"/>
                <w:lang w:val="en-US" w:eastAsia="zh-CN"/>
              </w:rPr>
              <w:t>10.00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4BE36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r w14:paraId="705E47C5">
        <w:tblPrEx>
          <w:tblCellMar>
            <w:top w:w="0" w:type="dxa"/>
            <w:left w:w="108" w:type="dxa"/>
            <w:bottom w:w="0" w:type="dxa"/>
            <w:right w:w="108" w:type="dxa"/>
          </w:tblCellMar>
        </w:tblPrEx>
        <w:trPr>
          <w:jc w:val="center"/>
        </w:trPr>
        <w:tc>
          <w:tcPr>
            <w:tcW w:w="6532" w:type="dxa"/>
            <w:gridSpan w:val="6"/>
            <w:tcBorders>
              <w:top w:val="single" w:color="auto" w:sz="4" w:space="0"/>
              <w:left w:val="single" w:color="auto" w:sz="4" w:space="0"/>
              <w:bottom w:val="single" w:color="auto" w:sz="4" w:space="0"/>
              <w:right w:val="single" w:color="auto" w:sz="4" w:space="0"/>
            </w:tcBorders>
            <w:noWrap w:val="0"/>
            <w:vAlign w:val="center"/>
          </w:tcPr>
          <w:p w14:paraId="5BD644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总分</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418FF9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818B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napToGrid/>
                <w:color w:val="000000"/>
                <w:sz w:val="20"/>
                <w:szCs w:val="20"/>
                <w:highlight w:val="none"/>
                <w:lang w:val="en-US" w:eastAsia="zh-CN"/>
              </w:rPr>
            </w:pPr>
            <w:r>
              <w:rPr>
                <w:rFonts w:hint="eastAsia" w:ascii="仿宋_GB2312" w:hAnsi="仿宋_GB2312" w:eastAsia="仿宋_GB2312" w:cs="仿宋_GB2312"/>
                <w:snapToGrid/>
                <w:color w:val="000000"/>
                <w:sz w:val="20"/>
                <w:szCs w:val="20"/>
                <w:highlight w:val="none"/>
                <w:lang w:val="en-US" w:eastAsia="zh-CN"/>
              </w:rPr>
              <w:t>95.30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486433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napToGrid/>
                <w:color w:val="000000"/>
                <w:sz w:val="20"/>
                <w:szCs w:val="20"/>
                <w:highlight w:val="none"/>
                <w:lang w:eastAsia="zh-CN"/>
              </w:rPr>
            </w:pPr>
            <w:r>
              <w:rPr>
                <w:rFonts w:hint="eastAsia" w:ascii="仿宋_GB2312" w:hAnsi="仿宋_GB2312" w:eastAsia="仿宋_GB2312" w:cs="仿宋_GB2312"/>
                <w:snapToGrid/>
                <w:color w:val="000000"/>
                <w:sz w:val="20"/>
                <w:szCs w:val="20"/>
                <w:highlight w:val="none"/>
                <w:lang w:eastAsia="zh-CN"/>
              </w:rPr>
              <w:t>　</w:t>
            </w:r>
          </w:p>
        </w:tc>
      </w:tr>
    </w:tbl>
    <w:p w14:paraId="7649D3E8">
      <w:pPr>
        <w:widowControl w:val="0"/>
        <w:kinsoku/>
        <w:autoSpaceDE/>
        <w:autoSpaceDN/>
        <w:adjustRightInd/>
        <w:snapToGrid/>
        <w:spacing w:line="240" w:lineRule="auto"/>
        <w:jc w:val="both"/>
        <w:textAlignment w:val="auto"/>
        <w:rPr>
          <w:rFonts w:hint="default" w:ascii="Times New Roman" w:hAnsi="Times New Roman" w:eastAsia="仿宋_GB2312" w:cs="Times New Roman"/>
          <w:snapToGrid/>
          <w:sz w:val="18"/>
          <w:szCs w:val="18"/>
          <w:highlight w:val="none"/>
          <w:lang w:eastAsia="zh-CN"/>
        </w:rPr>
      </w:pPr>
    </w:p>
    <w:p w14:paraId="2E5E069E">
      <w:pPr>
        <w:widowControl/>
        <w:kinsoku/>
        <w:autoSpaceDE/>
        <w:autoSpaceDN/>
        <w:adjustRightInd/>
        <w:snapToGrid/>
        <w:spacing w:line="600" w:lineRule="exact"/>
        <w:jc w:val="left"/>
        <w:textAlignment w:val="auto"/>
        <w:rPr>
          <w:rFonts w:hint="default" w:ascii="Times New Roman" w:hAnsi="Times New Roman" w:eastAsia="仿宋_GB2312" w:cs="Times New Roman"/>
          <w:snapToGrid/>
          <w:sz w:val="22"/>
          <w:szCs w:val="22"/>
          <w:highlight w:val="none"/>
          <w:lang w:eastAsia="zh-CN"/>
        </w:rPr>
      </w:pPr>
      <w:r>
        <w:rPr>
          <w:rFonts w:hint="default" w:ascii="Times New Roman" w:hAnsi="Times New Roman" w:eastAsia="仿宋_GB2312" w:cs="Times New Roman"/>
          <w:snapToGrid/>
          <w:sz w:val="22"/>
          <w:szCs w:val="22"/>
          <w:highlight w:val="none"/>
          <w:lang w:eastAsia="zh-CN"/>
        </w:rPr>
        <w:t xml:space="preserve">填表人：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填报日期：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联系电话：   </w:t>
      </w:r>
      <w:r>
        <w:rPr>
          <w:rFonts w:hint="eastAsia" w:ascii="Times New Roman" w:hAnsi="Times New Roman" w:eastAsia="仿宋_GB2312" w:cs="Times New Roman"/>
          <w:snapToGrid/>
          <w:sz w:val="22"/>
          <w:szCs w:val="22"/>
          <w:highlight w:val="none"/>
          <w:lang w:val="en-US" w:eastAsia="zh-CN"/>
        </w:rPr>
        <w:t xml:space="preserve">                       </w:t>
      </w:r>
      <w:r>
        <w:rPr>
          <w:rFonts w:hint="default" w:ascii="Times New Roman" w:hAnsi="Times New Roman" w:eastAsia="仿宋_GB2312" w:cs="Times New Roman"/>
          <w:snapToGrid/>
          <w:sz w:val="22"/>
          <w:szCs w:val="22"/>
          <w:highlight w:val="none"/>
          <w:lang w:eastAsia="zh-CN"/>
        </w:rPr>
        <w:t xml:space="preserve"> 单位负责人签字：</w:t>
      </w:r>
    </w:p>
    <w:p w14:paraId="7D475F43">
      <w:pPr>
        <w:spacing w:before="200" w:line="222" w:lineRule="auto"/>
        <w:rPr>
          <w:rFonts w:ascii="仿宋" w:hAnsi="仿宋" w:eastAsia="仿宋" w:cs="仿宋"/>
          <w:spacing w:val="35"/>
          <w:sz w:val="32"/>
          <w:szCs w:val="32"/>
        </w:rPr>
      </w:pPr>
    </w:p>
    <w:p w14:paraId="78DFE811">
      <w:pPr>
        <w:spacing w:before="104" w:line="224" w:lineRule="auto"/>
      </w:pPr>
      <w:r>
        <w:rPr>
          <w:rFonts w:ascii="黑体" w:hAnsi="黑体" w:eastAsia="黑体" w:cs="黑体"/>
          <w:b w:val="0"/>
          <w:bCs w:val="0"/>
          <w:spacing w:val="26"/>
          <w:sz w:val="32"/>
          <w:szCs w:val="32"/>
        </w:rPr>
        <w:t>附件</w:t>
      </w:r>
      <w:r>
        <w:rPr>
          <w:rFonts w:hint="eastAsia" w:ascii="黑体" w:hAnsi="黑体" w:eastAsia="黑体" w:cs="黑体"/>
          <w:b w:val="0"/>
          <w:bCs w:val="0"/>
          <w:spacing w:val="26"/>
          <w:sz w:val="32"/>
          <w:szCs w:val="32"/>
          <w:lang w:val="en-US" w:eastAsia="zh-CN"/>
        </w:rPr>
        <w:t>4</w:t>
      </w:r>
    </w:p>
    <w:p w14:paraId="219D1A55">
      <w:pPr>
        <w:pStyle w:val="3"/>
        <w:spacing w:line="250" w:lineRule="auto"/>
      </w:pPr>
    </w:p>
    <w:p w14:paraId="7DEDC815">
      <w:pPr>
        <w:pStyle w:val="3"/>
        <w:spacing w:line="250" w:lineRule="auto"/>
      </w:pPr>
    </w:p>
    <w:p w14:paraId="4AB195CE">
      <w:pPr>
        <w:pStyle w:val="3"/>
        <w:spacing w:line="250" w:lineRule="auto"/>
      </w:pPr>
    </w:p>
    <w:p w14:paraId="6AD5DC78">
      <w:pPr>
        <w:pStyle w:val="3"/>
        <w:spacing w:line="241" w:lineRule="auto"/>
        <w:ind w:left="1823" w:hanging="1823" w:hangingChars="400"/>
        <w:rPr>
          <w:rFonts w:ascii="宋体" w:hAnsi="宋体" w:eastAsia="宋体" w:cs="宋体"/>
          <w:sz w:val="44"/>
          <w:szCs w:val="44"/>
        </w:rPr>
      </w:pPr>
      <w:r>
        <w:rPr>
          <w:rFonts w:ascii="宋体" w:hAnsi="宋体" w:eastAsia="宋体" w:cs="宋体"/>
          <w:b/>
          <w:bCs/>
          <w:spacing w:val="7"/>
          <w:sz w:val="44"/>
          <w:szCs w:val="44"/>
        </w:rPr>
        <w:t>2024年度</w:t>
      </w:r>
      <w:r>
        <w:rPr>
          <w:rFonts w:hint="eastAsia" w:ascii="宋体" w:hAnsi="宋体" w:eastAsia="宋体" w:cs="宋体"/>
          <w:b/>
          <w:bCs/>
          <w:snapToGrid w:val="0"/>
          <w:color w:val="000000"/>
          <w:spacing w:val="7"/>
          <w:kern w:val="0"/>
          <w:sz w:val="44"/>
          <w:szCs w:val="44"/>
          <w:lang w:val="en-US" w:eastAsia="en-US" w:bidi="ar-SA"/>
        </w:rPr>
        <w:t>岳阳市岳阳楼区价格认证鉴定中心</w:t>
      </w:r>
      <w:r>
        <w:rPr>
          <w:rFonts w:ascii="宋体" w:hAnsi="宋体" w:eastAsia="宋体" w:cs="宋体"/>
          <w:b/>
          <w:bCs/>
          <w:spacing w:val="7"/>
          <w:sz w:val="44"/>
          <w:szCs w:val="44"/>
        </w:rPr>
        <w:t>单位整体支出</w:t>
      </w:r>
      <w:r>
        <w:rPr>
          <w:rFonts w:ascii="宋体" w:hAnsi="宋体" w:eastAsia="宋体" w:cs="宋体"/>
          <w:b/>
          <w:bCs/>
          <w:spacing w:val="-4"/>
          <w:sz w:val="44"/>
          <w:szCs w:val="44"/>
        </w:rPr>
        <w:t>绩效自评报告</w:t>
      </w:r>
    </w:p>
    <w:p w14:paraId="1824C7D0">
      <w:pPr>
        <w:pStyle w:val="3"/>
      </w:pPr>
    </w:p>
    <w:p w14:paraId="648877F4">
      <w:pPr>
        <w:pStyle w:val="3"/>
      </w:pPr>
    </w:p>
    <w:p w14:paraId="1432DFE1">
      <w:pPr>
        <w:pStyle w:val="3"/>
      </w:pPr>
    </w:p>
    <w:p w14:paraId="3F98E840">
      <w:pPr>
        <w:pStyle w:val="3"/>
        <w:spacing w:line="241" w:lineRule="auto"/>
      </w:pPr>
    </w:p>
    <w:p w14:paraId="11CF7661">
      <w:pPr>
        <w:pStyle w:val="3"/>
        <w:spacing w:line="241" w:lineRule="auto"/>
      </w:pPr>
    </w:p>
    <w:p w14:paraId="07D05949">
      <w:pPr>
        <w:pStyle w:val="3"/>
        <w:spacing w:line="241" w:lineRule="auto"/>
      </w:pPr>
    </w:p>
    <w:p w14:paraId="07B04A6F">
      <w:pPr>
        <w:pStyle w:val="3"/>
        <w:spacing w:line="241" w:lineRule="auto"/>
      </w:pPr>
    </w:p>
    <w:p w14:paraId="73BCC459">
      <w:pPr>
        <w:pStyle w:val="3"/>
        <w:spacing w:line="241" w:lineRule="auto"/>
      </w:pPr>
    </w:p>
    <w:p w14:paraId="2B9C68CD">
      <w:pPr>
        <w:pStyle w:val="3"/>
        <w:spacing w:line="241" w:lineRule="auto"/>
      </w:pPr>
    </w:p>
    <w:p w14:paraId="0FF92696">
      <w:pPr>
        <w:pStyle w:val="3"/>
        <w:spacing w:line="241" w:lineRule="auto"/>
      </w:pPr>
    </w:p>
    <w:p w14:paraId="5C17A818">
      <w:pPr>
        <w:pStyle w:val="3"/>
        <w:spacing w:line="241" w:lineRule="auto"/>
      </w:pPr>
    </w:p>
    <w:p w14:paraId="6E961360">
      <w:pPr>
        <w:pStyle w:val="3"/>
        <w:spacing w:line="241" w:lineRule="auto"/>
      </w:pPr>
    </w:p>
    <w:p w14:paraId="274EA845">
      <w:pPr>
        <w:pStyle w:val="3"/>
        <w:spacing w:line="241" w:lineRule="auto"/>
      </w:pPr>
    </w:p>
    <w:p w14:paraId="25FF4F0C">
      <w:pPr>
        <w:pStyle w:val="3"/>
        <w:spacing w:line="241" w:lineRule="auto"/>
      </w:pPr>
    </w:p>
    <w:p w14:paraId="4831A7C1">
      <w:pPr>
        <w:pStyle w:val="3"/>
        <w:spacing w:line="241" w:lineRule="auto"/>
      </w:pPr>
    </w:p>
    <w:p w14:paraId="50F24250">
      <w:pPr>
        <w:pStyle w:val="3"/>
        <w:spacing w:line="241" w:lineRule="auto"/>
      </w:pPr>
    </w:p>
    <w:p w14:paraId="7CF991DF">
      <w:pPr>
        <w:pStyle w:val="3"/>
        <w:spacing w:line="241" w:lineRule="auto"/>
      </w:pPr>
    </w:p>
    <w:p w14:paraId="332FBAA2">
      <w:pPr>
        <w:pStyle w:val="3"/>
        <w:spacing w:line="241" w:lineRule="auto"/>
      </w:pPr>
    </w:p>
    <w:p w14:paraId="3EED0DC9">
      <w:pPr>
        <w:pStyle w:val="3"/>
        <w:spacing w:line="241" w:lineRule="auto"/>
      </w:pPr>
    </w:p>
    <w:p w14:paraId="27C14546">
      <w:pPr>
        <w:pStyle w:val="3"/>
        <w:spacing w:line="241" w:lineRule="auto"/>
      </w:pPr>
    </w:p>
    <w:p w14:paraId="6E5757BF">
      <w:pPr>
        <w:pStyle w:val="3"/>
        <w:spacing w:line="241" w:lineRule="auto"/>
      </w:pPr>
    </w:p>
    <w:p w14:paraId="087C2481">
      <w:pPr>
        <w:pStyle w:val="3"/>
        <w:spacing w:line="241" w:lineRule="auto"/>
      </w:pPr>
    </w:p>
    <w:p w14:paraId="4515E0A8">
      <w:pPr>
        <w:pStyle w:val="3"/>
        <w:spacing w:line="241" w:lineRule="auto"/>
      </w:pPr>
    </w:p>
    <w:p w14:paraId="72896E1F">
      <w:pPr>
        <w:pStyle w:val="3"/>
        <w:spacing w:line="241" w:lineRule="auto"/>
      </w:pPr>
    </w:p>
    <w:p w14:paraId="00FE8660">
      <w:pPr>
        <w:pStyle w:val="3"/>
        <w:spacing w:line="241" w:lineRule="auto"/>
      </w:pPr>
    </w:p>
    <w:p w14:paraId="30829D0B">
      <w:pPr>
        <w:pStyle w:val="3"/>
        <w:spacing w:line="241" w:lineRule="auto"/>
      </w:pPr>
    </w:p>
    <w:p w14:paraId="1F8E9B53">
      <w:pPr>
        <w:pStyle w:val="3"/>
        <w:spacing w:line="241" w:lineRule="auto"/>
      </w:pPr>
    </w:p>
    <w:p w14:paraId="3E3ED1D8">
      <w:pPr>
        <w:pStyle w:val="3"/>
        <w:spacing w:line="241" w:lineRule="auto"/>
      </w:pPr>
    </w:p>
    <w:p w14:paraId="30CC0B88">
      <w:pPr>
        <w:pStyle w:val="3"/>
        <w:spacing w:line="241" w:lineRule="auto"/>
      </w:pPr>
    </w:p>
    <w:p w14:paraId="4D41823E">
      <w:pPr>
        <w:pStyle w:val="3"/>
        <w:spacing w:line="241" w:lineRule="auto"/>
      </w:pPr>
    </w:p>
    <w:p w14:paraId="64DB433C">
      <w:pPr>
        <w:pStyle w:val="3"/>
        <w:spacing w:line="241" w:lineRule="auto"/>
      </w:pPr>
    </w:p>
    <w:p w14:paraId="644C330C">
      <w:pPr>
        <w:pStyle w:val="3"/>
        <w:spacing w:line="241" w:lineRule="auto"/>
      </w:pPr>
    </w:p>
    <w:p w14:paraId="12282553">
      <w:pPr>
        <w:pStyle w:val="3"/>
        <w:spacing w:line="241" w:lineRule="auto"/>
      </w:pPr>
    </w:p>
    <w:p w14:paraId="1B8150F2">
      <w:pPr>
        <w:pStyle w:val="3"/>
        <w:spacing w:line="241" w:lineRule="auto"/>
      </w:pPr>
    </w:p>
    <w:p w14:paraId="0A8F00E5">
      <w:pPr>
        <w:pStyle w:val="3"/>
        <w:spacing w:line="241" w:lineRule="auto"/>
      </w:pPr>
    </w:p>
    <w:p w14:paraId="79A7A5B5">
      <w:pPr>
        <w:pStyle w:val="3"/>
        <w:spacing w:line="241" w:lineRule="auto"/>
      </w:pPr>
    </w:p>
    <w:p w14:paraId="3DFBDDCD">
      <w:pPr>
        <w:pStyle w:val="3"/>
        <w:spacing w:line="241" w:lineRule="auto"/>
      </w:pPr>
    </w:p>
    <w:p w14:paraId="4C4EDF81">
      <w:pPr>
        <w:spacing w:before="104" w:line="221" w:lineRule="auto"/>
        <w:jc w:val="distribute"/>
        <w:rPr>
          <w:rFonts w:hint="eastAsia" w:ascii="楷体" w:hAnsi="楷体" w:eastAsia="楷体" w:cs="楷体"/>
          <w:b w:val="0"/>
          <w:bCs w:val="0"/>
          <w:spacing w:val="-20"/>
          <w:sz w:val="36"/>
          <w:szCs w:val="36"/>
        </w:rPr>
      </w:pPr>
      <w:r>
        <w:rPr>
          <w:rFonts w:hint="eastAsia" w:ascii="楷体" w:hAnsi="楷体" w:eastAsia="楷体" w:cs="楷体"/>
          <w:spacing w:val="-20"/>
          <w:sz w:val="36"/>
          <w:szCs w:val="36"/>
          <w:lang w:val="en-US" w:eastAsia="zh-CN"/>
        </w:rPr>
        <w:t>部门（单位）</w:t>
      </w:r>
      <w:r>
        <w:rPr>
          <w:rFonts w:hint="eastAsia" w:ascii="楷体" w:hAnsi="楷体" w:eastAsia="楷体" w:cs="楷体"/>
          <w:b w:val="0"/>
          <w:bCs w:val="0"/>
          <w:spacing w:val="-20"/>
          <w:sz w:val="36"/>
          <w:szCs w:val="36"/>
        </w:rPr>
        <w:t>名称：</w:t>
      </w:r>
      <w:r>
        <w:rPr>
          <w:rFonts w:hint="eastAsia" w:ascii="楷体" w:hAnsi="楷体" w:eastAsia="楷体" w:cs="楷体"/>
          <w:b w:val="0"/>
          <w:bCs w:val="0"/>
          <w:spacing w:val="-20"/>
          <w:sz w:val="36"/>
          <w:szCs w:val="36"/>
          <w:u w:val="single" w:color="auto"/>
        </w:rPr>
        <w:t>岳阳市岳阳楼区价格认证鉴定中心</w:t>
      </w:r>
      <w:r>
        <w:rPr>
          <w:rFonts w:hint="eastAsia" w:ascii="楷体" w:hAnsi="楷体" w:eastAsia="楷体" w:cs="楷体"/>
          <w:b w:val="0"/>
          <w:bCs w:val="0"/>
          <w:spacing w:val="-20"/>
          <w:sz w:val="36"/>
          <w:szCs w:val="36"/>
          <w:u w:val="single" w:color="auto"/>
          <w:lang w:val="en-US" w:eastAsia="zh-CN"/>
        </w:rPr>
        <w:t xml:space="preserve"> </w:t>
      </w:r>
    </w:p>
    <w:p w14:paraId="394B2030">
      <w:pPr>
        <w:spacing w:before="75" w:line="222" w:lineRule="auto"/>
        <w:ind w:left="3108"/>
        <w:rPr>
          <w:rFonts w:ascii="仿宋" w:hAnsi="仿宋" w:eastAsia="仿宋" w:cs="仿宋"/>
          <w:sz w:val="23"/>
          <w:szCs w:val="23"/>
        </w:rPr>
      </w:pPr>
      <w:r>
        <w:rPr>
          <w:rFonts w:hint="eastAsia" w:ascii="楷体" w:hAnsi="楷体" w:eastAsia="楷体" w:cs="楷体"/>
          <w:b w:val="0"/>
          <w:bCs w:val="0"/>
          <w:spacing w:val="-18"/>
          <w:sz w:val="36"/>
          <w:szCs w:val="36"/>
          <w:lang w:val="en-US" w:eastAsia="zh-CN"/>
        </w:rPr>
        <w:t xml:space="preserve">2025 </w:t>
      </w:r>
      <w:r>
        <w:rPr>
          <w:rFonts w:hint="eastAsia" w:ascii="楷体" w:hAnsi="楷体" w:eastAsia="楷体" w:cs="楷体"/>
          <w:b w:val="0"/>
          <w:bCs w:val="0"/>
          <w:spacing w:val="-18"/>
          <w:sz w:val="36"/>
          <w:szCs w:val="36"/>
        </w:rPr>
        <w:t>年</w:t>
      </w:r>
      <w:r>
        <w:rPr>
          <w:rFonts w:hint="eastAsia" w:ascii="楷体" w:hAnsi="楷体" w:eastAsia="楷体" w:cs="楷体"/>
          <w:b w:val="0"/>
          <w:bCs w:val="0"/>
          <w:spacing w:val="7"/>
          <w:sz w:val="36"/>
          <w:szCs w:val="36"/>
        </w:rPr>
        <w:t xml:space="preserve"> </w:t>
      </w:r>
      <w:r>
        <w:rPr>
          <w:rFonts w:hint="eastAsia" w:ascii="楷体" w:hAnsi="楷体" w:eastAsia="楷体" w:cs="楷体"/>
          <w:b w:val="0"/>
          <w:bCs w:val="0"/>
          <w:spacing w:val="7"/>
          <w:sz w:val="36"/>
          <w:szCs w:val="36"/>
          <w:lang w:val="en-US" w:eastAsia="zh-CN"/>
        </w:rPr>
        <w:t>7</w:t>
      </w:r>
      <w:r>
        <w:rPr>
          <w:rFonts w:hint="eastAsia" w:ascii="楷体" w:hAnsi="楷体" w:eastAsia="楷体" w:cs="楷体"/>
          <w:b w:val="0"/>
          <w:bCs w:val="0"/>
          <w:spacing w:val="-18"/>
          <w:sz w:val="36"/>
          <w:szCs w:val="36"/>
        </w:rPr>
        <w:t>月</w:t>
      </w:r>
      <w:r>
        <w:rPr>
          <w:rFonts w:hint="eastAsia" w:ascii="楷体" w:hAnsi="楷体" w:eastAsia="楷体" w:cs="楷体"/>
          <w:b w:val="0"/>
          <w:bCs w:val="0"/>
          <w:spacing w:val="-18"/>
          <w:sz w:val="36"/>
          <w:szCs w:val="36"/>
          <w:lang w:val="en-US" w:eastAsia="zh-CN"/>
        </w:rPr>
        <w:t xml:space="preserve"> </w:t>
      </w:r>
      <w:r>
        <w:rPr>
          <w:rFonts w:hint="eastAsia" w:ascii="楷体" w:hAnsi="楷体" w:eastAsia="楷体" w:cs="楷体"/>
          <w:b w:val="0"/>
          <w:bCs w:val="0"/>
          <w:spacing w:val="6"/>
          <w:sz w:val="36"/>
          <w:szCs w:val="36"/>
          <w:lang w:val="en-US" w:eastAsia="zh-CN"/>
        </w:rPr>
        <w:t>15</w:t>
      </w:r>
      <w:r>
        <w:rPr>
          <w:rFonts w:hint="eastAsia" w:ascii="楷体" w:hAnsi="楷体" w:eastAsia="楷体" w:cs="楷体"/>
          <w:b w:val="0"/>
          <w:bCs w:val="0"/>
          <w:spacing w:val="-18"/>
          <w:sz w:val="36"/>
          <w:szCs w:val="36"/>
        </w:rPr>
        <w:t>日</w:t>
      </w:r>
    </w:p>
    <w:p w14:paraId="35EE2FB7">
      <w:pPr>
        <w:pStyle w:val="3"/>
        <w:spacing w:line="394" w:lineRule="auto"/>
      </w:pPr>
    </w:p>
    <w:p w14:paraId="585630A4">
      <w:pPr>
        <w:spacing w:before="104" w:line="224" w:lineRule="auto"/>
        <w:ind w:left="3295"/>
        <w:rPr>
          <w:rFonts w:ascii="仿宋" w:hAnsi="仿宋" w:eastAsia="仿宋" w:cs="仿宋"/>
          <w:sz w:val="32"/>
          <w:szCs w:val="32"/>
        </w:rPr>
      </w:pPr>
      <w:r>
        <w:rPr>
          <w:rFonts w:ascii="仿宋" w:hAnsi="仿宋" w:eastAsia="仿宋" w:cs="仿宋"/>
          <w:spacing w:val="47"/>
          <w:sz w:val="32"/>
          <w:szCs w:val="32"/>
        </w:rPr>
        <w:t>(此页为封面)</w:t>
      </w:r>
    </w:p>
    <w:p w14:paraId="07AFBDF1">
      <w:pPr>
        <w:spacing w:line="224" w:lineRule="auto"/>
        <w:rPr>
          <w:rFonts w:ascii="仿宋" w:hAnsi="仿宋" w:eastAsia="仿宋" w:cs="仿宋"/>
          <w:sz w:val="32"/>
          <w:szCs w:val="32"/>
        </w:rPr>
        <w:sectPr>
          <w:footerReference r:id="rId5" w:type="default"/>
          <w:pgSz w:w="11900" w:h="16830"/>
          <w:pgMar w:top="1430" w:right="1785" w:bottom="1344" w:left="1714" w:header="0" w:footer="929" w:gutter="0"/>
          <w:cols w:space="720" w:num="1"/>
        </w:sectPr>
      </w:pPr>
    </w:p>
    <w:p w14:paraId="09193A69">
      <w:pPr>
        <w:pStyle w:val="3"/>
        <w:spacing w:line="384" w:lineRule="auto"/>
      </w:pPr>
    </w:p>
    <w:p w14:paraId="51E930E6">
      <w:pPr>
        <w:pStyle w:val="3"/>
        <w:spacing w:line="240" w:lineRule="auto"/>
        <w:ind w:left="0" w:firstLine="0" w:firstLineChars="0"/>
        <w:jc w:val="center"/>
        <w:rPr>
          <w:rFonts w:ascii="宋体" w:hAnsi="宋体" w:eastAsia="宋体" w:cs="宋体"/>
          <w:sz w:val="44"/>
          <w:szCs w:val="44"/>
        </w:rPr>
      </w:pPr>
      <w:r>
        <w:rPr>
          <w:rFonts w:ascii="宋体" w:hAnsi="宋体" w:eastAsia="宋体" w:cs="宋体"/>
          <w:b/>
          <w:bCs/>
          <w:spacing w:val="21"/>
          <w:sz w:val="44"/>
          <w:szCs w:val="44"/>
        </w:rPr>
        <w:t>2024年度</w:t>
      </w:r>
      <w:r>
        <w:rPr>
          <w:rFonts w:hint="eastAsia" w:ascii="宋体" w:hAnsi="宋体" w:eastAsia="宋体" w:cs="宋体"/>
          <w:b/>
          <w:bCs/>
          <w:snapToGrid w:val="0"/>
          <w:color w:val="000000"/>
          <w:spacing w:val="21"/>
          <w:kern w:val="0"/>
          <w:sz w:val="44"/>
          <w:szCs w:val="44"/>
          <w:lang w:val="en-US" w:eastAsia="en-US" w:bidi="ar-SA"/>
        </w:rPr>
        <w:t>岳阳市岳阳楼区价格认证鉴定中心</w:t>
      </w:r>
      <w:r>
        <w:rPr>
          <w:rFonts w:ascii="宋体" w:hAnsi="宋体" w:eastAsia="宋体" w:cs="宋体"/>
          <w:b/>
          <w:bCs/>
          <w:spacing w:val="21"/>
          <w:sz w:val="44"/>
          <w:szCs w:val="44"/>
        </w:rPr>
        <w:t>单位整体支出</w:t>
      </w:r>
      <w:r>
        <w:rPr>
          <w:rFonts w:ascii="宋体" w:hAnsi="宋体" w:eastAsia="宋体" w:cs="宋体"/>
          <w:b/>
          <w:bCs/>
          <w:spacing w:val="6"/>
          <w:sz w:val="44"/>
          <w:szCs w:val="44"/>
        </w:rPr>
        <w:t>绩效自评报告</w:t>
      </w:r>
    </w:p>
    <w:p w14:paraId="54FA1B8A">
      <w:pPr>
        <w:pStyle w:val="3"/>
        <w:spacing w:line="256" w:lineRule="auto"/>
      </w:pPr>
    </w:p>
    <w:p w14:paraId="5C167469">
      <w:pPr>
        <w:numPr>
          <w:ilvl w:val="0"/>
          <w:numId w:val="1"/>
        </w:numPr>
        <w:spacing w:before="104" w:line="222" w:lineRule="auto"/>
        <w:rPr>
          <w:rFonts w:ascii="黑体" w:hAnsi="黑体" w:eastAsia="黑体" w:cs="黑体"/>
          <w:spacing w:val="-1"/>
          <w:sz w:val="32"/>
          <w:szCs w:val="32"/>
        </w:rPr>
      </w:pPr>
      <w:r>
        <w:rPr>
          <w:rFonts w:ascii="黑体" w:hAnsi="黑体" w:eastAsia="黑体" w:cs="黑体"/>
          <w:spacing w:val="-1"/>
          <w:sz w:val="32"/>
          <w:szCs w:val="32"/>
        </w:rPr>
        <w:t>单位基本情况</w:t>
      </w:r>
    </w:p>
    <w:p w14:paraId="2D94357E">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lang w:eastAsia="zh-CN"/>
        </w:rPr>
        <w:t>（</w:t>
      </w:r>
      <w:r>
        <w:rPr>
          <w:rFonts w:hint="eastAsia" w:ascii="仿宋" w:hAnsi="仿宋" w:eastAsia="仿宋" w:cs="仿宋_GB2312"/>
          <w:b/>
          <w:bCs/>
          <w:kern w:val="0"/>
          <w:sz w:val="32"/>
          <w:szCs w:val="32"/>
        </w:rPr>
        <w:t>一）职能职责</w:t>
      </w:r>
    </w:p>
    <w:p w14:paraId="5046C1E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负责对涉嫌违纪案件，刑事案件，行政诉讼与处罚，行政征收、征用与执法活动，国家赔偿、补偿事项及法律、法规规定的其他情形中，涉及的有行产品、无形资产和各类有偿服务价格不明或有争议的价格进行认定；负责受理社会经济活动中价格行为合理、合法性鉴定认定业务；为政府价格管理和经济决策提供服务；负责受理单位和个人其它涉及价格方面的事务性工作。</w:t>
      </w:r>
    </w:p>
    <w:p w14:paraId="212024F9">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（二）机构设置</w:t>
      </w:r>
    </w:p>
    <w:p w14:paraId="04ED832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本部门是政府工作部门，全额拨款事业单位，内设机构包括：办公室、价格认定一室、价格认定二室。本单位共有10人，其中在职人员6人，退休人员4人</w:t>
      </w:r>
      <w:bookmarkStart w:id="0" w:name="_Hlk113550976"/>
      <w:r>
        <w:rPr>
          <w:rFonts w:hint="eastAsia" w:ascii="仿宋" w:hAnsi="仿宋" w:eastAsia="仿宋" w:cs="仿宋"/>
          <w:sz w:val="32"/>
          <w:szCs w:val="32"/>
          <w:highlight w:val="none"/>
          <w:lang w:val="en-US" w:eastAsia="zh-CN"/>
        </w:rPr>
        <w:t>。</w:t>
      </w:r>
    </w:p>
    <w:p w14:paraId="53505F8A">
      <w:pPr>
        <w:widowControl/>
        <w:spacing w:line="600" w:lineRule="exact"/>
        <w:ind w:firstLine="643" w:firstLineChars="200"/>
        <w:rPr>
          <w:rFonts w:ascii="仿宋" w:hAnsi="仿宋" w:eastAsia="仿宋" w:cs="仿宋_GB2312"/>
          <w:b/>
          <w:bCs/>
          <w:kern w:val="0"/>
          <w:sz w:val="32"/>
          <w:szCs w:val="32"/>
        </w:rPr>
      </w:pPr>
      <w:r>
        <w:rPr>
          <w:rFonts w:hint="eastAsia" w:ascii="仿宋" w:hAnsi="仿宋" w:eastAsia="仿宋" w:cs="仿宋_GB2312"/>
          <w:b/>
          <w:bCs/>
          <w:kern w:val="0"/>
          <w:sz w:val="32"/>
          <w:szCs w:val="32"/>
        </w:rPr>
        <w:t>（三）部门预算单位构成</w:t>
      </w:r>
    </w:p>
    <w:bookmarkEnd w:id="0"/>
    <w:p w14:paraId="6803FFE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本单位无下属单位，本次2024年绩效自评范围仅包含本单位本级。</w:t>
      </w:r>
    </w:p>
    <w:p w14:paraId="307D7B64">
      <w:pPr>
        <w:spacing w:before="222" w:line="221" w:lineRule="auto"/>
        <w:ind w:left="19"/>
        <w:rPr>
          <w:rFonts w:ascii="黑体" w:hAnsi="黑体" w:eastAsia="黑体" w:cs="黑体"/>
          <w:sz w:val="32"/>
          <w:szCs w:val="32"/>
        </w:rPr>
      </w:pPr>
      <w:r>
        <w:rPr>
          <w:rFonts w:ascii="黑体" w:hAnsi="黑体" w:eastAsia="黑体" w:cs="黑体"/>
          <w:spacing w:val="-6"/>
          <w:sz w:val="32"/>
          <w:szCs w:val="32"/>
        </w:rPr>
        <w:t>二、一般公共预算支出情况</w:t>
      </w:r>
    </w:p>
    <w:p w14:paraId="0FB48C2D">
      <w:pPr>
        <w:spacing w:before="176" w:line="225" w:lineRule="auto"/>
        <w:ind w:left="199"/>
        <w:rPr>
          <w:rFonts w:ascii="楷体" w:hAnsi="楷体" w:eastAsia="楷体" w:cs="楷体"/>
          <w:spacing w:val="22"/>
          <w:sz w:val="32"/>
          <w:szCs w:val="32"/>
        </w:rPr>
      </w:pPr>
      <w:r>
        <w:rPr>
          <w:rFonts w:ascii="楷体" w:hAnsi="楷体" w:eastAsia="楷体" w:cs="楷体"/>
          <w:spacing w:val="22"/>
          <w:sz w:val="32"/>
          <w:szCs w:val="32"/>
        </w:rPr>
        <w:t>(一)基本支出情况</w:t>
      </w:r>
    </w:p>
    <w:p w14:paraId="02F517A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（一）基本支出：2024年基本支出年初预算数为96.83万元，</w:t>
      </w:r>
      <w:r>
        <w:rPr>
          <w:rFonts w:hint="default" w:ascii="仿宋" w:hAnsi="仿宋" w:eastAsia="仿宋" w:cs="仿宋"/>
          <w:sz w:val="32"/>
          <w:szCs w:val="32"/>
          <w:highlight w:val="none"/>
          <w:lang w:val="en-US" w:eastAsia="zh-CN"/>
        </w:rPr>
        <w:t>实际支出决算数</w:t>
      </w:r>
      <w:r>
        <w:rPr>
          <w:rFonts w:hint="eastAsia" w:ascii="仿宋" w:hAnsi="仿宋" w:eastAsia="仿宋" w:cs="仿宋"/>
          <w:sz w:val="32"/>
          <w:szCs w:val="32"/>
          <w:highlight w:val="none"/>
          <w:lang w:val="en-US" w:eastAsia="zh-CN"/>
        </w:rPr>
        <w:t>102.83</w:t>
      </w:r>
      <w:r>
        <w:rPr>
          <w:rFonts w:hint="default" w:ascii="仿宋" w:hAnsi="仿宋" w:eastAsia="仿宋" w:cs="仿宋"/>
          <w:sz w:val="32"/>
          <w:szCs w:val="32"/>
          <w:highlight w:val="none"/>
          <w:lang w:val="en-US" w:eastAsia="zh-CN"/>
        </w:rPr>
        <w:t>万元。</w:t>
      </w:r>
      <w:r>
        <w:rPr>
          <w:rFonts w:hint="eastAsia" w:ascii="仿宋" w:hAnsi="仿宋" w:eastAsia="仿宋" w:cs="仿宋"/>
          <w:sz w:val="32"/>
          <w:szCs w:val="32"/>
          <w:highlight w:val="none"/>
          <w:lang w:val="en-US" w:eastAsia="zh-CN"/>
        </w:rPr>
        <w:t>其中：人员经费91.39万元，主要包括：基本工资、津贴补贴、奖金、绩效工资、伙食补助费、机关事业单位基本养老保险缴费、职业年金缴费、职工基本医疗保险缴费、其他社会保障缴费、住房公积金、生活补助；商品和服务支出11.47万元，主要包括：办公费、物业管理费、电费、工会经费、其他交通费用、其他商品和服务支出。</w:t>
      </w:r>
    </w:p>
    <w:p w14:paraId="1FB2598D">
      <w:pPr>
        <w:numPr>
          <w:ilvl w:val="0"/>
          <w:numId w:val="2"/>
        </w:numPr>
        <w:spacing w:before="301" w:line="227" w:lineRule="auto"/>
        <w:ind w:left="199"/>
        <w:rPr>
          <w:rFonts w:ascii="楷体" w:hAnsi="楷体" w:eastAsia="楷体" w:cs="楷体"/>
          <w:spacing w:val="22"/>
          <w:sz w:val="32"/>
          <w:szCs w:val="32"/>
        </w:rPr>
      </w:pPr>
      <w:r>
        <w:rPr>
          <w:rFonts w:ascii="楷体" w:hAnsi="楷体" w:eastAsia="楷体" w:cs="楷体"/>
          <w:spacing w:val="22"/>
          <w:sz w:val="32"/>
          <w:szCs w:val="32"/>
        </w:rPr>
        <w:t>项目支出情况</w:t>
      </w:r>
    </w:p>
    <w:p w14:paraId="7D3A3E2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（二）项目支出：2024年项目支出年初预算数为23万元，</w:t>
      </w:r>
      <w:r>
        <w:rPr>
          <w:rFonts w:hint="default" w:ascii="仿宋" w:hAnsi="仿宋" w:eastAsia="仿宋" w:cs="仿宋"/>
          <w:sz w:val="32"/>
          <w:szCs w:val="32"/>
          <w:highlight w:val="none"/>
          <w:lang w:val="en-US" w:eastAsia="zh-CN"/>
        </w:rPr>
        <w:t>实际支出决算数</w:t>
      </w:r>
      <w:r>
        <w:rPr>
          <w:rFonts w:hint="eastAsia" w:ascii="仿宋" w:hAnsi="仿宋" w:eastAsia="仿宋" w:cs="仿宋"/>
          <w:sz w:val="32"/>
          <w:szCs w:val="32"/>
          <w:highlight w:val="none"/>
          <w:lang w:val="en-US" w:eastAsia="zh-CN"/>
        </w:rPr>
        <w:t>12.33</w:t>
      </w:r>
      <w:r>
        <w:rPr>
          <w:rFonts w:hint="default" w:ascii="仿宋" w:hAnsi="仿宋" w:eastAsia="仿宋" w:cs="仿宋"/>
          <w:sz w:val="32"/>
          <w:szCs w:val="32"/>
          <w:highlight w:val="none"/>
          <w:lang w:val="en-US" w:eastAsia="zh-CN"/>
        </w:rPr>
        <w:t>万元</w:t>
      </w:r>
      <w:r>
        <w:rPr>
          <w:rFonts w:hint="eastAsia" w:ascii="仿宋" w:hAnsi="仿宋" w:eastAsia="仿宋" w:cs="仿宋"/>
          <w:sz w:val="32"/>
          <w:szCs w:val="32"/>
          <w:highlight w:val="none"/>
          <w:lang w:val="en-US" w:eastAsia="zh-CN"/>
        </w:rPr>
        <w:t>。其中：业务工作经费支出12.33万元，</w:t>
      </w:r>
      <w:r>
        <w:rPr>
          <w:rFonts w:hint="default" w:ascii="仿宋" w:hAnsi="仿宋" w:eastAsia="仿宋" w:cs="仿宋"/>
          <w:sz w:val="32"/>
          <w:szCs w:val="32"/>
          <w:highlight w:val="none"/>
          <w:lang w:val="en-US" w:eastAsia="zh-CN"/>
        </w:rPr>
        <w:t>主要用于部门为完成特定行政工作任务或事业发展目标而发生的支出，包括有关事业发展专项、专项业务费、基本建设支出等</w:t>
      </w:r>
      <w:r>
        <w:rPr>
          <w:rFonts w:hint="eastAsia" w:ascii="仿宋" w:hAnsi="仿宋" w:eastAsia="仿宋" w:cs="仿宋"/>
          <w:sz w:val="32"/>
          <w:szCs w:val="32"/>
          <w:highlight w:val="none"/>
          <w:lang w:val="en-US" w:eastAsia="zh-CN"/>
        </w:rPr>
        <w:t>。</w:t>
      </w:r>
    </w:p>
    <w:p w14:paraId="1A904192">
      <w:pPr>
        <w:spacing w:before="236" w:line="222" w:lineRule="auto"/>
        <w:ind w:left="19"/>
        <w:rPr>
          <w:rFonts w:ascii="黑体" w:hAnsi="黑体" w:eastAsia="黑体" w:cs="黑体"/>
          <w:spacing w:val="3"/>
          <w:sz w:val="32"/>
          <w:szCs w:val="32"/>
        </w:rPr>
      </w:pPr>
      <w:r>
        <w:rPr>
          <w:rFonts w:ascii="黑体" w:hAnsi="黑体" w:eastAsia="黑体" w:cs="黑体"/>
          <w:spacing w:val="3"/>
          <w:sz w:val="32"/>
          <w:szCs w:val="32"/>
        </w:rPr>
        <w:t>三、政府性基金预算支出情况</w:t>
      </w:r>
    </w:p>
    <w:p w14:paraId="5619AE0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2024年度本单位无政府性基金安排的支出。</w:t>
      </w:r>
    </w:p>
    <w:p w14:paraId="471ED398">
      <w:pPr>
        <w:numPr>
          <w:ilvl w:val="0"/>
          <w:numId w:val="3"/>
        </w:numPr>
        <w:spacing w:before="195" w:line="222" w:lineRule="auto"/>
        <w:ind w:left="19"/>
        <w:rPr>
          <w:rFonts w:ascii="黑体" w:hAnsi="黑体" w:eastAsia="黑体" w:cs="黑体"/>
          <w:spacing w:val="2"/>
          <w:sz w:val="32"/>
          <w:szCs w:val="32"/>
        </w:rPr>
      </w:pPr>
      <w:r>
        <w:rPr>
          <w:rFonts w:ascii="黑体" w:hAnsi="黑体" w:eastAsia="黑体" w:cs="黑体"/>
          <w:spacing w:val="2"/>
          <w:sz w:val="32"/>
          <w:szCs w:val="32"/>
        </w:rPr>
        <w:t>国有资本经营预算支出情况</w:t>
      </w:r>
    </w:p>
    <w:p w14:paraId="78E8DB7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ascii="黑体" w:hAnsi="黑体" w:eastAsia="黑体" w:cs="黑体"/>
          <w:spacing w:val="2"/>
          <w:sz w:val="32"/>
          <w:szCs w:val="32"/>
        </w:rPr>
      </w:pPr>
      <w:r>
        <w:rPr>
          <w:rFonts w:hint="eastAsia" w:ascii="仿宋" w:hAnsi="仿宋" w:eastAsia="仿宋" w:cs="仿宋"/>
          <w:sz w:val="32"/>
          <w:szCs w:val="32"/>
          <w:highlight w:val="none"/>
          <w:lang w:val="en-US" w:eastAsia="zh-CN"/>
        </w:rPr>
        <w:t>2024年度</w:t>
      </w:r>
      <w:r>
        <w:rPr>
          <w:rFonts w:hint="eastAsia" w:ascii="仿宋" w:hAnsi="仿宋" w:eastAsia="仿宋" w:cs="仿宋"/>
          <w:sz w:val="32"/>
          <w:szCs w:val="32"/>
          <w:highlight w:val="none"/>
        </w:rPr>
        <w:t>本单位无国有资本经营预算支出</w:t>
      </w:r>
      <w:r>
        <w:rPr>
          <w:rFonts w:hint="eastAsia" w:ascii="仿宋" w:hAnsi="仿宋" w:eastAsia="仿宋" w:cs="仿宋"/>
          <w:sz w:val="32"/>
          <w:szCs w:val="32"/>
          <w:highlight w:val="none"/>
          <w:lang w:eastAsia="zh-CN"/>
        </w:rPr>
        <w:t>。</w:t>
      </w:r>
    </w:p>
    <w:p w14:paraId="09053F80">
      <w:pPr>
        <w:numPr>
          <w:ilvl w:val="0"/>
          <w:numId w:val="3"/>
        </w:numPr>
        <w:spacing w:before="285" w:line="222" w:lineRule="auto"/>
        <w:ind w:left="19" w:leftChars="0" w:firstLine="0" w:firstLineChars="0"/>
        <w:rPr>
          <w:rFonts w:ascii="黑体" w:hAnsi="黑体" w:eastAsia="黑体" w:cs="黑体"/>
          <w:spacing w:val="2"/>
          <w:sz w:val="32"/>
          <w:szCs w:val="32"/>
        </w:rPr>
      </w:pPr>
      <w:r>
        <w:rPr>
          <w:rFonts w:ascii="黑体" w:hAnsi="黑体" w:eastAsia="黑体" w:cs="黑体"/>
          <w:spacing w:val="2"/>
          <w:sz w:val="32"/>
          <w:szCs w:val="32"/>
        </w:rPr>
        <w:t>社会保险基金预算支出情况</w:t>
      </w:r>
    </w:p>
    <w:p w14:paraId="4C88F12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18.21</w:t>
      </w:r>
      <w:r>
        <w:rPr>
          <w:rFonts w:hint="eastAsia" w:ascii="仿宋" w:hAnsi="仿宋" w:eastAsia="仿宋" w:cs="仿宋"/>
          <w:sz w:val="32"/>
          <w:szCs w:val="32"/>
          <w:highlight w:val="none"/>
        </w:rPr>
        <w:t>万元，卫生健康支出</w:t>
      </w:r>
      <w:r>
        <w:rPr>
          <w:rFonts w:hint="eastAsia" w:ascii="仿宋" w:hAnsi="仿宋" w:eastAsia="仿宋" w:cs="仿宋"/>
          <w:sz w:val="32"/>
          <w:szCs w:val="32"/>
          <w:highlight w:val="none"/>
          <w:lang w:val="en-US" w:eastAsia="zh-CN"/>
        </w:rPr>
        <w:t>3.23</w:t>
      </w:r>
      <w:r>
        <w:rPr>
          <w:rFonts w:hint="eastAsia" w:ascii="仿宋" w:hAnsi="仿宋" w:eastAsia="仿宋" w:cs="仿宋"/>
          <w:sz w:val="32"/>
          <w:szCs w:val="32"/>
          <w:highlight w:val="none"/>
        </w:rPr>
        <w:t>万元，住房保障支出6.</w:t>
      </w:r>
      <w:r>
        <w:rPr>
          <w:rFonts w:hint="eastAsia" w:ascii="仿宋" w:hAnsi="仿宋" w:eastAsia="仿宋" w:cs="仿宋"/>
          <w:sz w:val="32"/>
          <w:szCs w:val="32"/>
          <w:highlight w:val="none"/>
          <w:lang w:val="en-US" w:eastAsia="zh-CN"/>
        </w:rPr>
        <w:t>04</w:t>
      </w:r>
      <w:r>
        <w:rPr>
          <w:rFonts w:hint="eastAsia" w:ascii="仿宋" w:hAnsi="仿宋" w:eastAsia="仿宋" w:cs="仿宋"/>
          <w:sz w:val="32"/>
          <w:szCs w:val="32"/>
          <w:highlight w:val="none"/>
        </w:rPr>
        <w:t>万元。</w:t>
      </w:r>
    </w:p>
    <w:p w14:paraId="66803CC6">
      <w:pPr>
        <w:numPr>
          <w:ilvl w:val="0"/>
          <w:numId w:val="3"/>
        </w:numPr>
        <w:spacing w:before="254" w:line="221" w:lineRule="auto"/>
        <w:ind w:left="19" w:leftChars="0" w:firstLine="0" w:firstLineChars="0"/>
        <w:rPr>
          <w:rFonts w:ascii="黑体" w:hAnsi="黑体" w:eastAsia="黑体" w:cs="黑体"/>
          <w:spacing w:val="3"/>
          <w:sz w:val="32"/>
          <w:szCs w:val="32"/>
        </w:rPr>
      </w:pPr>
      <w:r>
        <w:rPr>
          <w:rFonts w:ascii="黑体" w:hAnsi="黑体" w:eastAsia="黑体" w:cs="黑体"/>
          <w:spacing w:val="3"/>
          <w:sz w:val="32"/>
          <w:szCs w:val="32"/>
        </w:rPr>
        <w:t>单位整体支出绩效情况</w:t>
      </w:r>
    </w:p>
    <w:p w14:paraId="210A23F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目前我中心共完成了公安的涉案认定案件950起（其中楼区公安分局完成780余起、经开区公安分局170余起），涉及金额600余万元。</w:t>
      </w:r>
    </w:p>
    <w:p w14:paraId="0B8EE71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中心严格恪守价格认定行为和技术规范，把依法认定贯穿到认定事项的全过程，切实做好全环节的风险控制。一是受理程序环节，完善委托手续，详述委托事项，对不符合受理条件的坚决不予受理。二是实物勘验环节。坚持履行查验程序，遵照程序进行地毯式的纪录，确保无遗漏。三是市场调查环节，确保基础资料的公正性和客观性。四是价格测算环节，科学合理地选用认定方法，注重计算结果与价格定义保持一致。五是出具结论环节，反复审核程序及测算有无违规及论证失误等行为。</w:t>
      </w:r>
    </w:p>
    <w:p w14:paraId="4D479E51">
      <w:pPr>
        <w:numPr>
          <w:ilvl w:val="0"/>
          <w:numId w:val="3"/>
        </w:numPr>
        <w:spacing w:before="168" w:line="222" w:lineRule="auto"/>
        <w:ind w:left="19" w:leftChars="0" w:firstLine="0" w:firstLineChars="0"/>
        <w:rPr>
          <w:rFonts w:ascii="黑体" w:hAnsi="黑体" w:eastAsia="黑体" w:cs="黑体"/>
          <w:spacing w:val="6"/>
          <w:sz w:val="32"/>
          <w:szCs w:val="32"/>
        </w:rPr>
      </w:pPr>
      <w:r>
        <w:rPr>
          <w:rFonts w:ascii="黑体" w:hAnsi="黑体" w:eastAsia="黑体" w:cs="黑体"/>
          <w:spacing w:val="6"/>
          <w:sz w:val="32"/>
          <w:szCs w:val="32"/>
        </w:rPr>
        <w:t>存在的问题及原因分析</w:t>
      </w:r>
    </w:p>
    <w:p w14:paraId="78B632D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1、专业人员的缺乏，后备力量不够。中心现有工作人员4人，都是工作十几年以上的老员工，有两人马上面临退休，后备力量缺乏严重。</w:t>
      </w:r>
    </w:p>
    <w:p w14:paraId="3F61B0E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2、案件采价工作难度大，很多厂家、商户对我们的电话询价不配合，现场询价不支持，有很多价格调查起来难度很大。</w:t>
      </w:r>
    </w:p>
    <w:p w14:paraId="635B570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3、档案管理存在一定的缺陷，离文件的要求还有一定的距离。</w:t>
      </w:r>
    </w:p>
    <w:p w14:paraId="63DC0DC9">
      <w:pPr>
        <w:spacing w:before="305" w:line="222" w:lineRule="auto"/>
        <w:ind w:left="19"/>
        <w:rPr>
          <w:rFonts w:ascii="黑体" w:hAnsi="黑体" w:eastAsia="黑体" w:cs="黑体"/>
          <w:spacing w:val="4"/>
          <w:sz w:val="32"/>
          <w:szCs w:val="32"/>
        </w:rPr>
      </w:pPr>
      <w:r>
        <w:rPr>
          <w:rFonts w:ascii="黑体" w:hAnsi="黑体" w:eastAsia="黑体" w:cs="黑体"/>
          <w:spacing w:val="4"/>
          <w:sz w:val="32"/>
          <w:szCs w:val="32"/>
        </w:rPr>
        <w:t>八、下一步改进措施、工作建议</w:t>
      </w:r>
    </w:p>
    <w:p w14:paraId="5BED329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积极认真的抓好各种学习，提高团队的专业素养。（1）、安排工作人员参加各种价格认定知识培训课程和活动，提高工作人员的知识水平，丰富知识结构，确保可以将所学的内容科学运用到实际工作中；（2）、加强价格认定业务平台的学习和实践，从点到面，以练代训，用真实案例进行上机操练，在实际操作中发现难点问题，确保中心人员能够熟练掌握和应用平台系统操作。（3）、开展价格纠纷调解业务培训工作，今年已组织参加一次价格纠纷调解业务培训，基本了解价格纠纷调解业务流程和内容，为下一步配合全市法院价格纠纷调解打下了基础。</w:t>
      </w:r>
    </w:p>
    <w:p w14:paraId="312FC88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2、完善价格认定的程序，协助好各执法部门及行政部门的价格认定工作，以涉案价格认定工作为重点，严要求、严标准，公正、客观做好价格认定工作。</w:t>
      </w:r>
    </w:p>
    <w:p w14:paraId="69C6E21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3、加强队伍管理，抓好作风纪律，严格考勤制度，明确重大疑难案件集体审议制度、学习制度、文档管理制度、廉政勤政制度等，全面提高办案质量。</w:t>
      </w:r>
    </w:p>
    <w:p w14:paraId="0B212236">
      <w:pPr>
        <w:spacing w:before="144" w:line="221" w:lineRule="auto"/>
        <w:ind w:left="19"/>
        <w:rPr>
          <w:rFonts w:ascii="黑体" w:hAnsi="黑体" w:eastAsia="黑体" w:cs="黑体"/>
          <w:spacing w:val="5"/>
          <w:sz w:val="32"/>
          <w:szCs w:val="32"/>
        </w:rPr>
      </w:pPr>
      <w:r>
        <w:rPr>
          <w:rFonts w:ascii="黑体" w:hAnsi="黑体" w:eastAsia="黑体" w:cs="黑体"/>
          <w:spacing w:val="5"/>
          <w:sz w:val="32"/>
          <w:szCs w:val="32"/>
        </w:rPr>
        <w:t>九、单位整体支出绩效自评结果拟应用和公开情况</w:t>
      </w:r>
    </w:p>
    <w:p w14:paraId="06782E8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 w:hAnsi="仿宋" w:eastAsia="仿宋" w:cs="仿宋"/>
          <w:spacing w:val="5"/>
          <w:sz w:val="32"/>
          <w:szCs w:val="32"/>
          <w:lang w:val="en-US" w:eastAsia="zh-CN"/>
        </w:rPr>
      </w:pPr>
      <w:r>
        <w:rPr>
          <w:rFonts w:hint="eastAsia" w:ascii="仿宋" w:hAnsi="仿宋" w:eastAsia="仿宋" w:cs="仿宋"/>
          <w:sz w:val="32"/>
          <w:szCs w:val="32"/>
          <w:highlight w:val="none"/>
        </w:rPr>
        <w:t>已按相关要求及时进行预决算公开及整体支出绩效自评的公开。</w:t>
      </w:r>
    </w:p>
    <w:p w14:paraId="40E98F13">
      <w:pPr>
        <w:spacing w:before="337" w:line="221" w:lineRule="auto"/>
        <w:ind w:left="19"/>
        <w:rPr>
          <w:rFonts w:ascii="黑体" w:hAnsi="黑体" w:eastAsia="黑体" w:cs="黑体"/>
          <w:sz w:val="32"/>
          <w:szCs w:val="32"/>
        </w:rPr>
      </w:pPr>
      <w:r>
        <w:rPr>
          <w:rFonts w:ascii="黑体" w:hAnsi="黑体" w:eastAsia="黑体" w:cs="黑体"/>
          <w:spacing w:val="-11"/>
          <w:sz w:val="32"/>
          <w:szCs w:val="32"/>
        </w:rPr>
        <w:t>十、</w:t>
      </w:r>
      <w:r>
        <w:rPr>
          <w:rFonts w:ascii="黑体" w:hAnsi="黑体" w:eastAsia="黑体" w:cs="黑体"/>
          <w:spacing w:val="-54"/>
          <w:sz w:val="32"/>
          <w:szCs w:val="32"/>
        </w:rPr>
        <w:t xml:space="preserve"> </w:t>
      </w:r>
      <w:r>
        <w:rPr>
          <w:rFonts w:ascii="黑体" w:hAnsi="黑体" w:eastAsia="黑体" w:cs="黑体"/>
          <w:spacing w:val="-11"/>
          <w:sz w:val="32"/>
          <w:szCs w:val="32"/>
        </w:rPr>
        <w:t>其他需要说明的情况</w:t>
      </w:r>
    </w:p>
    <w:p w14:paraId="6C891D94">
      <w:pPr>
        <w:pStyle w:val="3"/>
        <w:spacing w:line="427" w:lineRule="auto"/>
        <w:ind w:firstLine="640" w:firstLineChars="200"/>
      </w:pPr>
      <w:r>
        <w:rPr>
          <w:rFonts w:hint="eastAsia" w:ascii="仿宋" w:hAnsi="仿宋" w:eastAsia="仿宋" w:cs="仿宋"/>
          <w:snapToGrid w:val="0"/>
          <w:color w:val="000000"/>
          <w:kern w:val="0"/>
          <w:sz w:val="32"/>
          <w:szCs w:val="32"/>
          <w:highlight w:val="none"/>
          <w:lang w:val="en-US" w:eastAsia="zh-CN" w:bidi="ar-SA"/>
        </w:rPr>
        <w:t>无。</w:t>
      </w:r>
    </w:p>
    <w:sectPr>
      <w:headerReference r:id="rId6" w:type="default"/>
      <w:footerReference r:id="rId7" w:type="default"/>
      <w:pgSz w:w="11900" w:h="16830"/>
      <w:pgMar w:top="1440" w:right="1800" w:bottom="1440" w:left="1800" w:header="0"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B8BC">
    <w:pPr>
      <w:spacing w:before="1" w:line="233" w:lineRule="auto"/>
      <w:ind w:left="7405"/>
      <w:rPr>
        <w:rFonts w:ascii="宋体" w:hAnsi="宋体" w:eastAsia="宋体" w:cs="宋体"/>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74341">
    <w:pPr>
      <w:spacing w:before="1" w:line="233" w:lineRule="auto"/>
      <w:ind w:left="195"/>
      <w:rPr>
        <w:rFonts w:ascii="宋体" w:hAnsi="宋体" w:eastAsia="宋体" w:cs="宋体"/>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3F43">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88258C"/>
    <w:multiLevelType w:val="singleLevel"/>
    <w:tmpl w:val="CF88258C"/>
    <w:lvl w:ilvl="0" w:tentative="0">
      <w:start w:val="1"/>
      <w:numFmt w:val="chineseCounting"/>
      <w:suff w:val="nothing"/>
      <w:lvlText w:val="%1、"/>
      <w:lvlJc w:val="left"/>
      <w:rPr>
        <w:rFonts w:hint="eastAsia"/>
      </w:rPr>
    </w:lvl>
  </w:abstractNum>
  <w:abstractNum w:abstractNumId="1">
    <w:nsid w:val="0BD7BB02"/>
    <w:multiLevelType w:val="singleLevel"/>
    <w:tmpl w:val="0BD7BB02"/>
    <w:lvl w:ilvl="0" w:tentative="0">
      <w:start w:val="4"/>
      <w:numFmt w:val="chineseCounting"/>
      <w:suff w:val="nothing"/>
      <w:lvlText w:val="%1、"/>
      <w:lvlJc w:val="left"/>
      <w:rPr>
        <w:rFonts w:hint="eastAsia"/>
      </w:rPr>
    </w:lvl>
  </w:abstractNum>
  <w:abstractNum w:abstractNumId="2">
    <w:nsid w:val="719CC419"/>
    <w:multiLevelType w:val="singleLevel"/>
    <w:tmpl w:val="719CC419"/>
    <w:lvl w:ilvl="0" w:tentative="0">
      <w:start w:val="2"/>
      <w:numFmt w:val="chineseCounting"/>
      <w:lvlText w:val="(%1)"/>
      <w:lvlJc w:val="left"/>
      <w:pPr>
        <w:tabs>
          <w:tab w:val="left" w:pos="312"/>
        </w:tabs>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D72607"/>
    <w:rsid w:val="05243941"/>
    <w:rsid w:val="069E5BE2"/>
    <w:rsid w:val="12B5207C"/>
    <w:rsid w:val="1BE56BB6"/>
    <w:rsid w:val="1C3F328E"/>
    <w:rsid w:val="225D5FDF"/>
    <w:rsid w:val="28C57DD5"/>
    <w:rsid w:val="2D330851"/>
    <w:rsid w:val="30AD3357"/>
    <w:rsid w:val="359D0A22"/>
    <w:rsid w:val="36747AE9"/>
    <w:rsid w:val="3885478D"/>
    <w:rsid w:val="3A922B1F"/>
    <w:rsid w:val="4C6E23DB"/>
    <w:rsid w:val="565A053D"/>
    <w:rsid w:val="56B817EA"/>
    <w:rsid w:val="5A9D30EE"/>
    <w:rsid w:val="62CD2C4C"/>
    <w:rsid w:val="66F978FF"/>
    <w:rsid w:val="67B22635"/>
    <w:rsid w:val="67DF6B55"/>
    <w:rsid w:val="681A5D7E"/>
    <w:rsid w:val="6E427DDD"/>
    <w:rsid w:val="75250AA7"/>
    <w:rsid w:val="7B4038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paragraph" w:customStyle="1" w:styleId="9">
    <w:name w:val="正文1"/>
    <w:basedOn w:val="1"/>
    <w:qFormat/>
    <w:uiPriority w:val="0"/>
    <w:pPr>
      <w:widowControl/>
    </w:pPr>
    <w:rPr>
      <w:rFonts w:ascii="Times New Roman" w:hAnsi="Times New Roman" w:eastAsia="Times New Roman" w:cs="Times New Roman"/>
      <w:kern w:val="0"/>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1014</Words>
  <Characters>1219</Characters>
  <TotalTime>7</TotalTime>
  <ScaleCrop>false</ScaleCrop>
  <LinksUpToDate>false</LinksUpToDate>
  <CharactersWithSpaces>1400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2025-06-30T16:55:00Z</dcterms:created>
  <dc:creator>Administrator</dc:creator>
  <cp:lastModifiedBy>烟雨胡同</cp:lastModifiedBy>
  <dcterms:modified xsi:type="dcterms:W3CDTF">2026-08-06T09:12:37Z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2025-06-30T16:55:36Z</vt:filetime>
  </property>
  <property fmtid="{D5CDD505-2E9C-101B-9397-08002B2CF9AE}" pid="4" name="UsrData">
    <vt:lpwstr>686251064feef9001f700a84wl</vt:lpwstr>
  </property>
  <property fmtid="{D5CDD505-2E9C-101B-9397-08002B2CF9AE}" pid="5" name="KSOTemplateDocerSaveRecord">
    <vt:lpwstr>eyJoZGlkIjoiZWFkMzQ0MzRlNzcyNjcwMGM5NjNmNDc2MTJiNzBhYzgiLCJ1c2VySWQiOiI0MTIxMDY5NjYifQ==</vt:lpwstr>
  </property>
  <property fmtid="{D5CDD505-2E9C-101B-9397-08002B2CF9AE}" pid="6" name="KSOProductBuildVer">
    <vt:lpwstr>2052-12.1.0.28043</vt:lpwstr>
  </property>
  <property fmtid="{D5CDD505-2E9C-101B-9397-08002B2CF9AE}" pid="7" name="ICV">
    <vt:lpwstr>086BB72D577C49B8BC4F026C013D4E86_13</vt:lpwstr>
  </property>
</Properties>
</file>