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D6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1</w:t>
      </w:r>
    </w:p>
    <w:p w14:paraId="08F970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整体支出绩效评价基础数据表</w:t>
      </w:r>
    </w:p>
    <w:p w14:paraId="5792B753">
      <w:pPr>
        <w:spacing w:line="115" w:lineRule="exact"/>
        <w:rPr>
          <w:color w:val="000000"/>
        </w:rPr>
      </w:pPr>
    </w:p>
    <w:tbl>
      <w:tblPr>
        <w:tblStyle w:val="9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14"/>
        <w:gridCol w:w="881"/>
        <w:gridCol w:w="869"/>
      </w:tblGrid>
      <w:tr w14:paraId="31A71C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vAlign w:val="center"/>
          </w:tcPr>
          <w:p w14:paraId="008B8832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名称</w:t>
            </w:r>
          </w:p>
        </w:tc>
        <w:tc>
          <w:tcPr>
            <w:tcW w:w="5819" w:type="dxa"/>
            <w:gridSpan w:val="6"/>
            <w:vAlign w:val="top"/>
          </w:tcPr>
          <w:p w14:paraId="3AB9C898">
            <w:pPr>
              <w:spacing w:before="103" w:line="219" w:lineRule="auto"/>
              <w:ind w:left="708"/>
              <w:rPr>
                <w:rFonts w:hint="default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  <w:t>岳阳市岳阳楼区发展和改革局</w:t>
            </w:r>
          </w:p>
        </w:tc>
      </w:tr>
      <w:tr w14:paraId="136CD5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vAlign w:val="top"/>
          </w:tcPr>
          <w:p w14:paraId="005D76E8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财政供养人员情况(人)</w:t>
            </w:r>
          </w:p>
        </w:tc>
        <w:tc>
          <w:tcPr>
            <w:tcW w:w="1815" w:type="dxa"/>
            <w:gridSpan w:val="2"/>
            <w:vAlign w:val="top"/>
          </w:tcPr>
          <w:p w14:paraId="5E375130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4"/>
                <w:szCs w:val="24"/>
              </w:rPr>
              <w:t>编制数</w:t>
            </w:r>
          </w:p>
        </w:tc>
        <w:tc>
          <w:tcPr>
            <w:tcW w:w="2254" w:type="dxa"/>
            <w:gridSpan w:val="2"/>
            <w:vAlign w:val="top"/>
          </w:tcPr>
          <w:p w14:paraId="3859EA9C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年实际在职人数</w:t>
            </w:r>
          </w:p>
        </w:tc>
        <w:tc>
          <w:tcPr>
            <w:tcW w:w="1750" w:type="dxa"/>
            <w:gridSpan w:val="2"/>
            <w:vAlign w:val="top"/>
          </w:tcPr>
          <w:p w14:paraId="741EA9D3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控制率</w:t>
            </w:r>
          </w:p>
        </w:tc>
      </w:tr>
      <w:tr w14:paraId="4B424C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vAlign w:val="top"/>
          </w:tcPr>
          <w:p w14:paraId="6ABC2FFB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4AB54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2254" w:type="dxa"/>
            <w:gridSpan w:val="2"/>
            <w:vAlign w:val="center"/>
          </w:tcPr>
          <w:p w14:paraId="1C536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1750" w:type="dxa"/>
            <w:gridSpan w:val="2"/>
            <w:vAlign w:val="center"/>
          </w:tcPr>
          <w:p w14:paraId="3CE81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100.00%</w:t>
            </w:r>
          </w:p>
        </w:tc>
      </w:tr>
      <w:tr w14:paraId="6852B1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vAlign w:val="top"/>
          </w:tcPr>
          <w:p w14:paraId="6B6E3106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</w:rPr>
              <w:t>经费控制情况(万元)</w:t>
            </w:r>
          </w:p>
        </w:tc>
        <w:tc>
          <w:tcPr>
            <w:tcW w:w="1815" w:type="dxa"/>
            <w:gridSpan w:val="2"/>
            <w:vAlign w:val="top"/>
          </w:tcPr>
          <w:p w14:paraId="33ED3BAA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年决算数</w:t>
            </w:r>
          </w:p>
        </w:tc>
        <w:tc>
          <w:tcPr>
            <w:tcW w:w="2254" w:type="dxa"/>
            <w:gridSpan w:val="2"/>
            <w:vAlign w:val="top"/>
          </w:tcPr>
          <w:p w14:paraId="33A961F6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年预算数</w:t>
            </w:r>
          </w:p>
        </w:tc>
        <w:tc>
          <w:tcPr>
            <w:tcW w:w="1750" w:type="dxa"/>
            <w:gridSpan w:val="2"/>
            <w:vAlign w:val="top"/>
          </w:tcPr>
          <w:p w14:paraId="080992E9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年决算数</w:t>
            </w:r>
          </w:p>
        </w:tc>
      </w:tr>
      <w:tr w14:paraId="151BD4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21F71C01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三公经费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3B563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254" w:type="dxa"/>
            <w:gridSpan w:val="2"/>
            <w:vAlign w:val="center"/>
          </w:tcPr>
          <w:p w14:paraId="4F71E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750" w:type="dxa"/>
            <w:gridSpan w:val="2"/>
            <w:vAlign w:val="center"/>
          </w:tcPr>
          <w:p w14:paraId="3C548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2E741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Align w:val="top"/>
          </w:tcPr>
          <w:p w14:paraId="5101F114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1、公务用车购置和维护经费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1E487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2FC72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25C7E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9B93D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11EFB6D0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其中：公车购置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65312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00B9A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01540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E7456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vAlign w:val="top"/>
          </w:tcPr>
          <w:p w14:paraId="08786AB0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公车运行维护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68F12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30131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7780B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FBFE9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vAlign w:val="top"/>
          </w:tcPr>
          <w:p w14:paraId="63437E31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2、出国经费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34D0E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719A0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5B8B1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5A4E1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Align w:val="top"/>
          </w:tcPr>
          <w:p w14:paraId="64FF79D5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3、公务接待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3910D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6E1F5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35853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CDAF5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850" w:type="dxa"/>
            <w:vAlign w:val="top"/>
          </w:tcPr>
          <w:p w14:paraId="4FE8C5FC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4"/>
                <w:szCs w:val="24"/>
              </w:rPr>
              <w:t>项目支出：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579CB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462.96</w:t>
            </w:r>
          </w:p>
        </w:tc>
        <w:tc>
          <w:tcPr>
            <w:tcW w:w="2254" w:type="dxa"/>
            <w:gridSpan w:val="2"/>
            <w:vAlign w:val="center"/>
          </w:tcPr>
          <w:p w14:paraId="1094E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256</w:t>
            </w:r>
          </w:p>
        </w:tc>
        <w:tc>
          <w:tcPr>
            <w:tcW w:w="1750" w:type="dxa"/>
            <w:gridSpan w:val="2"/>
            <w:vAlign w:val="center"/>
          </w:tcPr>
          <w:p w14:paraId="783FF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801.78</w:t>
            </w:r>
          </w:p>
        </w:tc>
      </w:tr>
      <w:tr w14:paraId="1C254E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Align w:val="top"/>
          </w:tcPr>
          <w:p w14:paraId="6867F6C1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1、业务工作经费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134EE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462.96</w:t>
            </w:r>
          </w:p>
        </w:tc>
        <w:tc>
          <w:tcPr>
            <w:tcW w:w="2254" w:type="dxa"/>
            <w:gridSpan w:val="2"/>
            <w:vAlign w:val="center"/>
          </w:tcPr>
          <w:p w14:paraId="4FC60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256</w:t>
            </w:r>
          </w:p>
        </w:tc>
        <w:tc>
          <w:tcPr>
            <w:tcW w:w="1750" w:type="dxa"/>
            <w:gridSpan w:val="2"/>
            <w:vAlign w:val="center"/>
          </w:tcPr>
          <w:p w14:paraId="1F33F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801.78</w:t>
            </w:r>
          </w:p>
        </w:tc>
      </w:tr>
      <w:tr w14:paraId="6CD1B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vAlign w:val="top"/>
          </w:tcPr>
          <w:p w14:paraId="5E6309A5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2、运行维护经费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456EE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549EA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29FB0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30136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vAlign w:val="top"/>
          </w:tcPr>
          <w:p w14:paraId="12542511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  <w:lang w:val="en-US" w:eastAsia="zh-CN"/>
              </w:rPr>
              <w:t>本级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专项资金(一个专项一行)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6E2C2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0C5BB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4D077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37B444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Align w:val="top"/>
          </w:tcPr>
          <w:p w14:paraId="2963612F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537A4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100.63</w:t>
            </w:r>
          </w:p>
        </w:tc>
        <w:tc>
          <w:tcPr>
            <w:tcW w:w="2254" w:type="dxa"/>
            <w:gridSpan w:val="2"/>
            <w:vAlign w:val="center"/>
          </w:tcPr>
          <w:p w14:paraId="269A9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73.80</w:t>
            </w:r>
          </w:p>
        </w:tc>
        <w:tc>
          <w:tcPr>
            <w:tcW w:w="1750" w:type="dxa"/>
            <w:gridSpan w:val="2"/>
            <w:vAlign w:val="center"/>
          </w:tcPr>
          <w:p w14:paraId="6656F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131.91</w:t>
            </w:r>
          </w:p>
        </w:tc>
      </w:tr>
      <w:tr w14:paraId="109DDB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850" w:type="dxa"/>
            <w:vAlign w:val="top"/>
          </w:tcPr>
          <w:p w14:paraId="37E659AE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2F440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10.32</w:t>
            </w:r>
          </w:p>
        </w:tc>
        <w:tc>
          <w:tcPr>
            <w:tcW w:w="2254" w:type="dxa"/>
            <w:gridSpan w:val="2"/>
            <w:vAlign w:val="center"/>
          </w:tcPr>
          <w:p w14:paraId="56CE4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750" w:type="dxa"/>
            <w:gridSpan w:val="2"/>
            <w:vAlign w:val="center"/>
          </w:tcPr>
          <w:p w14:paraId="520D8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29.05</w:t>
            </w:r>
          </w:p>
        </w:tc>
      </w:tr>
      <w:tr w14:paraId="600166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Align w:val="top"/>
          </w:tcPr>
          <w:p w14:paraId="5A6980EC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145B4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67D7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17ACC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0.49</w:t>
            </w:r>
          </w:p>
        </w:tc>
      </w:tr>
      <w:tr w14:paraId="49C16D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Align w:val="top"/>
          </w:tcPr>
          <w:p w14:paraId="314647BA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569DD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2B9FD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16867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7DA0F4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Align w:val="top"/>
          </w:tcPr>
          <w:p w14:paraId="0ECFCA65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7C6EA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491.13</w:t>
            </w:r>
          </w:p>
        </w:tc>
        <w:tc>
          <w:tcPr>
            <w:tcW w:w="2254" w:type="dxa"/>
            <w:gridSpan w:val="2"/>
            <w:vAlign w:val="center"/>
          </w:tcPr>
          <w:p w14:paraId="117B7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329.80</w:t>
            </w:r>
          </w:p>
        </w:tc>
        <w:tc>
          <w:tcPr>
            <w:tcW w:w="1750" w:type="dxa"/>
            <w:gridSpan w:val="2"/>
            <w:vAlign w:val="center"/>
          </w:tcPr>
          <w:p w14:paraId="5563A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712.33</w:t>
            </w:r>
          </w:p>
        </w:tc>
      </w:tr>
      <w:tr w14:paraId="36133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1FDEE1A4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vAlign w:val="top"/>
          </w:tcPr>
          <w:p w14:paraId="5E549C57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gridSpan w:val="2"/>
            <w:vAlign w:val="top"/>
          </w:tcPr>
          <w:p w14:paraId="09E890F4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Align w:val="top"/>
          </w:tcPr>
          <w:p w14:paraId="1B64B7EF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8357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vAlign w:val="center"/>
          </w:tcPr>
          <w:p w14:paraId="154B5FF5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4"/>
                <w:szCs w:val="24"/>
              </w:rPr>
              <w:t>楼堂馆所控制情况</w:t>
            </w:r>
          </w:p>
          <w:p w14:paraId="72B05E1F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年完工项目)</w:t>
            </w:r>
          </w:p>
        </w:tc>
        <w:tc>
          <w:tcPr>
            <w:tcW w:w="825" w:type="dxa"/>
            <w:vAlign w:val="center"/>
          </w:tcPr>
          <w:p w14:paraId="18151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批复规模</w:t>
            </w:r>
          </w:p>
          <w:p w14:paraId="01AEB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(m²)</w:t>
            </w:r>
          </w:p>
        </w:tc>
        <w:tc>
          <w:tcPr>
            <w:tcW w:w="990" w:type="dxa"/>
            <w:vAlign w:val="center"/>
          </w:tcPr>
          <w:p w14:paraId="5FA60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实际规</w:t>
            </w:r>
          </w:p>
          <w:p w14:paraId="67EAA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模(m²)</w:t>
            </w:r>
          </w:p>
        </w:tc>
        <w:tc>
          <w:tcPr>
            <w:tcW w:w="1140" w:type="dxa"/>
            <w:vAlign w:val="center"/>
          </w:tcPr>
          <w:p w14:paraId="33CB9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规模控制率</w:t>
            </w:r>
          </w:p>
        </w:tc>
        <w:tc>
          <w:tcPr>
            <w:tcW w:w="1114" w:type="dxa"/>
            <w:vAlign w:val="center"/>
          </w:tcPr>
          <w:p w14:paraId="50DDF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预算投资</w:t>
            </w:r>
          </w:p>
          <w:p w14:paraId="119EA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81" w:type="dxa"/>
            <w:vAlign w:val="center"/>
          </w:tcPr>
          <w:p w14:paraId="73451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</w:t>
            </w:r>
          </w:p>
          <w:p w14:paraId="29E65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</w:t>
            </w:r>
          </w:p>
          <w:p w14:paraId="44090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69" w:type="dxa"/>
            <w:vAlign w:val="center"/>
          </w:tcPr>
          <w:p w14:paraId="60BF0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投资概</w:t>
            </w:r>
          </w:p>
          <w:p w14:paraId="74D35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算控制</w:t>
            </w:r>
          </w:p>
          <w:p w14:paraId="08B6E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率</w:t>
            </w:r>
          </w:p>
        </w:tc>
      </w:tr>
      <w:tr w14:paraId="118AE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vAlign w:val="top"/>
          </w:tcPr>
          <w:p w14:paraId="26AA7E31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vAlign w:val="top"/>
          </w:tcPr>
          <w:p w14:paraId="02268D98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990" w:type="dxa"/>
            <w:vAlign w:val="top"/>
          </w:tcPr>
          <w:p w14:paraId="6E26E96E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140" w:type="dxa"/>
            <w:vAlign w:val="top"/>
          </w:tcPr>
          <w:p w14:paraId="02A5B55D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114" w:type="dxa"/>
            <w:vAlign w:val="top"/>
          </w:tcPr>
          <w:p w14:paraId="66EEB18D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881" w:type="dxa"/>
            <w:vAlign w:val="top"/>
          </w:tcPr>
          <w:p w14:paraId="5A860F1D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869" w:type="dxa"/>
            <w:vAlign w:val="top"/>
          </w:tcPr>
          <w:p w14:paraId="20F00850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4E269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vAlign w:val="top"/>
          </w:tcPr>
          <w:p w14:paraId="1E706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厉行节约保障措施</w:t>
            </w:r>
          </w:p>
        </w:tc>
        <w:tc>
          <w:tcPr>
            <w:tcW w:w="5819" w:type="dxa"/>
            <w:gridSpan w:val="6"/>
            <w:vAlign w:val="top"/>
          </w:tcPr>
          <w:p w14:paraId="16A59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</w:tbl>
    <w:p w14:paraId="4EA03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AC41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</w:p>
    <w:p w14:paraId="2785A671">
      <w:pP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br w:type="page"/>
      </w:r>
    </w:p>
    <w:p w14:paraId="2536A7E2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2</w:t>
      </w:r>
    </w:p>
    <w:p w14:paraId="6EE35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 年度预算单位整体支出绩效自评表</w:t>
      </w:r>
    </w:p>
    <w:p w14:paraId="43A51A9F">
      <w:pPr>
        <w:spacing w:line="132" w:lineRule="exact"/>
      </w:pPr>
    </w:p>
    <w:tbl>
      <w:tblPr>
        <w:tblStyle w:val="9"/>
        <w:tblW w:w="100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944"/>
        <w:gridCol w:w="1053"/>
        <w:gridCol w:w="1580"/>
        <w:gridCol w:w="1212"/>
        <w:gridCol w:w="1286"/>
        <w:gridCol w:w="735"/>
        <w:gridCol w:w="739"/>
        <w:gridCol w:w="1450"/>
      </w:tblGrid>
      <w:tr w14:paraId="675D6E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081" w:type="dxa"/>
            <w:gridSpan w:val="3"/>
            <w:vAlign w:val="top"/>
          </w:tcPr>
          <w:p w14:paraId="18FA4BBC">
            <w:pPr>
              <w:spacing w:before="24" w:line="208" w:lineRule="auto"/>
              <w:ind w:left="120" w:firstLine="412" w:firstLineChars="20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预算单位名称</w:t>
            </w:r>
          </w:p>
        </w:tc>
        <w:tc>
          <w:tcPr>
            <w:tcW w:w="7002" w:type="dxa"/>
            <w:gridSpan w:val="6"/>
            <w:vAlign w:val="top"/>
          </w:tcPr>
          <w:p w14:paraId="79C329C0">
            <w:pPr>
              <w:pStyle w:val="10"/>
              <w:spacing w:line="239" w:lineRule="exact"/>
              <w:rPr>
                <w:rFonts w:hint="default" w:ascii="宋体" w:hAnsi="宋体" w:eastAsia="宋体" w:cs="宋体"/>
                <w:sz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  <w:t>岳阳市岳阳楼区发展和改革局</w:t>
            </w:r>
          </w:p>
        </w:tc>
      </w:tr>
      <w:tr w14:paraId="0762FB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7634EE08">
            <w:pPr>
              <w:pStyle w:val="10"/>
              <w:spacing w:line="467" w:lineRule="auto"/>
              <w:rPr>
                <w:rFonts w:hint="eastAsia" w:ascii="宋体" w:hAnsi="宋体" w:eastAsia="宋体" w:cs="宋体"/>
              </w:rPr>
            </w:pPr>
          </w:p>
          <w:p w14:paraId="0FD1FBEA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年度预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41"/>
                <w:sz w:val="19"/>
                <w:szCs w:val="19"/>
              </w:rPr>
              <w:t>算申请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（万元）</w:t>
            </w:r>
          </w:p>
        </w:tc>
        <w:tc>
          <w:tcPr>
            <w:tcW w:w="1997" w:type="dxa"/>
            <w:gridSpan w:val="2"/>
            <w:vAlign w:val="top"/>
          </w:tcPr>
          <w:p w14:paraId="58EA4AAC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580" w:type="dxa"/>
            <w:vAlign w:val="top"/>
          </w:tcPr>
          <w:p w14:paraId="3E65D92B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12" w:type="dxa"/>
            <w:vAlign w:val="top"/>
          </w:tcPr>
          <w:p w14:paraId="553A1ACB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6" w:type="dxa"/>
            <w:vAlign w:val="top"/>
          </w:tcPr>
          <w:p w14:paraId="5730BEE7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735" w:type="dxa"/>
            <w:vAlign w:val="top"/>
          </w:tcPr>
          <w:p w14:paraId="2C19FB74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739" w:type="dxa"/>
            <w:vAlign w:val="top"/>
          </w:tcPr>
          <w:p w14:paraId="6286AD48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50" w:type="dxa"/>
            <w:vAlign w:val="top"/>
          </w:tcPr>
          <w:p w14:paraId="337A5364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5BD7D5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0A0C447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997" w:type="dxa"/>
            <w:gridSpan w:val="2"/>
            <w:vAlign w:val="top"/>
          </w:tcPr>
          <w:p w14:paraId="1917B887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580" w:type="dxa"/>
            <w:vAlign w:val="center"/>
          </w:tcPr>
          <w:p w14:paraId="5247C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956.88</w:t>
            </w:r>
          </w:p>
        </w:tc>
        <w:tc>
          <w:tcPr>
            <w:tcW w:w="1212" w:type="dxa"/>
            <w:vAlign w:val="center"/>
          </w:tcPr>
          <w:p w14:paraId="122C9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1692.92</w:t>
            </w:r>
          </w:p>
        </w:tc>
        <w:tc>
          <w:tcPr>
            <w:tcW w:w="1286" w:type="dxa"/>
            <w:vAlign w:val="center"/>
          </w:tcPr>
          <w:p w14:paraId="3E29C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1638.62</w:t>
            </w:r>
          </w:p>
        </w:tc>
        <w:tc>
          <w:tcPr>
            <w:tcW w:w="735" w:type="dxa"/>
            <w:vAlign w:val="center"/>
          </w:tcPr>
          <w:p w14:paraId="7CE70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39" w:type="dxa"/>
            <w:vAlign w:val="center"/>
          </w:tcPr>
          <w:p w14:paraId="0A3E9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96.79%</w:t>
            </w:r>
          </w:p>
        </w:tc>
        <w:tc>
          <w:tcPr>
            <w:tcW w:w="1450" w:type="dxa"/>
            <w:vAlign w:val="center"/>
          </w:tcPr>
          <w:p w14:paraId="6CA57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9.68</w:t>
            </w:r>
          </w:p>
        </w:tc>
      </w:tr>
      <w:tr w14:paraId="7DA8A4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507F102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789" w:type="dxa"/>
            <w:gridSpan w:val="4"/>
            <w:vAlign w:val="top"/>
          </w:tcPr>
          <w:p w14:paraId="35DF4C56">
            <w:pPr>
              <w:spacing w:before="22" w:line="206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按收入性质分：</w:t>
            </w:r>
          </w:p>
        </w:tc>
        <w:tc>
          <w:tcPr>
            <w:tcW w:w="4210" w:type="dxa"/>
            <w:gridSpan w:val="4"/>
            <w:vAlign w:val="top"/>
          </w:tcPr>
          <w:p w14:paraId="7F8D184B">
            <w:pPr>
              <w:spacing w:before="22" w:line="206" w:lineRule="auto"/>
              <w:ind w:left="1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按支出性质分：</w:t>
            </w:r>
          </w:p>
        </w:tc>
      </w:tr>
      <w:tr w14:paraId="72B172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1155DF8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789" w:type="dxa"/>
            <w:gridSpan w:val="4"/>
            <w:vAlign w:val="top"/>
          </w:tcPr>
          <w:p w14:paraId="45BCAA16">
            <w:pPr>
              <w:spacing w:before="21" w:line="207" w:lineRule="auto"/>
              <w:ind w:left="312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其中：</w:t>
            </w:r>
            <w:r>
              <w:rPr>
                <w:rFonts w:hint="eastAsia" w:ascii="宋体" w:hAnsi="宋体" w:eastAsia="宋体" w:cs="宋体"/>
                <w:spacing w:val="24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一般公共预算：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  <w:highlight w:val="none"/>
                <w:lang w:val="en-US" w:eastAsia="zh-CN"/>
              </w:rPr>
              <w:t>1638.62</w:t>
            </w:r>
          </w:p>
        </w:tc>
        <w:tc>
          <w:tcPr>
            <w:tcW w:w="4210" w:type="dxa"/>
            <w:gridSpan w:val="4"/>
            <w:vAlign w:val="top"/>
          </w:tcPr>
          <w:p w14:paraId="29EEAD11">
            <w:pPr>
              <w:spacing w:before="21" w:line="207" w:lineRule="auto"/>
              <w:ind w:left="115" w:leftChars="0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其中：基本支出：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  <w:lang w:val="en-US" w:eastAsia="zh-CN"/>
              </w:rPr>
              <w:t>836.84</w:t>
            </w:r>
          </w:p>
        </w:tc>
      </w:tr>
      <w:tr w14:paraId="0462EB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52543CF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789" w:type="dxa"/>
            <w:gridSpan w:val="4"/>
            <w:vAlign w:val="top"/>
          </w:tcPr>
          <w:p w14:paraId="3475A9B0">
            <w:pPr>
              <w:spacing w:before="21" w:line="207" w:lineRule="auto"/>
              <w:ind w:left="9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政府性基金拨款：</w:t>
            </w:r>
          </w:p>
        </w:tc>
        <w:tc>
          <w:tcPr>
            <w:tcW w:w="4210" w:type="dxa"/>
            <w:gridSpan w:val="4"/>
            <w:vAlign w:val="top"/>
          </w:tcPr>
          <w:p w14:paraId="3A7DCA01">
            <w:pPr>
              <w:spacing w:before="21" w:line="207" w:lineRule="auto"/>
              <w:ind w:left="717" w:leftChars="0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项目支出：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  <w:lang w:val="en-US" w:eastAsia="zh-CN"/>
              </w:rPr>
              <w:t>801.78</w:t>
            </w:r>
          </w:p>
        </w:tc>
      </w:tr>
      <w:tr w14:paraId="67E036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735CA75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789" w:type="dxa"/>
            <w:gridSpan w:val="4"/>
            <w:vAlign w:val="top"/>
          </w:tcPr>
          <w:p w14:paraId="201C5C5D">
            <w:pPr>
              <w:spacing w:before="20" w:line="208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纳入专户管理的非税收入拨款：</w:t>
            </w:r>
          </w:p>
        </w:tc>
        <w:tc>
          <w:tcPr>
            <w:tcW w:w="4210" w:type="dxa"/>
            <w:gridSpan w:val="4"/>
            <w:vAlign w:val="top"/>
          </w:tcPr>
          <w:p w14:paraId="6172FD80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2BC674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00AEAAD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789" w:type="dxa"/>
            <w:gridSpan w:val="4"/>
            <w:vAlign w:val="top"/>
          </w:tcPr>
          <w:p w14:paraId="7A0742EA">
            <w:pPr>
              <w:spacing w:before="20" w:line="208" w:lineRule="auto"/>
              <w:ind w:left="1512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其他资金：</w:t>
            </w:r>
          </w:p>
        </w:tc>
        <w:tc>
          <w:tcPr>
            <w:tcW w:w="4210" w:type="dxa"/>
            <w:gridSpan w:val="4"/>
            <w:vAlign w:val="top"/>
          </w:tcPr>
          <w:p w14:paraId="492CC969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200CC0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577D2CE9">
            <w:pPr>
              <w:pStyle w:val="10"/>
              <w:spacing w:line="242" w:lineRule="auto"/>
              <w:rPr>
                <w:rFonts w:hint="eastAsia" w:ascii="宋体" w:hAnsi="宋体" w:eastAsia="宋体" w:cs="宋体"/>
              </w:rPr>
            </w:pPr>
          </w:p>
          <w:p w14:paraId="56827C23">
            <w:pPr>
              <w:pStyle w:val="10"/>
              <w:spacing w:line="243" w:lineRule="auto"/>
              <w:rPr>
                <w:rFonts w:hint="eastAsia" w:ascii="宋体" w:hAnsi="宋体" w:eastAsia="宋体" w:cs="宋体"/>
              </w:rPr>
            </w:pPr>
          </w:p>
          <w:p w14:paraId="551FB045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年度总体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789" w:type="dxa"/>
            <w:gridSpan w:val="4"/>
            <w:vAlign w:val="top"/>
          </w:tcPr>
          <w:p w14:paraId="02DD372D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10" w:type="dxa"/>
            <w:gridSpan w:val="4"/>
            <w:vAlign w:val="top"/>
          </w:tcPr>
          <w:p w14:paraId="1895CC64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0F9878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45CAEF4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789" w:type="dxa"/>
            <w:gridSpan w:val="4"/>
            <w:vAlign w:val="center"/>
          </w:tcPr>
          <w:p w14:paraId="2CA2C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任务1：按要求完成“十四五”规划纲要年度执行情况评估及年度发展计划编制：地区生产总值预计达到800亿元 。任务2：结合我区“十四五”总体规划，深入调研、积极对接，开展专项规划编制和重大课题研究工作：2024年完成课题3个；任务3：实现概算规范化管理及审核工作,2024年预计核减项目投资资金3亿；任务4：完成信用体系建设及维护管理；任务5：做好物流发展调度管理统计；任务6：认真完成固定资产投资统计。</w:t>
            </w:r>
          </w:p>
        </w:tc>
        <w:tc>
          <w:tcPr>
            <w:tcW w:w="4210" w:type="dxa"/>
            <w:gridSpan w:val="4"/>
            <w:vAlign w:val="center"/>
          </w:tcPr>
          <w:p w14:paraId="68748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年，全年预计实现地区生产总值828.4亿元、增长3%，固定资产投资预计完成176亿元、增长-8.8%；牵头实施产业培塑、改革攻坚、区域共进三大行动；全区共争取中央、省预算内资金、超长期特别国债、专项债等项目20个，总投资27.04亿元，争取资金12.69亿元；全区共审批办结项目146个，总投资50.82亿元；概算审核批复87个，核减金额3.26亿元；扎实推进信用体系建设，岳阳楼区信用工作平台共收集信息215468条，行政许可45268条，行政处罚1899条，完成信用修复51条，辖区内各银行已全部入驻“信易贷”平台；胥家桥综合物流园区累计吸引78家仓储、物流企业入驻，年内引进企业20家，园区城配中心和防疫应急物资储备库整体出租率约为70%；编制早期人防工程年度维护计划，制定事故应急预案，完成2处排污除渍工程前期手续，做好指挥通信车、警报设施及电台的保养和维护，完成人防宣教进社区、进机关、进学校活动。</w:t>
            </w:r>
          </w:p>
        </w:tc>
      </w:tr>
      <w:tr w14:paraId="12AC6B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49843BCF">
            <w:pPr>
              <w:pStyle w:val="10"/>
              <w:spacing w:line="364" w:lineRule="auto"/>
              <w:rPr>
                <w:rFonts w:hint="eastAsia" w:ascii="宋体" w:hAnsi="宋体" w:eastAsia="宋体" w:cs="宋体"/>
              </w:rPr>
            </w:pPr>
          </w:p>
          <w:p w14:paraId="137D3225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9"/>
                <w:sz w:val="19"/>
                <w:szCs w:val="19"/>
              </w:rPr>
              <w:t>绩效指标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414F2B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326523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top"/>
          </w:tcPr>
          <w:p w14:paraId="4FF86584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12" w:type="dxa"/>
            <w:vAlign w:val="top"/>
          </w:tcPr>
          <w:p w14:paraId="49767603">
            <w:pPr>
              <w:spacing w:before="141" w:line="226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年度指标值</w:t>
            </w:r>
          </w:p>
        </w:tc>
        <w:tc>
          <w:tcPr>
            <w:tcW w:w="1286" w:type="dxa"/>
            <w:vAlign w:val="top"/>
          </w:tcPr>
          <w:p w14:paraId="54429491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实际完成值</w:t>
            </w:r>
          </w:p>
        </w:tc>
        <w:tc>
          <w:tcPr>
            <w:tcW w:w="735" w:type="dxa"/>
            <w:vAlign w:val="top"/>
          </w:tcPr>
          <w:p w14:paraId="36EBB5C9">
            <w:pPr>
              <w:spacing w:before="141" w:line="227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739" w:type="dxa"/>
            <w:vAlign w:val="top"/>
          </w:tcPr>
          <w:p w14:paraId="60CCFA84">
            <w:pPr>
              <w:spacing w:before="174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9"/>
                <w:sz w:val="16"/>
                <w:szCs w:val="16"/>
              </w:rPr>
              <w:t>自评得分</w:t>
            </w:r>
          </w:p>
        </w:tc>
        <w:tc>
          <w:tcPr>
            <w:tcW w:w="1450" w:type="dxa"/>
            <w:vAlign w:val="top"/>
          </w:tcPr>
          <w:p w14:paraId="4A7EF8ED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偏差原因</w:t>
            </w:r>
            <w:r>
              <w:rPr>
                <w:rFonts w:hint="eastAsia" w:ascii="宋体" w:hAnsi="宋体" w:cs="宋体"/>
                <w:spacing w:val="13"/>
                <w:sz w:val="19"/>
                <w:szCs w:val="19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析</w:t>
            </w: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及改进措施</w:t>
            </w:r>
          </w:p>
        </w:tc>
      </w:tr>
      <w:tr w14:paraId="493F98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772A401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31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9D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1986C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项目概算审核</w:t>
            </w:r>
          </w:p>
        </w:tc>
        <w:tc>
          <w:tcPr>
            <w:tcW w:w="1212" w:type="dxa"/>
            <w:vAlign w:val="center"/>
          </w:tcPr>
          <w:p w14:paraId="48B94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286" w:type="dxa"/>
            <w:vAlign w:val="center"/>
          </w:tcPr>
          <w:p w14:paraId="1681B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735" w:type="dxa"/>
            <w:vAlign w:val="center"/>
          </w:tcPr>
          <w:p w14:paraId="01C17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39" w:type="dxa"/>
            <w:vAlign w:val="center"/>
          </w:tcPr>
          <w:p w14:paraId="622D6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vAlign w:val="center"/>
          </w:tcPr>
          <w:p w14:paraId="34442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0E936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29D9246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993B2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3514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71068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课题研究</w:t>
            </w:r>
          </w:p>
        </w:tc>
        <w:tc>
          <w:tcPr>
            <w:tcW w:w="1212" w:type="dxa"/>
            <w:vAlign w:val="center"/>
          </w:tcPr>
          <w:p w14:paraId="37D4B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86" w:type="dxa"/>
            <w:vAlign w:val="center"/>
          </w:tcPr>
          <w:p w14:paraId="396DE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5675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6FB30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vAlign w:val="center"/>
          </w:tcPr>
          <w:p w14:paraId="30B6B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33A95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1CFB14D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6179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65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41742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项目概算审核合规率</w:t>
            </w:r>
          </w:p>
        </w:tc>
        <w:tc>
          <w:tcPr>
            <w:tcW w:w="1212" w:type="dxa"/>
            <w:vAlign w:val="center"/>
          </w:tcPr>
          <w:p w14:paraId="506BC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286" w:type="dxa"/>
            <w:vAlign w:val="center"/>
          </w:tcPr>
          <w:p w14:paraId="73EF1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278E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31F62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vAlign w:val="center"/>
          </w:tcPr>
          <w:p w14:paraId="5EADC4F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0B617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20C1E07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329DB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5C448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6CDB9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经费支出合规性</w:t>
            </w:r>
          </w:p>
        </w:tc>
        <w:tc>
          <w:tcPr>
            <w:tcW w:w="1212" w:type="dxa"/>
            <w:vAlign w:val="center"/>
          </w:tcPr>
          <w:p w14:paraId="00E1E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资金使用合规</w:t>
            </w:r>
          </w:p>
        </w:tc>
        <w:tc>
          <w:tcPr>
            <w:tcW w:w="1286" w:type="dxa"/>
            <w:vAlign w:val="center"/>
          </w:tcPr>
          <w:p w14:paraId="79F2C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7652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26D38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vAlign w:val="center"/>
          </w:tcPr>
          <w:p w14:paraId="110BCCF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EE4F5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3687094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3F7D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D1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2DCCA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完成及时率</w:t>
            </w:r>
          </w:p>
        </w:tc>
        <w:tc>
          <w:tcPr>
            <w:tcW w:w="1212" w:type="dxa"/>
            <w:vAlign w:val="center"/>
          </w:tcPr>
          <w:p w14:paraId="0646C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286" w:type="dxa"/>
            <w:vAlign w:val="center"/>
          </w:tcPr>
          <w:p w14:paraId="64939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59C9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1C068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4FAC28F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76A85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1D1A371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E4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0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D7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6CA8D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推动经济发展</w:t>
            </w:r>
          </w:p>
        </w:tc>
        <w:tc>
          <w:tcPr>
            <w:tcW w:w="1212" w:type="dxa"/>
            <w:vAlign w:val="center"/>
          </w:tcPr>
          <w:p w14:paraId="5AFD5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保障工作顺利开展，推动我区建设进度，年内有重大进展，为经济发展增添后劲</w:t>
            </w:r>
          </w:p>
        </w:tc>
        <w:tc>
          <w:tcPr>
            <w:tcW w:w="1286" w:type="dxa"/>
            <w:vAlign w:val="center"/>
          </w:tcPr>
          <w:p w14:paraId="4B685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有所推进</w:t>
            </w:r>
          </w:p>
        </w:tc>
        <w:tc>
          <w:tcPr>
            <w:tcW w:w="735" w:type="dxa"/>
            <w:vAlign w:val="center"/>
          </w:tcPr>
          <w:p w14:paraId="6A385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vAlign w:val="center"/>
          </w:tcPr>
          <w:p w14:paraId="02BBB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2B67DDA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4D6C4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6CAD2B8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92CEF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68E7C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3994C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产业结构调整加速</w:t>
            </w:r>
          </w:p>
        </w:tc>
        <w:tc>
          <w:tcPr>
            <w:tcW w:w="1212" w:type="dxa"/>
            <w:vAlign w:val="center"/>
          </w:tcPr>
          <w:p w14:paraId="14E7A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全区产业结构调整，保障经济高质量发展</w:t>
            </w:r>
          </w:p>
        </w:tc>
        <w:tc>
          <w:tcPr>
            <w:tcW w:w="1286" w:type="dxa"/>
            <w:vAlign w:val="center"/>
          </w:tcPr>
          <w:p w14:paraId="6529D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有所保障</w:t>
            </w:r>
          </w:p>
        </w:tc>
        <w:tc>
          <w:tcPr>
            <w:tcW w:w="735" w:type="dxa"/>
            <w:vAlign w:val="center"/>
          </w:tcPr>
          <w:p w14:paraId="365AD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vAlign w:val="center"/>
          </w:tcPr>
          <w:p w14:paraId="3731F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2777F1D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669AD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59C7FA1C">
            <w:pPr>
              <w:jc w:val="center"/>
            </w:pPr>
          </w:p>
        </w:tc>
        <w:tc>
          <w:tcPr>
            <w:tcW w:w="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C10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28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09E81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规划水平上升</w:t>
            </w:r>
          </w:p>
        </w:tc>
        <w:tc>
          <w:tcPr>
            <w:tcW w:w="1212" w:type="dxa"/>
            <w:vAlign w:val="center"/>
          </w:tcPr>
          <w:p w14:paraId="7A753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提升我区规划水平，为经济发展提供规划指导和决策依据</w:t>
            </w:r>
          </w:p>
        </w:tc>
        <w:tc>
          <w:tcPr>
            <w:tcW w:w="1286" w:type="dxa"/>
            <w:vAlign w:val="center"/>
          </w:tcPr>
          <w:p w14:paraId="05062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有所提升</w:t>
            </w:r>
          </w:p>
        </w:tc>
        <w:tc>
          <w:tcPr>
            <w:tcW w:w="735" w:type="dxa"/>
            <w:vAlign w:val="center"/>
          </w:tcPr>
          <w:p w14:paraId="14A4E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vAlign w:val="center"/>
          </w:tcPr>
          <w:p w14:paraId="49299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135716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84BD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4F68E5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A9A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AA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30780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减少碳排放</w:t>
            </w:r>
          </w:p>
        </w:tc>
        <w:tc>
          <w:tcPr>
            <w:tcW w:w="1212" w:type="dxa"/>
            <w:vAlign w:val="center"/>
          </w:tcPr>
          <w:p w14:paraId="5493E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节能减碳，优化环境</w:t>
            </w:r>
          </w:p>
        </w:tc>
        <w:tc>
          <w:tcPr>
            <w:tcW w:w="1286" w:type="dxa"/>
            <w:vAlign w:val="center"/>
          </w:tcPr>
          <w:p w14:paraId="302A8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有所减少</w:t>
            </w:r>
          </w:p>
        </w:tc>
        <w:tc>
          <w:tcPr>
            <w:tcW w:w="735" w:type="dxa"/>
            <w:vAlign w:val="center"/>
          </w:tcPr>
          <w:p w14:paraId="012A4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vAlign w:val="center"/>
          </w:tcPr>
          <w:p w14:paraId="1111E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7EAE00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99377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30EBC9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29E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6C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775C9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生产总值增长</w:t>
            </w:r>
          </w:p>
        </w:tc>
        <w:tc>
          <w:tcPr>
            <w:tcW w:w="1212" w:type="dxa"/>
            <w:vAlign w:val="center"/>
          </w:tcPr>
          <w:p w14:paraId="2A33A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促进我区生产总值进一步增长，整体发展水平进一步提升。</w:t>
            </w:r>
          </w:p>
        </w:tc>
        <w:tc>
          <w:tcPr>
            <w:tcW w:w="1286" w:type="dxa"/>
            <w:vAlign w:val="center"/>
          </w:tcPr>
          <w:p w14:paraId="3B043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有所促进</w:t>
            </w:r>
          </w:p>
        </w:tc>
        <w:tc>
          <w:tcPr>
            <w:tcW w:w="735" w:type="dxa"/>
            <w:vAlign w:val="center"/>
          </w:tcPr>
          <w:p w14:paraId="2892D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vAlign w:val="center"/>
          </w:tcPr>
          <w:p w14:paraId="06713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7E1893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6E7DD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6CEE28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B0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2B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01C55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市民满意度</w:t>
            </w:r>
          </w:p>
        </w:tc>
        <w:tc>
          <w:tcPr>
            <w:tcW w:w="1212" w:type="dxa"/>
            <w:vAlign w:val="center"/>
          </w:tcPr>
          <w:p w14:paraId="450AA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1286" w:type="dxa"/>
            <w:vAlign w:val="center"/>
          </w:tcPr>
          <w:p w14:paraId="419A4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735" w:type="dxa"/>
            <w:vAlign w:val="center"/>
          </w:tcPr>
          <w:p w14:paraId="64974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vAlign w:val="center"/>
          </w:tcPr>
          <w:p w14:paraId="4EC31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6B1BDB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E35A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02ECBD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CD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4B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00978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财政资金支出</w:t>
            </w:r>
          </w:p>
        </w:tc>
        <w:tc>
          <w:tcPr>
            <w:tcW w:w="1212" w:type="dxa"/>
            <w:vAlign w:val="center"/>
          </w:tcPr>
          <w:p w14:paraId="659D4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1638.61</w:t>
            </w:r>
          </w:p>
        </w:tc>
        <w:tc>
          <w:tcPr>
            <w:tcW w:w="1286" w:type="dxa"/>
            <w:vAlign w:val="center"/>
          </w:tcPr>
          <w:p w14:paraId="41FE0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1638.61</w:t>
            </w:r>
          </w:p>
        </w:tc>
        <w:tc>
          <w:tcPr>
            <w:tcW w:w="735" w:type="dxa"/>
            <w:vAlign w:val="center"/>
          </w:tcPr>
          <w:p w14:paraId="14B6B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vAlign w:val="center"/>
          </w:tcPr>
          <w:p w14:paraId="3C12C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466E7E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397E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14D0CA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B9D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9B5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社会成本指标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44ABD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控制投资项目资金损耗</w:t>
            </w:r>
          </w:p>
        </w:tc>
        <w:tc>
          <w:tcPr>
            <w:tcW w:w="1212" w:type="dxa"/>
            <w:vAlign w:val="center"/>
          </w:tcPr>
          <w:p w14:paraId="4C12F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提高2024年资金使用效率，降级损耗量</w:t>
            </w:r>
          </w:p>
        </w:tc>
        <w:tc>
          <w:tcPr>
            <w:tcW w:w="1286" w:type="dxa"/>
            <w:vAlign w:val="center"/>
          </w:tcPr>
          <w:p w14:paraId="54113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735" w:type="dxa"/>
            <w:vAlign w:val="center"/>
          </w:tcPr>
          <w:p w14:paraId="76A82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vAlign w:val="center"/>
          </w:tcPr>
          <w:p w14:paraId="798C5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0E4AA9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DF5ED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322BFC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447B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8E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生态环境成本指标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5688A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碳排放量</w:t>
            </w:r>
          </w:p>
        </w:tc>
        <w:tc>
          <w:tcPr>
            <w:tcW w:w="1212" w:type="dxa"/>
            <w:vAlign w:val="center"/>
          </w:tcPr>
          <w:p w14:paraId="69E9F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减少二氧化碳排放量</w:t>
            </w:r>
          </w:p>
        </w:tc>
        <w:tc>
          <w:tcPr>
            <w:tcW w:w="1286" w:type="dxa"/>
            <w:vAlign w:val="center"/>
          </w:tcPr>
          <w:p w14:paraId="6167A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有所减少</w:t>
            </w:r>
          </w:p>
        </w:tc>
        <w:tc>
          <w:tcPr>
            <w:tcW w:w="735" w:type="dxa"/>
            <w:vAlign w:val="center"/>
          </w:tcPr>
          <w:p w14:paraId="2D1A0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39" w:type="dxa"/>
            <w:vAlign w:val="center"/>
          </w:tcPr>
          <w:p w14:paraId="6B0D3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vAlign w:val="center"/>
          </w:tcPr>
          <w:p w14:paraId="7B2BCD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546F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159" w:type="dxa"/>
            <w:gridSpan w:val="6"/>
            <w:vAlign w:val="top"/>
          </w:tcPr>
          <w:p w14:paraId="4078F58D">
            <w:pPr>
              <w:spacing w:before="41" w:line="221" w:lineRule="auto"/>
              <w:ind w:left="334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735" w:type="dxa"/>
            <w:vAlign w:val="top"/>
          </w:tcPr>
          <w:p w14:paraId="706DD02D">
            <w:pPr>
              <w:spacing w:before="75" w:line="195" w:lineRule="auto"/>
              <w:ind w:left="2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</w:rPr>
              <w:t>100</w:t>
            </w:r>
          </w:p>
        </w:tc>
        <w:tc>
          <w:tcPr>
            <w:tcW w:w="739" w:type="dxa"/>
            <w:vAlign w:val="top"/>
          </w:tcPr>
          <w:p w14:paraId="6D2A992C">
            <w:pPr>
              <w:spacing w:before="75" w:line="195" w:lineRule="auto"/>
              <w:ind w:left="230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99.68</w:t>
            </w:r>
          </w:p>
        </w:tc>
        <w:tc>
          <w:tcPr>
            <w:tcW w:w="1450" w:type="dxa"/>
            <w:vAlign w:val="top"/>
          </w:tcPr>
          <w:p w14:paraId="433EE45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</w:tbl>
    <w:p w14:paraId="1D369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</w:p>
    <w:p w14:paraId="7F90F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</w:p>
    <w:p w14:paraId="6A104B4D">
      <w:pPr>
        <w:rPr>
          <w:rFonts w:ascii="黑体" w:hAnsi="黑体" w:eastAsia="黑体" w:cs="黑体"/>
          <w:spacing w:val="-4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br w:type="page"/>
      </w:r>
    </w:p>
    <w:p w14:paraId="050C0ACF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3-1</w:t>
      </w:r>
    </w:p>
    <w:p w14:paraId="22976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 年度项目支出绩效自评表</w:t>
      </w:r>
    </w:p>
    <w:tbl>
      <w:tblPr>
        <w:tblStyle w:val="9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5B367B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vAlign w:val="top"/>
          </w:tcPr>
          <w:p w14:paraId="13F65FAD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vAlign w:val="top"/>
          </w:tcPr>
          <w:p w14:paraId="498E7608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项目前期工作经费</w:t>
            </w:r>
          </w:p>
        </w:tc>
      </w:tr>
      <w:tr w14:paraId="58CC4F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Align w:val="top"/>
          </w:tcPr>
          <w:p w14:paraId="2DD36CE2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vAlign w:val="top"/>
          </w:tcPr>
          <w:p w14:paraId="7CAB39DD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岳阳市岳阳楼区发展和改革局</w:t>
            </w:r>
          </w:p>
        </w:tc>
        <w:tc>
          <w:tcPr>
            <w:tcW w:w="1281" w:type="dxa"/>
            <w:vAlign w:val="top"/>
          </w:tcPr>
          <w:p w14:paraId="68A1FEE0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vAlign w:val="top"/>
          </w:tcPr>
          <w:p w14:paraId="31D5A396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岳阳市岳阳楼区发展和改革局</w:t>
            </w:r>
          </w:p>
        </w:tc>
      </w:tr>
      <w:tr w14:paraId="0C3B75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7D554FD4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17F9347F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vAlign w:val="top"/>
          </w:tcPr>
          <w:p w14:paraId="4D715B8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236B169C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vAlign w:val="top"/>
          </w:tcPr>
          <w:p w14:paraId="0A0D970E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vAlign w:val="top"/>
          </w:tcPr>
          <w:p w14:paraId="0461E333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vAlign w:val="top"/>
          </w:tcPr>
          <w:p w14:paraId="3084F356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vAlign w:val="top"/>
          </w:tcPr>
          <w:p w14:paraId="361D3AFD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vAlign w:val="top"/>
          </w:tcPr>
          <w:p w14:paraId="23EBAFD8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783A7A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39BD631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29F556D2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vAlign w:val="center"/>
          </w:tcPr>
          <w:p w14:paraId="1216807C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200</w:t>
            </w:r>
          </w:p>
        </w:tc>
        <w:tc>
          <w:tcPr>
            <w:tcW w:w="1244" w:type="dxa"/>
            <w:vAlign w:val="center"/>
          </w:tcPr>
          <w:p w14:paraId="35C368D1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514.42</w:t>
            </w:r>
          </w:p>
        </w:tc>
        <w:tc>
          <w:tcPr>
            <w:tcW w:w="1281" w:type="dxa"/>
            <w:vAlign w:val="center"/>
          </w:tcPr>
          <w:p w14:paraId="5635E5A1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514.42</w:t>
            </w:r>
          </w:p>
        </w:tc>
        <w:tc>
          <w:tcPr>
            <w:tcW w:w="673" w:type="dxa"/>
            <w:vAlign w:val="center"/>
          </w:tcPr>
          <w:p w14:paraId="37601DE2">
            <w:pPr>
              <w:spacing w:before="64" w:line="195" w:lineRule="auto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vAlign w:val="center"/>
          </w:tcPr>
          <w:p w14:paraId="1205620C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100.00%</w:t>
            </w:r>
          </w:p>
        </w:tc>
        <w:tc>
          <w:tcPr>
            <w:tcW w:w="1422" w:type="dxa"/>
            <w:vAlign w:val="center"/>
          </w:tcPr>
          <w:p w14:paraId="4CDA8860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10.00</w:t>
            </w:r>
          </w:p>
        </w:tc>
      </w:tr>
      <w:tr w14:paraId="151C50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24AEB78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4F648A73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vAlign w:val="center"/>
          </w:tcPr>
          <w:p w14:paraId="4C8B031D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200</w:t>
            </w:r>
          </w:p>
        </w:tc>
        <w:tc>
          <w:tcPr>
            <w:tcW w:w="1244" w:type="dxa"/>
            <w:vAlign w:val="center"/>
          </w:tcPr>
          <w:p w14:paraId="3372A4E6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514.42</w:t>
            </w:r>
          </w:p>
        </w:tc>
        <w:tc>
          <w:tcPr>
            <w:tcW w:w="1281" w:type="dxa"/>
            <w:vAlign w:val="center"/>
          </w:tcPr>
          <w:p w14:paraId="1BC66296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514.42</w:t>
            </w:r>
          </w:p>
        </w:tc>
        <w:tc>
          <w:tcPr>
            <w:tcW w:w="673" w:type="dxa"/>
            <w:vAlign w:val="center"/>
          </w:tcPr>
          <w:p w14:paraId="1A72FAD5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vAlign w:val="center"/>
          </w:tcPr>
          <w:p w14:paraId="310993CE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vAlign w:val="center"/>
          </w:tcPr>
          <w:p w14:paraId="5A5F7CB4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2A9963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51ADCB5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63B8412D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vAlign w:val="center"/>
          </w:tcPr>
          <w:p w14:paraId="1AEFDD56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</w:t>
            </w:r>
          </w:p>
        </w:tc>
        <w:tc>
          <w:tcPr>
            <w:tcW w:w="1244" w:type="dxa"/>
            <w:vAlign w:val="center"/>
          </w:tcPr>
          <w:p w14:paraId="054DA756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</w:t>
            </w:r>
          </w:p>
        </w:tc>
        <w:tc>
          <w:tcPr>
            <w:tcW w:w="1281" w:type="dxa"/>
            <w:vAlign w:val="center"/>
          </w:tcPr>
          <w:p w14:paraId="6855993A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</w:t>
            </w:r>
          </w:p>
        </w:tc>
        <w:tc>
          <w:tcPr>
            <w:tcW w:w="673" w:type="dxa"/>
            <w:vAlign w:val="center"/>
          </w:tcPr>
          <w:p w14:paraId="7EA13F36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vAlign w:val="center"/>
          </w:tcPr>
          <w:p w14:paraId="6C46F10B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vAlign w:val="center"/>
          </w:tcPr>
          <w:p w14:paraId="4184C0B6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0F5D28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4A3EAE0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55A790D0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vAlign w:val="center"/>
          </w:tcPr>
          <w:p w14:paraId="499BE9AA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</w:t>
            </w:r>
          </w:p>
        </w:tc>
        <w:tc>
          <w:tcPr>
            <w:tcW w:w="1244" w:type="dxa"/>
            <w:vAlign w:val="center"/>
          </w:tcPr>
          <w:p w14:paraId="16713E76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</w:t>
            </w:r>
          </w:p>
        </w:tc>
        <w:tc>
          <w:tcPr>
            <w:tcW w:w="1281" w:type="dxa"/>
            <w:vAlign w:val="center"/>
          </w:tcPr>
          <w:p w14:paraId="0E47C668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</w:t>
            </w:r>
          </w:p>
        </w:tc>
        <w:tc>
          <w:tcPr>
            <w:tcW w:w="673" w:type="dxa"/>
            <w:vAlign w:val="center"/>
          </w:tcPr>
          <w:p w14:paraId="38D15BD8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vAlign w:val="center"/>
          </w:tcPr>
          <w:p w14:paraId="39D8E7F2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vAlign w:val="center"/>
          </w:tcPr>
          <w:p w14:paraId="04DF3E74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10E187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56361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1BE6E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6F41D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vAlign w:val="top"/>
          </w:tcPr>
          <w:p w14:paraId="475A244B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vAlign w:val="top"/>
          </w:tcPr>
          <w:p w14:paraId="4269D636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01D0F0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001E70C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vAlign w:val="top"/>
          </w:tcPr>
          <w:p w14:paraId="2CE594D7">
            <w:pPr>
              <w:pStyle w:val="1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争资争项前期工作经费。</w:t>
            </w:r>
          </w:p>
        </w:tc>
        <w:tc>
          <w:tcPr>
            <w:tcW w:w="4249" w:type="dxa"/>
            <w:gridSpan w:val="4"/>
            <w:vAlign w:val="top"/>
          </w:tcPr>
          <w:p w14:paraId="1EF93107">
            <w:pPr>
              <w:pStyle w:val="1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全区共争取中央、省预算内资金、超长期特别国债、专项债等项目20个，总投资27.04亿元，争取资金12.69亿元；储备2025年中央预算内投资项目80 个，总投资24.27亿元，拟争资11.47亿元，亿元以上项目6个;储备超长期国债项目16个，总投资16.25亿元，资金需求9.35亿元；储备政府专项债券项目24个，总投资45.69亿元，债券需求28.54亿元。</w:t>
            </w:r>
          </w:p>
        </w:tc>
      </w:tr>
      <w:tr w14:paraId="191380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textDirection w:val="tbRlV"/>
            <w:vAlign w:val="top"/>
          </w:tcPr>
          <w:p w14:paraId="18D0D990">
            <w:pPr>
              <w:pStyle w:val="10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0AA9DC08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tcBorders>
              <w:bottom w:val="single" w:color="auto" w:sz="4" w:space="0"/>
            </w:tcBorders>
            <w:vAlign w:val="top"/>
          </w:tcPr>
          <w:p w14:paraId="68D0BF99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tcBorders>
              <w:bottom w:val="single" w:color="auto" w:sz="4" w:space="0"/>
            </w:tcBorders>
            <w:vAlign w:val="top"/>
          </w:tcPr>
          <w:p w14:paraId="1BF09FA3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tcBorders>
              <w:bottom w:val="single" w:color="auto" w:sz="4" w:space="0"/>
            </w:tcBorders>
            <w:vAlign w:val="top"/>
          </w:tcPr>
          <w:p w14:paraId="347F83FE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vAlign w:val="top"/>
          </w:tcPr>
          <w:p w14:paraId="7579BCB6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3F160D87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vAlign w:val="top"/>
          </w:tcPr>
          <w:p w14:paraId="6092AE3C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52139FB0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vAlign w:val="top"/>
          </w:tcPr>
          <w:p w14:paraId="61C9B041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vAlign w:val="top"/>
          </w:tcPr>
          <w:p w14:paraId="3777691B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vAlign w:val="top"/>
          </w:tcPr>
          <w:p w14:paraId="40FEDCA2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003A47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684CA46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3E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31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53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全区争取中央、省、市预算内资金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1A2A1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12亿</w:t>
            </w:r>
          </w:p>
        </w:tc>
        <w:tc>
          <w:tcPr>
            <w:tcW w:w="1281" w:type="dxa"/>
            <w:vAlign w:val="center"/>
          </w:tcPr>
          <w:p w14:paraId="0AA57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12.69</w:t>
            </w:r>
          </w:p>
        </w:tc>
        <w:tc>
          <w:tcPr>
            <w:tcW w:w="673" w:type="dxa"/>
            <w:vAlign w:val="center"/>
          </w:tcPr>
          <w:p w14:paraId="6901C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73" w:type="dxa"/>
            <w:vAlign w:val="center"/>
          </w:tcPr>
          <w:p w14:paraId="2AE28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20.00</w:t>
            </w:r>
          </w:p>
        </w:tc>
        <w:tc>
          <w:tcPr>
            <w:tcW w:w="1422" w:type="dxa"/>
            <w:vAlign w:val="center"/>
          </w:tcPr>
          <w:p w14:paraId="33A2BEBC">
            <w:pPr>
              <w:jc w:val="center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8ACB1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683BA3A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6AD86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B0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56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资金到位率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12D3E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281" w:type="dxa"/>
            <w:vAlign w:val="center"/>
          </w:tcPr>
          <w:p w14:paraId="38A25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673" w:type="dxa"/>
            <w:vAlign w:val="center"/>
          </w:tcPr>
          <w:p w14:paraId="7A2A8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vAlign w:val="center"/>
          </w:tcPr>
          <w:p w14:paraId="462E4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1422" w:type="dxa"/>
            <w:vAlign w:val="center"/>
          </w:tcPr>
          <w:p w14:paraId="554CB936">
            <w:pPr>
              <w:jc w:val="center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0957A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6C7CFE3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112F5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2F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43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资金拨付及时率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5D825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281" w:type="dxa"/>
            <w:vAlign w:val="center"/>
          </w:tcPr>
          <w:p w14:paraId="3F471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673" w:type="dxa"/>
            <w:vAlign w:val="center"/>
          </w:tcPr>
          <w:p w14:paraId="1449B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vAlign w:val="center"/>
          </w:tcPr>
          <w:p w14:paraId="47E1B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1422" w:type="dxa"/>
            <w:vAlign w:val="center"/>
          </w:tcPr>
          <w:p w14:paraId="09658E86">
            <w:pPr>
              <w:jc w:val="center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585AD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01978CB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60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85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A4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全区争取中央、省、市预算内资金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4E464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12亿</w:t>
            </w:r>
          </w:p>
        </w:tc>
        <w:tc>
          <w:tcPr>
            <w:tcW w:w="1281" w:type="dxa"/>
            <w:vAlign w:val="center"/>
          </w:tcPr>
          <w:p w14:paraId="2729E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12.69亿</w:t>
            </w:r>
          </w:p>
        </w:tc>
        <w:tc>
          <w:tcPr>
            <w:tcW w:w="673" w:type="dxa"/>
            <w:vAlign w:val="center"/>
          </w:tcPr>
          <w:p w14:paraId="592AD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73" w:type="dxa"/>
            <w:vAlign w:val="center"/>
          </w:tcPr>
          <w:p w14:paraId="74E45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20.00</w:t>
            </w:r>
          </w:p>
        </w:tc>
        <w:tc>
          <w:tcPr>
            <w:tcW w:w="1422" w:type="dxa"/>
            <w:vAlign w:val="center"/>
          </w:tcPr>
          <w:p w14:paraId="2036BA58">
            <w:pPr>
              <w:jc w:val="center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5A0C6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39833D7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F5F3E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F6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B9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全区经济和各项社会事业稳步发展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5811F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281" w:type="dxa"/>
            <w:vAlign w:val="center"/>
          </w:tcPr>
          <w:p w14:paraId="019FA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673" w:type="dxa"/>
            <w:vAlign w:val="center"/>
          </w:tcPr>
          <w:p w14:paraId="575CC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vAlign w:val="center"/>
          </w:tcPr>
          <w:p w14:paraId="1FF3D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1422" w:type="dxa"/>
            <w:vAlign w:val="center"/>
          </w:tcPr>
          <w:p w14:paraId="588BC99D">
            <w:pPr>
              <w:jc w:val="center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FC80B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55D8308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BAA9D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63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C1CA0">
            <w:pPr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21BE9329">
            <w:pPr>
              <w:jc w:val="center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center"/>
          </w:tcPr>
          <w:p w14:paraId="62130237">
            <w:pPr>
              <w:jc w:val="center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center"/>
          </w:tcPr>
          <w:p w14:paraId="4738DA2F">
            <w:pPr>
              <w:jc w:val="center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center"/>
          </w:tcPr>
          <w:p w14:paraId="67EB89AB">
            <w:pPr>
              <w:jc w:val="center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center"/>
          </w:tcPr>
          <w:p w14:paraId="4EDFB250">
            <w:pPr>
              <w:jc w:val="center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50349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063462C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41EC6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9C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67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增加人民生活幸福感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5BABD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281" w:type="dxa"/>
            <w:vAlign w:val="center"/>
          </w:tcPr>
          <w:p w14:paraId="0A788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673" w:type="dxa"/>
            <w:vAlign w:val="center"/>
          </w:tcPr>
          <w:p w14:paraId="1E7FC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vAlign w:val="center"/>
          </w:tcPr>
          <w:p w14:paraId="2281B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1422" w:type="dxa"/>
            <w:vAlign w:val="center"/>
          </w:tcPr>
          <w:p w14:paraId="72839ABB">
            <w:pPr>
              <w:jc w:val="center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98886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35D0F90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EE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48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B7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项目立项审批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52533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</w:t>
            </w:r>
          </w:p>
        </w:tc>
        <w:tc>
          <w:tcPr>
            <w:tcW w:w="1281" w:type="dxa"/>
            <w:vAlign w:val="center"/>
          </w:tcPr>
          <w:p w14:paraId="59074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</w:t>
            </w:r>
          </w:p>
        </w:tc>
        <w:tc>
          <w:tcPr>
            <w:tcW w:w="673" w:type="dxa"/>
            <w:vAlign w:val="center"/>
          </w:tcPr>
          <w:p w14:paraId="30722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vAlign w:val="center"/>
          </w:tcPr>
          <w:p w14:paraId="7D18F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1422" w:type="dxa"/>
            <w:vAlign w:val="center"/>
          </w:tcPr>
          <w:p w14:paraId="423C3FC2">
            <w:pPr>
              <w:jc w:val="center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60765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27094FE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03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EC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ED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514.42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758B9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资金到位</w:t>
            </w:r>
          </w:p>
        </w:tc>
        <w:tc>
          <w:tcPr>
            <w:tcW w:w="1281" w:type="dxa"/>
            <w:vAlign w:val="center"/>
          </w:tcPr>
          <w:p w14:paraId="65904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514.42</w:t>
            </w:r>
          </w:p>
        </w:tc>
        <w:tc>
          <w:tcPr>
            <w:tcW w:w="673" w:type="dxa"/>
            <w:vAlign w:val="center"/>
          </w:tcPr>
          <w:p w14:paraId="7AC70C3A">
            <w:pPr>
              <w:jc w:val="center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center"/>
          </w:tcPr>
          <w:p w14:paraId="700192C7">
            <w:pPr>
              <w:jc w:val="center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center"/>
          </w:tcPr>
          <w:p w14:paraId="55A70146">
            <w:pPr>
              <w:jc w:val="center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2E16C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647EADD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05399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BC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社会成本指标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9560A">
            <w:pPr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3CE9CCFB">
            <w:pPr>
              <w:jc w:val="center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center"/>
          </w:tcPr>
          <w:p w14:paraId="1AC9ED47">
            <w:pPr>
              <w:jc w:val="center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center"/>
          </w:tcPr>
          <w:p w14:paraId="59881EAF">
            <w:pPr>
              <w:jc w:val="center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center"/>
          </w:tcPr>
          <w:p w14:paraId="4B3A1E79">
            <w:pPr>
              <w:jc w:val="center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center"/>
          </w:tcPr>
          <w:p w14:paraId="47350422">
            <w:pPr>
              <w:jc w:val="center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2BBDE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20E7E8C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1CEC3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7E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生态环境成本指标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8887B">
            <w:pPr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center"/>
          </w:tcPr>
          <w:p w14:paraId="6755874E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vAlign w:val="center"/>
          </w:tcPr>
          <w:p w14:paraId="25EC0C01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vAlign w:val="center"/>
          </w:tcPr>
          <w:p w14:paraId="4BEF34D1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vAlign w:val="center"/>
          </w:tcPr>
          <w:p w14:paraId="2CDD7EAC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vAlign w:val="center"/>
          </w:tcPr>
          <w:p w14:paraId="29899C8E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413EDF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vAlign w:val="top"/>
          </w:tcPr>
          <w:p w14:paraId="505E655B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vAlign w:val="top"/>
          </w:tcPr>
          <w:p w14:paraId="0B70A3B1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100</w:t>
            </w:r>
          </w:p>
        </w:tc>
        <w:tc>
          <w:tcPr>
            <w:tcW w:w="873" w:type="dxa"/>
            <w:vAlign w:val="top"/>
          </w:tcPr>
          <w:p w14:paraId="0EA95681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100.00</w:t>
            </w:r>
          </w:p>
        </w:tc>
        <w:tc>
          <w:tcPr>
            <w:tcW w:w="1422" w:type="dxa"/>
            <w:vAlign w:val="top"/>
          </w:tcPr>
          <w:p w14:paraId="4C4092B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</w:tbl>
    <w:p w14:paraId="34AB58C3">
      <w:pPr>
        <w:spacing w:line="217" w:lineRule="auto"/>
        <w:rPr>
          <w:sz w:val="22"/>
          <w:szCs w:val="22"/>
        </w:rPr>
      </w:pPr>
    </w:p>
    <w:p w14:paraId="0DEE3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/>
          <w:sz w:val="22"/>
          <w:szCs w:val="22"/>
          <w:lang w:val="en-US" w:eastAsia="zh-CN"/>
        </w:rPr>
        <w:sectPr>
          <w:footerReference r:id="rId3" w:type="default"/>
          <w:pgSz w:w="11900" w:h="16833"/>
          <w:pgMar w:top="1430" w:right="1017" w:bottom="1445" w:left="1022" w:header="0" w:footer="1169" w:gutter="0"/>
          <w:pgNumType w:fmt="decimal"/>
          <w:cols w:space="720" w:num="1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单位负责人签字：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   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  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</w:t>
      </w:r>
    </w:p>
    <w:p w14:paraId="2239A488">
      <w:pPr>
        <w:spacing w:before="191" w:line="230" w:lineRule="auto"/>
        <w:rPr>
          <w:rFonts w:hint="default" w:ascii="方正小标宋简体" w:hAnsi="方正小标宋简体" w:eastAsia="黑体" w:cs="方正小标宋简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3-2</w:t>
      </w:r>
    </w:p>
    <w:p w14:paraId="33B7E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 年度项目支出绩效自评表</w:t>
      </w:r>
    </w:p>
    <w:tbl>
      <w:tblPr>
        <w:tblStyle w:val="9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210"/>
        <w:gridCol w:w="1227"/>
        <w:gridCol w:w="1166"/>
        <w:gridCol w:w="1121"/>
        <w:gridCol w:w="809"/>
        <w:gridCol w:w="850"/>
        <w:gridCol w:w="1309"/>
      </w:tblGrid>
      <w:tr w14:paraId="0EF07B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373" w:type="dxa"/>
            <w:gridSpan w:val="3"/>
            <w:vAlign w:val="top"/>
          </w:tcPr>
          <w:p w14:paraId="31E230B7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482" w:type="dxa"/>
            <w:gridSpan w:val="6"/>
            <w:vAlign w:val="top"/>
          </w:tcPr>
          <w:p w14:paraId="5491673E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业务工作经费</w:t>
            </w:r>
          </w:p>
        </w:tc>
      </w:tr>
      <w:tr w14:paraId="4B53D3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Align w:val="top"/>
          </w:tcPr>
          <w:p w14:paraId="7ECEC9AD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682" w:type="dxa"/>
            <w:gridSpan w:val="4"/>
            <w:vAlign w:val="top"/>
          </w:tcPr>
          <w:p w14:paraId="7BB208D4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岳阳市岳阳楼区发展和改革局</w:t>
            </w:r>
          </w:p>
        </w:tc>
        <w:tc>
          <w:tcPr>
            <w:tcW w:w="1121" w:type="dxa"/>
            <w:vAlign w:val="top"/>
          </w:tcPr>
          <w:p w14:paraId="27D62055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vAlign w:val="top"/>
          </w:tcPr>
          <w:p w14:paraId="7A57E674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岳阳市岳阳楼区发展和改革局</w:t>
            </w:r>
          </w:p>
        </w:tc>
      </w:tr>
      <w:tr w14:paraId="3CEE7F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76A10F63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3C8849D5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289" w:type="dxa"/>
            <w:gridSpan w:val="2"/>
            <w:vAlign w:val="top"/>
          </w:tcPr>
          <w:p w14:paraId="5BB79AD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27" w:type="dxa"/>
            <w:vAlign w:val="top"/>
          </w:tcPr>
          <w:p w14:paraId="0B55A164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166" w:type="dxa"/>
            <w:vAlign w:val="top"/>
          </w:tcPr>
          <w:p w14:paraId="7C98FDA4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121" w:type="dxa"/>
            <w:vAlign w:val="top"/>
          </w:tcPr>
          <w:p w14:paraId="738A4A96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809" w:type="dxa"/>
            <w:vAlign w:val="top"/>
          </w:tcPr>
          <w:p w14:paraId="3D584AFB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50" w:type="dxa"/>
            <w:vAlign w:val="top"/>
          </w:tcPr>
          <w:p w14:paraId="3A91ABC7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309" w:type="dxa"/>
            <w:vAlign w:val="top"/>
          </w:tcPr>
          <w:p w14:paraId="09730C5F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321222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512BB49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289" w:type="dxa"/>
            <w:gridSpan w:val="2"/>
            <w:vAlign w:val="top"/>
          </w:tcPr>
          <w:p w14:paraId="1961070E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27" w:type="dxa"/>
            <w:vAlign w:val="center"/>
          </w:tcPr>
          <w:p w14:paraId="33A07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251</w:t>
            </w:r>
          </w:p>
        </w:tc>
        <w:tc>
          <w:tcPr>
            <w:tcW w:w="1166" w:type="dxa"/>
            <w:vAlign w:val="center"/>
          </w:tcPr>
          <w:p w14:paraId="127FE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287.36</w:t>
            </w:r>
          </w:p>
        </w:tc>
        <w:tc>
          <w:tcPr>
            <w:tcW w:w="1121" w:type="dxa"/>
            <w:vAlign w:val="center"/>
          </w:tcPr>
          <w:p w14:paraId="0A7D3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287.36</w:t>
            </w:r>
          </w:p>
        </w:tc>
        <w:tc>
          <w:tcPr>
            <w:tcW w:w="809" w:type="dxa"/>
            <w:vAlign w:val="center"/>
          </w:tcPr>
          <w:p w14:paraId="48ED0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10</w:t>
            </w:r>
          </w:p>
        </w:tc>
        <w:tc>
          <w:tcPr>
            <w:tcW w:w="850" w:type="dxa"/>
            <w:vAlign w:val="center"/>
          </w:tcPr>
          <w:p w14:paraId="5C211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100.00%</w:t>
            </w:r>
          </w:p>
        </w:tc>
        <w:tc>
          <w:tcPr>
            <w:tcW w:w="1309" w:type="dxa"/>
            <w:vAlign w:val="center"/>
          </w:tcPr>
          <w:p w14:paraId="396B5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10.00</w:t>
            </w:r>
          </w:p>
        </w:tc>
      </w:tr>
      <w:tr w14:paraId="304FC3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6E17B77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289" w:type="dxa"/>
            <w:gridSpan w:val="2"/>
            <w:vAlign w:val="top"/>
          </w:tcPr>
          <w:p w14:paraId="3A12AE5D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27" w:type="dxa"/>
            <w:vAlign w:val="center"/>
          </w:tcPr>
          <w:p w14:paraId="64E78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251</w:t>
            </w:r>
          </w:p>
        </w:tc>
        <w:tc>
          <w:tcPr>
            <w:tcW w:w="1166" w:type="dxa"/>
            <w:vAlign w:val="center"/>
          </w:tcPr>
          <w:p w14:paraId="03439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287.36</w:t>
            </w:r>
          </w:p>
        </w:tc>
        <w:tc>
          <w:tcPr>
            <w:tcW w:w="1121" w:type="dxa"/>
            <w:vAlign w:val="center"/>
          </w:tcPr>
          <w:p w14:paraId="4381A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287.36</w:t>
            </w:r>
          </w:p>
        </w:tc>
        <w:tc>
          <w:tcPr>
            <w:tcW w:w="809" w:type="dxa"/>
            <w:vAlign w:val="top"/>
          </w:tcPr>
          <w:p w14:paraId="47C6F8E2">
            <w:pPr>
              <w:pStyle w:val="10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50" w:type="dxa"/>
            <w:vAlign w:val="top"/>
          </w:tcPr>
          <w:p w14:paraId="297386A5">
            <w:pPr>
              <w:pStyle w:val="10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309" w:type="dxa"/>
            <w:vAlign w:val="top"/>
          </w:tcPr>
          <w:p w14:paraId="104708F6">
            <w:pPr>
              <w:pStyle w:val="10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84C6A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5D5C133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289" w:type="dxa"/>
            <w:gridSpan w:val="2"/>
            <w:vAlign w:val="top"/>
          </w:tcPr>
          <w:p w14:paraId="646BBC59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27" w:type="dxa"/>
            <w:vAlign w:val="center"/>
          </w:tcPr>
          <w:p w14:paraId="375DE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0</w:t>
            </w:r>
          </w:p>
        </w:tc>
        <w:tc>
          <w:tcPr>
            <w:tcW w:w="1166" w:type="dxa"/>
            <w:vAlign w:val="center"/>
          </w:tcPr>
          <w:p w14:paraId="46EE1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0</w:t>
            </w:r>
          </w:p>
        </w:tc>
        <w:tc>
          <w:tcPr>
            <w:tcW w:w="1121" w:type="dxa"/>
            <w:vAlign w:val="center"/>
          </w:tcPr>
          <w:p w14:paraId="756E5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0</w:t>
            </w:r>
          </w:p>
        </w:tc>
        <w:tc>
          <w:tcPr>
            <w:tcW w:w="809" w:type="dxa"/>
            <w:vAlign w:val="top"/>
          </w:tcPr>
          <w:p w14:paraId="1F9B036A">
            <w:pPr>
              <w:pStyle w:val="10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50" w:type="dxa"/>
            <w:vAlign w:val="top"/>
          </w:tcPr>
          <w:p w14:paraId="0A72949A">
            <w:pPr>
              <w:pStyle w:val="10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309" w:type="dxa"/>
            <w:vAlign w:val="top"/>
          </w:tcPr>
          <w:p w14:paraId="5ECE096B">
            <w:pPr>
              <w:pStyle w:val="10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4FAD0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59D1ED6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289" w:type="dxa"/>
            <w:gridSpan w:val="2"/>
            <w:vAlign w:val="top"/>
          </w:tcPr>
          <w:p w14:paraId="7143F68C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27" w:type="dxa"/>
            <w:vAlign w:val="center"/>
          </w:tcPr>
          <w:p w14:paraId="43569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0</w:t>
            </w:r>
          </w:p>
        </w:tc>
        <w:tc>
          <w:tcPr>
            <w:tcW w:w="1166" w:type="dxa"/>
            <w:vAlign w:val="center"/>
          </w:tcPr>
          <w:p w14:paraId="05A2B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0</w:t>
            </w:r>
          </w:p>
        </w:tc>
        <w:tc>
          <w:tcPr>
            <w:tcW w:w="1121" w:type="dxa"/>
            <w:vAlign w:val="center"/>
          </w:tcPr>
          <w:p w14:paraId="78C8F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0</w:t>
            </w:r>
          </w:p>
        </w:tc>
        <w:tc>
          <w:tcPr>
            <w:tcW w:w="809" w:type="dxa"/>
            <w:vAlign w:val="top"/>
          </w:tcPr>
          <w:p w14:paraId="6EEC7306">
            <w:pPr>
              <w:pStyle w:val="10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50" w:type="dxa"/>
            <w:vAlign w:val="top"/>
          </w:tcPr>
          <w:p w14:paraId="6C9BE358">
            <w:pPr>
              <w:pStyle w:val="10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309" w:type="dxa"/>
            <w:vAlign w:val="top"/>
          </w:tcPr>
          <w:p w14:paraId="666B0CDF">
            <w:pPr>
              <w:pStyle w:val="10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F1F4B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4C40E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07096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6F371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682" w:type="dxa"/>
            <w:gridSpan w:val="4"/>
            <w:vAlign w:val="top"/>
          </w:tcPr>
          <w:p w14:paraId="71E5D04D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089" w:type="dxa"/>
            <w:gridSpan w:val="4"/>
            <w:vAlign w:val="top"/>
          </w:tcPr>
          <w:p w14:paraId="636B33E8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1208C2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6A0224C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682" w:type="dxa"/>
            <w:gridSpan w:val="4"/>
            <w:vAlign w:val="center"/>
          </w:tcPr>
          <w:p w14:paraId="4CAE8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1、“十四五”规划纲要年度执行情况评估及年度发展计划编制22万元;</w:t>
            </w:r>
          </w:p>
          <w:p w14:paraId="61D2D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2、“十四五”时期专项规划30万元;</w:t>
            </w:r>
          </w:p>
          <w:p w14:paraId="72D3A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3、项目概算管理及审核87万元;</w:t>
            </w:r>
          </w:p>
          <w:p w14:paraId="033E6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4、固定资产投资统计50万元;</w:t>
            </w:r>
          </w:p>
          <w:p w14:paraId="6E7FE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5、信用体系建设及维护管理11万元;</w:t>
            </w:r>
          </w:p>
          <w:p w14:paraId="165B2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6、物流发展调度管理统计15万元;</w:t>
            </w:r>
          </w:p>
          <w:p w14:paraId="51BB9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7、四上统计员补贴15万无;</w:t>
            </w:r>
          </w:p>
          <w:p w14:paraId="63B7C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8、碳中和及塑防工作经费16万元;</w:t>
            </w:r>
          </w:p>
          <w:p w14:paraId="72223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9、国防动员工作经费5万元</w:t>
            </w:r>
          </w:p>
        </w:tc>
        <w:tc>
          <w:tcPr>
            <w:tcW w:w="4089" w:type="dxa"/>
            <w:gridSpan w:val="4"/>
            <w:vAlign w:val="center"/>
          </w:tcPr>
          <w:p w14:paraId="058E4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2024年，全年预计实现地区生产总值828.4亿元、增长3%，固定资产投资预计完成176亿元、增长-8.8%；牵头实施产业培塑、改革攻坚、区域共进三大行动；“两重”“两新”送解忧，印制发改政策流程服务手册4000册，制定《岳阳楼区2023-2024年中央预算内投资项目、专项债项目及增发国债项目计划执行评估督导工作方案》，对项目资金使用情况、项目建设情况及项目实施成效等内容进行实地评估督导，开展项目评估督导12次；开展2024年度“营商清风101”专项行动，制定《岳阳楼区发改局2024年度“营商清风101”专项行动工作方案》。扎实推进信用体系建设，岳阳楼区信用工作平台共收集信息215468条，行政许可45268条，行政处罚1899条，完成信用修复51条，辖区内各银行已全部入驻“信易贷”平台；全区共审批办结项目146个，总投资50.82亿元；概算审核批复87个，核减金额3.26亿元；胥家桥综合物流园区累计吸引78家仓储、物流企业入驻，年内引进企业20家，园区城配中心和防疫应急物资储备库整体出租率约为70%</w:t>
            </w:r>
          </w:p>
        </w:tc>
      </w:tr>
      <w:tr w14:paraId="0CEB0E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textDirection w:val="tbRlV"/>
            <w:vAlign w:val="top"/>
          </w:tcPr>
          <w:p w14:paraId="0FB8FC70">
            <w:pPr>
              <w:pStyle w:val="10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311A278B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tcBorders>
              <w:bottom w:val="single" w:color="auto" w:sz="4" w:space="0"/>
            </w:tcBorders>
            <w:vAlign w:val="top"/>
          </w:tcPr>
          <w:p w14:paraId="0A901637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1210" w:type="dxa"/>
            <w:tcBorders>
              <w:bottom w:val="single" w:color="auto" w:sz="4" w:space="0"/>
            </w:tcBorders>
            <w:vAlign w:val="top"/>
          </w:tcPr>
          <w:p w14:paraId="2153AFB2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27" w:type="dxa"/>
            <w:tcBorders>
              <w:bottom w:val="single" w:color="auto" w:sz="4" w:space="0"/>
            </w:tcBorders>
            <w:vAlign w:val="top"/>
          </w:tcPr>
          <w:p w14:paraId="00804442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166" w:type="dxa"/>
            <w:tcBorders>
              <w:bottom w:val="single" w:color="auto" w:sz="4" w:space="0"/>
            </w:tcBorders>
            <w:vAlign w:val="top"/>
          </w:tcPr>
          <w:p w14:paraId="6134794E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548ED79F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121" w:type="dxa"/>
            <w:tcBorders>
              <w:bottom w:val="single" w:color="auto" w:sz="4" w:space="0"/>
            </w:tcBorders>
            <w:vAlign w:val="top"/>
          </w:tcPr>
          <w:p w14:paraId="19963E7A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3BE53566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809" w:type="dxa"/>
            <w:tcBorders>
              <w:bottom w:val="single" w:color="auto" w:sz="4" w:space="0"/>
            </w:tcBorders>
            <w:vAlign w:val="top"/>
          </w:tcPr>
          <w:p w14:paraId="0C3865E0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50" w:type="dxa"/>
            <w:tcBorders>
              <w:bottom w:val="single" w:color="auto" w:sz="4" w:space="0"/>
            </w:tcBorders>
            <w:vAlign w:val="top"/>
          </w:tcPr>
          <w:p w14:paraId="58E89B74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309" w:type="dxa"/>
            <w:tcBorders>
              <w:bottom w:val="single" w:color="auto" w:sz="4" w:space="0"/>
            </w:tcBorders>
            <w:vAlign w:val="top"/>
          </w:tcPr>
          <w:p w14:paraId="0DD3FC65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5D9180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07DEE20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64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D4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54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实现地区生产总值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24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800亿元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A8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828.4亿元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1A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1F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5.00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8DDF7">
            <w:pPr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3A6CA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4E41627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881A5">
            <w:pPr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32DF4">
            <w:pPr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FE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概算审核批复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F6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80个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46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87个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9E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52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5.00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238AE">
            <w:pPr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E4477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291BA64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B4760">
            <w:pPr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E0C6D">
            <w:pPr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5F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开展项目评估督导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3F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10次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24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12次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04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1C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5.00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929F5">
            <w:pPr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FE508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1698FC9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2340A">
            <w:pPr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C5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1D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实现地区生产总值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70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增长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E7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3%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37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62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5.00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BC398">
            <w:pPr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EC10C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5A3588F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B3C8F">
            <w:pPr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217DA">
            <w:pPr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E2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为政府项目决策化解政府债务风险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63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核减金额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DA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3.26亿元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50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F0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5.00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F8105">
            <w:pPr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7F699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3433DF6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7E54E">
            <w:pPr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090C7">
            <w:pPr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6D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产业结构和能源结构明显优化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CA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100%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BD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100%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E9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C6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5.00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9947E">
            <w:pPr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D80A7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386223B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D5173">
            <w:pPr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62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4D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完成及时率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3F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100%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BE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100%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D6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37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5.00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84480">
            <w:pPr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19AEC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63FEE69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4B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29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37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社会信用体系建设成效明显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30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有所提升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0A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有所提升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2B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D7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5.00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3168D">
            <w:pPr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1BF0C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7788015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AEE32">
            <w:pPr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3B901">
            <w:pPr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42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调整优化全区国防动员体系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B8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有所提升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91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有所提升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D3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53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5.00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78E51">
            <w:pPr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D272A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4149540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7F8EA">
            <w:pPr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4DD4E">
            <w:pPr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67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化解政府债务风险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DE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有所提升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EA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有所提升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96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C9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5.00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E2A5E">
            <w:pPr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2B71C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" w:hRule="atLeast"/>
        </w:trPr>
        <w:tc>
          <w:tcPr>
            <w:tcW w:w="1084" w:type="dxa"/>
            <w:vMerge w:val="continue"/>
            <w:tcBorders>
              <w:top w:val="nil"/>
              <w:right w:val="single" w:color="auto" w:sz="4" w:space="0"/>
            </w:tcBorders>
            <w:textDirection w:val="tbRlV"/>
            <w:vAlign w:val="top"/>
          </w:tcPr>
          <w:p w14:paraId="76ADA55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2418D">
            <w:pPr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48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94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控制投资成本，节约政府投资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17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有所提升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A8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有所提升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BC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7B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5.00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D29A3">
            <w:pPr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A4D9F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" w:hRule="atLeast"/>
        </w:trPr>
        <w:tc>
          <w:tcPr>
            <w:tcW w:w="1084" w:type="dxa"/>
            <w:vMerge w:val="continue"/>
            <w:tcBorders>
              <w:top w:val="nil"/>
              <w:right w:val="single" w:color="auto" w:sz="4" w:space="0"/>
            </w:tcBorders>
            <w:textDirection w:val="tbRlV"/>
            <w:vAlign w:val="top"/>
          </w:tcPr>
          <w:p w14:paraId="226EACC0">
            <w:pPr>
              <w:jc w:val="center"/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ED7B9">
            <w:pPr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868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C5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经济社会保持平稳健康发展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37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有所提升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CE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有所提升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23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B6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5.00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DEA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</w:tr>
      <w:tr w14:paraId="2F4E34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" w:hRule="atLeast"/>
        </w:trPr>
        <w:tc>
          <w:tcPr>
            <w:tcW w:w="1084" w:type="dxa"/>
            <w:vMerge w:val="continue"/>
            <w:tcBorders>
              <w:top w:val="nil"/>
              <w:right w:val="single" w:color="auto" w:sz="4" w:space="0"/>
            </w:tcBorders>
            <w:textDirection w:val="tbRlV"/>
            <w:vAlign w:val="top"/>
          </w:tcPr>
          <w:p w14:paraId="13DE8F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52A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BA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E6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生态环境改善情况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0A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开展节能宣传和备案，举办“绿色转型，节能攻坚”系列活动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B0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开展节能宣传和备案，举办“绿色转型，节能攻坚”系列活动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99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76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5.00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BFC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</w:tr>
      <w:tr w14:paraId="57C51F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" w:hRule="atLeast"/>
        </w:trPr>
        <w:tc>
          <w:tcPr>
            <w:tcW w:w="1084" w:type="dxa"/>
            <w:vMerge w:val="continue"/>
            <w:tcBorders>
              <w:top w:val="nil"/>
              <w:right w:val="single" w:color="auto" w:sz="4" w:space="0"/>
            </w:tcBorders>
            <w:textDirection w:val="tbRlV"/>
            <w:vAlign w:val="top"/>
          </w:tcPr>
          <w:p w14:paraId="1BF474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D9F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DC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1B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减轻政府经济压力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3C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36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有所提升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57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18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5.00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892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</w:tr>
      <w:tr w14:paraId="211850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" w:hRule="atLeast"/>
        </w:trPr>
        <w:tc>
          <w:tcPr>
            <w:tcW w:w="1084" w:type="dxa"/>
            <w:vMerge w:val="continue"/>
            <w:tcBorders>
              <w:top w:val="nil"/>
              <w:right w:val="single" w:color="auto" w:sz="4" w:space="0"/>
            </w:tcBorders>
            <w:textDirection w:val="tbRlV"/>
            <w:vAlign w:val="top"/>
          </w:tcPr>
          <w:p w14:paraId="2B0C87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C1A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576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70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推动经济社会更好更快的发展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2D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9A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有所提升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86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93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5.00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FEE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</w:tr>
      <w:tr w14:paraId="20204A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" w:hRule="atLeast"/>
        </w:trPr>
        <w:tc>
          <w:tcPr>
            <w:tcW w:w="1084" w:type="dxa"/>
            <w:vMerge w:val="continue"/>
            <w:tcBorders>
              <w:top w:val="nil"/>
              <w:right w:val="single" w:color="auto" w:sz="4" w:space="0"/>
            </w:tcBorders>
            <w:textDirection w:val="tbRlV"/>
            <w:vAlign w:val="top"/>
          </w:tcPr>
          <w:p w14:paraId="54A116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B6E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C6C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30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向社会提供公共信用信息报告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7B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E5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有所提升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F8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41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5.00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DE2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</w:tr>
      <w:tr w14:paraId="29F4AA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" w:hRule="atLeast"/>
        </w:trPr>
        <w:tc>
          <w:tcPr>
            <w:tcW w:w="1084" w:type="dxa"/>
            <w:vMerge w:val="continue"/>
            <w:tcBorders>
              <w:top w:val="nil"/>
              <w:right w:val="single" w:color="auto" w:sz="4" w:space="0"/>
            </w:tcBorders>
            <w:textDirection w:val="tbRlV"/>
            <w:vAlign w:val="top"/>
          </w:tcPr>
          <w:p w14:paraId="4E088E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8E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FB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0D3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受益对象满意度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56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≥95%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C6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≥95%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14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E9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5.00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94F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</w:tr>
      <w:tr w14:paraId="723BF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" w:hRule="atLeast"/>
        </w:trPr>
        <w:tc>
          <w:tcPr>
            <w:tcW w:w="1084" w:type="dxa"/>
            <w:vMerge w:val="continue"/>
            <w:tcBorders>
              <w:top w:val="nil"/>
              <w:right w:val="single" w:color="auto" w:sz="4" w:space="0"/>
            </w:tcBorders>
            <w:textDirection w:val="tbRlV"/>
            <w:vAlign w:val="top"/>
          </w:tcPr>
          <w:p w14:paraId="2B98AD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EA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96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0D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财政资金支出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EC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287.36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15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287.36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19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22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5.00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D91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</w:tr>
      <w:tr w14:paraId="50A6FA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" w:hRule="atLeast"/>
        </w:trPr>
        <w:tc>
          <w:tcPr>
            <w:tcW w:w="1084" w:type="dxa"/>
            <w:vMerge w:val="continue"/>
            <w:tcBorders>
              <w:top w:val="nil"/>
              <w:right w:val="single" w:color="auto" w:sz="4" w:space="0"/>
            </w:tcBorders>
            <w:textDirection w:val="tbRlV"/>
            <w:vAlign w:val="top"/>
          </w:tcPr>
          <w:p w14:paraId="7800B5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F36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00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社会成本指标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35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控制项目概算资金损耗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E2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无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2C0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E38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257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2F8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</w:tr>
      <w:tr w14:paraId="2867C0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" w:hRule="atLeast"/>
        </w:trPr>
        <w:tc>
          <w:tcPr>
            <w:tcW w:w="1084" w:type="dxa"/>
            <w:vMerge w:val="continue"/>
            <w:tcBorders>
              <w:right w:val="single" w:color="auto" w:sz="4" w:space="0"/>
            </w:tcBorders>
            <w:textDirection w:val="tbRlV"/>
            <w:vAlign w:val="top"/>
          </w:tcPr>
          <w:p w14:paraId="525921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A0D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71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生态环境成本指标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22F3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918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C86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858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3ED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6DF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</w:tr>
      <w:tr w14:paraId="045FF2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vAlign w:val="top"/>
          </w:tcPr>
          <w:p w14:paraId="16E2250D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总分</w:t>
            </w:r>
          </w:p>
        </w:tc>
        <w:tc>
          <w:tcPr>
            <w:tcW w:w="809" w:type="dxa"/>
            <w:vAlign w:val="center"/>
          </w:tcPr>
          <w:p w14:paraId="21CC1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50" w:type="dxa"/>
            <w:vAlign w:val="center"/>
          </w:tcPr>
          <w:p w14:paraId="517FE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100.00</w:t>
            </w:r>
          </w:p>
        </w:tc>
        <w:tc>
          <w:tcPr>
            <w:tcW w:w="1309" w:type="dxa"/>
            <w:vAlign w:val="top"/>
          </w:tcPr>
          <w:p w14:paraId="0E10417D">
            <w:pPr>
              <w:pStyle w:val="1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</w:tbl>
    <w:p w14:paraId="73D8BBEA">
      <w:pPr>
        <w:spacing w:line="217" w:lineRule="auto"/>
        <w:rPr>
          <w:sz w:val="22"/>
          <w:szCs w:val="22"/>
        </w:rPr>
      </w:pPr>
    </w:p>
    <w:p w14:paraId="3A648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sz w:val="22"/>
          <w:szCs w:val="22"/>
        </w:rPr>
        <w:sectPr>
          <w:footerReference r:id="rId4" w:type="default"/>
          <w:pgSz w:w="11900" w:h="16833"/>
          <w:pgMar w:top="1430" w:right="1017" w:bottom="1445" w:left="1022" w:header="0" w:footer="1169" w:gutter="0"/>
          <w:pgNumType w:fmt="decimal"/>
          <w:cols w:space="720" w:num="1"/>
        </w:sectPr>
      </w:pPr>
    </w:p>
    <w:p w14:paraId="3E38524B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58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4</w:t>
      </w:r>
    </w:p>
    <w:p w14:paraId="09291083">
      <w:pPr>
        <w:spacing w:line="250" w:lineRule="auto"/>
        <w:rPr>
          <w:rFonts w:ascii="Arial"/>
          <w:sz w:val="21"/>
        </w:rPr>
      </w:pPr>
    </w:p>
    <w:p w14:paraId="1B730E3E">
      <w:pPr>
        <w:spacing w:line="250" w:lineRule="auto"/>
        <w:rPr>
          <w:rFonts w:ascii="Arial"/>
          <w:sz w:val="21"/>
        </w:rPr>
      </w:pPr>
    </w:p>
    <w:p w14:paraId="42E25F06">
      <w:pPr>
        <w:spacing w:line="250" w:lineRule="auto"/>
        <w:rPr>
          <w:rFonts w:ascii="Arial"/>
          <w:sz w:val="21"/>
        </w:rPr>
      </w:pPr>
    </w:p>
    <w:p w14:paraId="03B7F0DF">
      <w:pPr>
        <w:spacing w:line="250" w:lineRule="auto"/>
        <w:rPr>
          <w:rFonts w:ascii="Arial"/>
          <w:sz w:val="21"/>
        </w:rPr>
      </w:pPr>
    </w:p>
    <w:p w14:paraId="36AB23D8">
      <w:pPr>
        <w:spacing w:line="251" w:lineRule="auto"/>
        <w:rPr>
          <w:rFonts w:ascii="Arial"/>
          <w:sz w:val="21"/>
        </w:rPr>
      </w:pPr>
    </w:p>
    <w:p w14:paraId="3FA08D5F">
      <w:pPr>
        <w:spacing w:line="251" w:lineRule="auto"/>
        <w:rPr>
          <w:rFonts w:ascii="Arial"/>
          <w:sz w:val="21"/>
        </w:rPr>
      </w:pPr>
    </w:p>
    <w:p w14:paraId="767F345A">
      <w:pPr>
        <w:spacing w:line="251" w:lineRule="auto"/>
        <w:rPr>
          <w:rFonts w:ascii="Arial"/>
          <w:sz w:val="21"/>
        </w:rPr>
      </w:pPr>
    </w:p>
    <w:p w14:paraId="25B84592">
      <w:pPr>
        <w:spacing w:line="251" w:lineRule="auto"/>
        <w:rPr>
          <w:rFonts w:ascii="Arial"/>
          <w:sz w:val="21"/>
        </w:rPr>
      </w:pPr>
    </w:p>
    <w:p w14:paraId="0BFBC655">
      <w:pPr>
        <w:spacing w:line="251" w:lineRule="auto"/>
        <w:rPr>
          <w:rFonts w:ascii="Arial"/>
          <w:sz w:val="21"/>
        </w:rPr>
      </w:pPr>
    </w:p>
    <w:p w14:paraId="1E1D032C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</w:rPr>
        <w:t>2024年度岳阳市岳阳楼区发展和改革局整体支出绩效自评报告</w:t>
      </w:r>
    </w:p>
    <w:p w14:paraId="5A0F8274">
      <w:pPr>
        <w:spacing w:line="243" w:lineRule="auto"/>
        <w:rPr>
          <w:rFonts w:ascii="Arial"/>
        </w:rPr>
      </w:pPr>
    </w:p>
    <w:p w14:paraId="200C8352">
      <w:pPr>
        <w:spacing w:line="243" w:lineRule="auto"/>
        <w:rPr>
          <w:rFonts w:ascii="Arial"/>
        </w:rPr>
      </w:pPr>
    </w:p>
    <w:p w14:paraId="1B1698D7">
      <w:pPr>
        <w:spacing w:line="243" w:lineRule="auto"/>
        <w:rPr>
          <w:rFonts w:ascii="Arial"/>
        </w:rPr>
      </w:pPr>
    </w:p>
    <w:p w14:paraId="4CF21E7C">
      <w:pPr>
        <w:spacing w:line="243" w:lineRule="auto"/>
        <w:rPr>
          <w:rFonts w:ascii="Arial"/>
        </w:rPr>
      </w:pPr>
    </w:p>
    <w:p w14:paraId="7F886597">
      <w:pPr>
        <w:spacing w:line="243" w:lineRule="auto"/>
        <w:rPr>
          <w:rFonts w:ascii="Arial"/>
        </w:rPr>
      </w:pPr>
    </w:p>
    <w:p w14:paraId="2EAE5D4C">
      <w:pPr>
        <w:spacing w:line="243" w:lineRule="auto"/>
        <w:rPr>
          <w:rFonts w:ascii="Arial"/>
        </w:rPr>
      </w:pPr>
    </w:p>
    <w:p w14:paraId="723E07CB">
      <w:pPr>
        <w:spacing w:line="243" w:lineRule="auto"/>
        <w:rPr>
          <w:rFonts w:ascii="Arial"/>
        </w:rPr>
      </w:pPr>
    </w:p>
    <w:p w14:paraId="50BDF91F">
      <w:pPr>
        <w:spacing w:line="243" w:lineRule="auto"/>
        <w:rPr>
          <w:rFonts w:ascii="Arial"/>
        </w:rPr>
      </w:pPr>
    </w:p>
    <w:p w14:paraId="230AF633">
      <w:pPr>
        <w:spacing w:line="243" w:lineRule="auto"/>
        <w:rPr>
          <w:rFonts w:ascii="Arial"/>
        </w:rPr>
      </w:pPr>
    </w:p>
    <w:p w14:paraId="7693D77E">
      <w:pPr>
        <w:spacing w:line="243" w:lineRule="auto"/>
        <w:rPr>
          <w:rFonts w:ascii="Arial"/>
        </w:rPr>
      </w:pPr>
    </w:p>
    <w:p w14:paraId="20BEFC3B">
      <w:pPr>
        <w:spacing w:line="243" w:lineRule="auto"/>
        <w:rPr>
          <w:rFonts w:ascii="Arial"/>
        </w:rPr>
      </w:pPr>
    </w:p>
    <w:p w14:paraId="59DF15DC">
      <w:pPr>
        <w:spacing w:line="243" w:lineRule="auto"/>
        <w:rPr>
          <w:rFonts w:ascii="Arial"/>
        </w:rPr>
      </w:pPr>
    </w:p>
    <w:p w14:paraId="5E567C20">
      <w:pPr>
        <w:spacing w:line="243" w:lineRule="auto"/>
        <w:rPr>
          <w:rFonts w:ascii="Arial"/>
        </w:rPr>
      </w:pPr>
    </w:p>
    <w:p w14:paraId="36E4C459">
      <w:pPr>
        <w:spacing w:line="243" w:lineRule="auto"/>
        <w:rPr>
          <w:rFonts w:ascii="Arial"/>
        </w:rPr>
      </w:pPr>
    </w:p>
    <w:p w14:paraId="014D5351">
      <w:pPr>
        <w:spacing w:line="243" w:lineRule="auto"/>
        <w:rPr>
          <w:rFonts w:ascii="Arial"/>
        </w:rPr>
      </w:pPr>
    </w:p>
    <w:p w14:paraId="0E81FAC2">
      <w:pPr>
        <w:spacing w:line="243" w:lineRule="auto"/>
        <w:rPr>
          <w:rFonts w:ascii="Arial"/>
        </w:rPr>
      </w:pPr>
    </w:p>
    <w:p w14:paraId="2B7D9E06">
      <w:pPr>
        <w:spacing w:line="243" w:lineRule="auto"/>
        <w:rPr>
          <w:rFonts w:ascii="Arial"/>
        </w:rPr>
      </w:pPr>
    </w:p>
    <w:p w14:paraId="0D241E58">
      <w:pPr>
        <w:spacing w:line="243" w:lineRule="auto"/>
        <w:rPr>
          <w:rFonts w:ascii="Arial"/>
        </w:rPr>
      </w:pPr>
    </w:p>
    <w:p w14:paraId="3DACBCBF">
      <w:pPr>
        <w:spacing w:line="243" w:lineRule="auto"/>
        <w:rPr>
          <w:rFonts w:ascii="Arial"/>
        </w:rPr>
      </w:pPr>
    </w:p>
    <w:p w14:paraId="26D1B202">
      <w:pPr>
        <w:spacing w:line="243" w:lineRule="auto"/>
        <w:rPr>
          <w:rFonts w:ascii="Arial"/>
        </w:rPr>
      </w:pPr>
    </w:p>
    <w:p w14:paraId="55A6C4F3">
      <w:pPr>
        <w:spacing w:line="243" w:lineRule="auto"/>
        <w:rPr>
          <w:rFonts w:ascii="Arial"/>
        </w:rPr>
      </w:pPr>
    </w:p>
    <w:p w14:paraId="79DE9064">
      <w:pPr>
        <w:spacing w:line="243" w:lineRule="auto"/>
        <w:rPr>
          <w:rFonts w:ascii="Arial"/>
        </w:rPr>
      </w:pPr>
    </w:p>
    <w:p w14:paraId="6A563EAB">
      <w:pPr>
        <w:spacing w:line="243" w:lineRule="auto"/>
        <w:rPr>
          <w:rFonts w:ascii="Arial"/>
        </w:rPr>
      </w:pPr>
    </w:p>
    <w:p w14:paraId="09AF0728">
      <w:pPr>
        <w:spacing w:line="243" w:lineRule="auto"/>
        <w:rPr>
          <w:rFonts w:ascii="Arial"/>
        </w:rPr>
      </w:pPr>
    </w:p>
    <w:p w14:paraId="1AB245A0">
      <w:pPr>
        <w:spacing w:line="243" w:lineRule="auto"/>
        <w:rPr>
          <w:rFonts w:ascii="Arial"/>
        </w:rPr>
      </w:pPr>
    </w:p>
    <w:p w14:paraId="4425D887">
      <w:pPr>
        <w:spacing w:line="244" w:lineRule="auto"/>
        <w:rPr>
          <w:rFonts w:ascii="Arial"/>
        </w:rPr>
      </w:pPr>
    </w:p>
    <w:p w14:paraId="7AF07EDE">
      <w:pPr>
        <w:spacing w:line="244" w:lineRule="auto"/>
        <w:rPr>
          <w:rFonts w:ascii="Arial"/>
        </w:rPr>
      </w:pPr>
    </w:p>
    <w:p w14:paraId="774003F4">
      <w:pPr>
        <w:pStyle w:val="3"/>
        <w:spacing w:before="100" w:line="221" w:lineRule="auto"/>
        <w:ind w:left="1902"/>
        <w:rPr>
          <w:rFonts w:hint="eastAsia"/>
          <w:lang w:eastAsia="zh-CN"/>
        </w:rPr>
      </w:pPr>
      <w:r>
        <w:rPr>
          <w:rFonts w:hint="eastAsia"/>
          <w:spacing w:val="-10"/>
          <w:lang w:val="en-US" w:eastAsia="zh-CN"/>
        </w:rPr>
        <w:t>部门（</w:t>
      </w:r>
      <w:r>
        <w:rPr>
          <w:rFonts w:hint="eastAsia"/>
          <w:spacing w:val="-10"/>
          <w:lang w:eastAsia="zh-CN"/>
        </w:rPr>
        <w:t>单位）</w:t>
      </w:r>
      <w:r>
        <w:rPr>
          <w:spacing w:val="-10"/>
          <w:lang w:eastAsia="zh-CN"/>
        </w:rPr>
        <w:t>名称</w:t>
      </w:r>
      <w:r>
        <w:rPr>
          <w:spacing w:val="4"/>
          <w:lang w:eastAsia="zh-CN"/>
        </w:rPr>
        <w:t>：</w:t>
      </w:r>
      <w:r>
        <w:rPr>
          <w:spacing w:val="-118"/>
          <w:lang w:eastAsia="zh-CN"/>
        </w:rPr>
        <w:t xml:space="preserve"> </w:t>
      </w:r>
      <w:r>
        <w:rPr>
          <w:spacing w:val="-75"/>
          <w:u w:val="single"/>
          <w:lang w:eastAsia="zh-CN"/>
        </w:rPr>
        <w:t xml:space="preserve"> </w:t>
      </w:r>
      <w:r>
        <w:rPr>
          <w:spacing w:val="4"/>
          <w:u w:val="single"/>
          <w:lang w:eastAsia="zh-CN"/>
        </w:rPr>
        <w:t>（</w:t>
      </w:r>
      <w:r>
        <w:rPr>
          <w:spacing w:val="-10"/>
          <w:u w:val="single"/>
          <w:lang w:eastAsia="zh-CN"/>
        </w:rPr>
        <w:t>盖章）</w:t>
      </w:r>
      <w:r>
        <w:rPr>
          <w:u w:val="single"/>
          <w:lang w:eastAsia="zh-CN"/>
        </w:rPr>
        <w:t xml:space="preserve">         </w:t>
      </w:r>
    </w:p>
    <w:p w14:paraId="6DE4AAD6">
      <w:pPr>
        <w:spacing w:before="228" w:line="222" w:lineRule="auto"/>
        <w:ind w:left="3179"/>
        <w:rPr>
          <w:rFonts w:hint="eastAsia" w:ascii="楷体" w:hAnsi="楷体" w:eastAsia="楷体" w:cs="楷体"/>
          <w:sz w:val="31"/>
          <w:szCs w:val="31"/>
        </w:rPr>
      </w:pPr>
      <w:r>
        <w:rPr>
          <w:rFonts w:hint="eastAsia" w:ascii="楷体" w:hAnsi="楷体" w:eastAsia="楷体" w:cs="楷体"/>
          <w:spacing w:val="-8"/>
          <w:sz w:val="31"/>
          <w:szCs w:val="31"/>
        </w:rPr>
        <w:t>2025</w:t>
      </w:r>
      <w:r>
        <w:rPr>
          <w:rFonts w:ascii="楷体" w:hAnsi="楷体" w:eastAsia="楷体" w:cs="楷体"/>
          <w:spacing w:val="-8"/>
          <w:sz w:val="31"/>
          <w:szCs w:val="31"/>
        </w:rPr>
        <w:t>年</w:t>
      </w:r>
      <w:r>
        <w:rPr>
          <w:rFonts w:hint="eastAsia" w:ascii="楷体" w:hAnsi="楷体" w:eastAsia="楷体" w:cs="楷体"/>
          <w:spacing w:val="21"/>
          <w:sz w:val="31"/>
          <w:szCs w:val="31"/>
        </w:rPr>
        <w:t>6</w:t>
      </w:r>
      <w:r>
        <w:rPr>
          <w:rFonts w:ascii="楷体" w:hAnsi="楷体" w:eastAsia="楷体" w:cs="楷体"/>
          <w:spacing w:val="-8"/>
          <w:sz w:val="31"/>
          <w:szCs w:val="31"/>
        </w:rPr>
        <w:t>月</w:t>
      </w:r>
      <w:r>
        <w:rPr>
          <w:rFonts w:hint="eastAsia" w:ascii="楷体" w:hAnsi="楷体" w:eastAsia="楷体" w:cs="楷体"/>
          <w:spacing w:val="-8"/>
          <w:sz w:val="31"/>
          <w:szCs w:val="31"/>
          <w:lang w:val="en-US" w:eastAsia="zh-CN"/>
        </w:rPr>
        <w:t>28</w:t>
      </w:r>
      <w:r>
        <w:rPr>
          <w:rFonts w:ascii="楷体" w:hAnsi="楷体" w:eastAsia="楷体" w:cs="楷体"/>
          <w:spacing w:val="-8"/>
          <w:sz w:val="31"/>
          <w:szCs w:val="31"/>
        </w:rPr>
        <w:t>日</w:t>
      </w:r>
    </w:p>
    <w:p w14:paraId="787AD60A">
      <w:pPr>
        <w:spacing w:line="335" w:lineRule="auto"/>
        <w:rPr>
          <w:rFonts w:ascii="Arial"/>
        </w:rPr>
      </w:pPr>
    </w:p>
    <w:p w14:paraId="1B72390B">
      <w:pPr>
        <w:pStyle w:val="3"/>
        <w:spacing w:before="102" w:line="224" w:lineRule="auto"/>
        <w:ind w:left="3216"/>
        <w:rPr>
          <w:rFonts w:hint="eastAsia"/>
          <w:lang w:eastAsia="zh-CN"/>
        </w:rPr>
      </w:pPr>
      <w:r>
        <w:rPr>
          <w:spacing w:val="8"/>
          <w:lang w:eastAsia="zh-CN"/>
        </w:rPr>
        <w:t>（此页为封面）</w:t>
      </w:r>
    </w:p>
    <w:p w14:paraId="080314C5">
      <w:pPr>
        <w:spacing w:line="224" w:lineRule="auto"/>
        <w:sectPr>
          <w:footerReference r:id="rId5" w:type="default"/>
          <w:pgSz w:w="11900" w:h="16833"/>
          <w:pgMar w:top="1401" w:right="1583" w:bottom="1445" w:left="1618" w:header="0" w:footer="1170" w:gutter="0"/>
          <w:cols w:space="720" w:num="1"/>
        </w:sectPr>
      </w:pPr>
    </w:p>
    <w:p w14:paraId="1EC26CD6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</w:rPr>
        <w:t>2024年度岳阳市岳阳楼区发展和改革局</w:t>
      </w:r>
    </w:p>
    <w:p w14:paraId="10505D13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</w:rPr>
        <w:t>整体支出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7"/>
          <w:sz w:val="44"/>
          <w:szCs w:val="44"/>
        </w:rPr>
        <w:t>绩效自评报告</w:t>
      </w:r>
    </w:p>
    <w:p w14:paraId="760F5959">
      <w:pPr>
        <w:spacing w:line="283" w:lineRule="auto"/>
        <w:rPr>
          <w:rFonts w:ascii="Arial"/>
        </w:rPr>
      </w:pPr>
    </w:p>
    <w:p w14:paraId="1C77C1A8">
      <w:pPr>
        <w:spacing w:before="101" w:line="222" w:lineRule="auto"/>
        <w:ind w:left="644"/>
        <w:outlineLvl w:val="2"/>
        <w:rPr>
          <w:rFonts w:ascii="黑体" w:hAnsi="黑体" w:eastAsia="黑体" w:cs="黑体"/>
          <w:b/>
          <w:bCs/>
          <w:spacing w:val="3"/>
          <w:sz w:val="31"/>
          <w:szCs w:val="31"/>
        </w:rPr>
      </w:pPr>
    </w:p>
    <w:p w14:paraId="4CBF11B8">
      <w:pPr>
        <w:spacing w:before="101" w:line="222" w:lineRule="auto"/>
        <w:ind w:left="644"/>
        <w:outlineLvl w:val="2"/>
      </w:pPr>
      <w:r>
        <w:rPr>
          <w:rFonts w:ascii="黑体" w:hAnsi="黑体" w:eastAsia="黑体" w:cs="黑体"/>
          <w:b/>
          <w:bCs/>
          <w:spacing w:val="3"/>
          <w:sz w:val="31"/>
          <w:szCs w:val="31"/>
        </w:rPr>
        <w:t>一、单位基本情况</w:t>
      </w:r>
    </w:p>
    <w:p w14:paraId="564320B2">
      <w:pPr>
        <w:spacing w:before="91" w:line="221" w:lineRule="auto"/>
        <w:ind w:left="69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26"/>
          <w:sz w:val="28"/>
          <w:szCs w:val="28"/>
        </w:rPr>
        <w:t>(</w:t>
      </w:r>
      <w:r>
        <w:rPr>
          <w:rFonts w:ascii="仿宋" w:hAnsi="仿宋" w:eastAsia="仿宋" w:cs="仿宋"/>
          <w:spacing w:val="-79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6"/>
          <w:sz w:val="28"/>
          <w:szCs w:val="28"/>
        </w:rPr>
        <w:t>一)部门(单位)基本情况</w:t>
      </w:r>
    </w:p>
    <w:p w14:paraId="4D520A74">
      <w:pPr>
        <w:spacing w:before="235" w:line="222" w:lineRule="auto"/>
        <w:ind w:left="569"/>
        <w:rPr>
          <w:rFonts w:ascii="仿宋" w:hAnsi="仿宋" w:eastAsia="仿宋" w:cs="仿宋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1、</w:t>
      </w:r>
      <w:r>
        <w:rPr>
          <w:rFonts w:ascii="仿宋" w:hAnsi="仿宋" w:eastAsia="仿宋" w:cs="仿宋"/>
          <w:spacing w:val="-6"/>
          <w:sz w:val="28"/>
          <w:szCs w:val="28"/>
        </w:rPr>
        <w:t>职能职责</w:t>
      </w:r>
    </w:p>
    <w:p w14:paraId="4FD39BE4">
      <w:pPr>
        <w:spacing w:before="222" w:line="373" w:lineRule="auto"/>
        <w:ind w:right="241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主要负责全区宏观经济调控、投资综合管理、区域协调</w:t>
      </w:r>
      <w:r>
        <w:rPr>
          <w:rFonts w:ascii="仿宋" w:hAnsi="仿宋" w:eastAsia="仿宋" w:cs="仿宋"/>
          <w:spacing w:val="3"/>
          <w:sz w:val="31"/>
          <w:szCs w:val="31"/>
        </w:rPr>
        <w:t>发展、管理粮食和物资储备等工作。</w:t>
      </w:r>
    </w:p>
    <w:p w14:paraId="51E9C605">
      <w:pPr>
        <w:spacing w:line="222" w:lineRule="auto"/>
        <w:ind w:left="539"/>
        <w:rPr>
          <w:rFonts w:ascii="仿宋" w:hAnsi="仿宋" w:eastAsia="仿宋" w:cs="仿宋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2、</w:t>
      </w:r>
      <w:r>
        <w:rPr>
          <w:rFonts w:ascii="仿宋" w:hAnsi="仿宋" w:eastAsia="仿宋" w:cs="仿宋"/>
          <w:spacing w:val="-3"/>
          <w:sz w:val="28"/>
          <w:szCs w:val="28"/>
        </w:rPr>
        <w:t>机构设置</w:t>
      </w:r>
    </w:p>
    <w:p w14:paraId="51B81F43">
      <w:pPr>
        <w:spacing w:before="232" w:line="357" w:lineRule="auto"/>
        <w:ind w:right="189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>局机关现有人数120人，其中：在职编制39人；离退</w:t>
      </w:r>
      <w:r>
        <w:rPr>
          <w:rFonts w:ascii="仿宋" w:hAnsi="仿宋" w:eastAsia="仿宋" w:cs="仿宋"/>
          <w:spacing w:val="17"/>
          <w:sz w:val="31"/>
          <w:szCs w:val="31"/>
        </w:rPr>
        <w:t>休81人。机关设置10个股室：办公室、政工人事股、财务</w:t>
      </w:r>
      <w:r>
        <w:rPr>
          <w:rFonts w:ascii="仿宋" w:hAnsi="仿宋" w:eastAsia="仿宋" w:cs="仿宋"/>
          <w:spacing w:val="6"/>
          <w:sz w:val="31"/>
          <w:szCs w:val="31"/>
        </w:rPr>
        <w:t>管理股、国民经济综合和规划股、社会发展股、固定资产投资管理股、法规股、项目审批股、产业发展股、成本调查及</w:t>
      </w:r>
      <w:r>
        <w:rPr>
          <w:rFonts w:ascii="仿宋" w:hAnsi="仿宋" w:eastAsia="仿宋" w:cs="仿宋"/>
          <w:spacing w:val="5"/>
          <w:sz w:val="31"/>
          <w:szCs w:val="31"/>
        </w:rPr>
        <w:t>价格管理股，以及两个内设二级机构：信息中心和重点办。</w:t>
      </w:r>
      <w:r>
        <w:rPr>
          <w:rFonts w:ascii="仿宋" w:hAnsi="仿宋" w:eastAsia="仿宋" w:cs="仿宋"/>
          <w:spacing w:val="11"/>
          <w:sz w:val="31"/>
          <w:szCs w:val="31"/>
        </w:rPr>
        <w:t>下设独立核算二级机构3个，分别是岳阳楼区价格认证鉴定</w:t>
      </w:r>
      <w:r>
        <w:rPr>
          <w:rFonts w:ascii="仿宋" w:hAnsi="仿宋" w:eastAsia="仿宋" w:cs="仿宋"/>
          <w:spacing w:val="20"/>
          <w:sz w:val="31"/>
          <w:szCs w:val="31"/>
        </w:rPr>
        <w:t>中心，现有人数10人，其中：在职编制6人，</w:t>
      </w:r>
      <w:r>
        <w:rPr>
          <w:rFonts w:ascii="仿宋" w:hAnsi="仿宋" w:eastAsia="仿宋" w:cs="仿宋"/>
          <w:spacing w:val="19"/>
          <w:sz w:val="31"/>
          <w:szCs w:val="31"/>
        </w:rPr>
        <w:t>离退休4人；</w:t>
      </w:r>
      <w:r>
        <w:rPr>
          <w:rFonts w:ascii="仿宋" w:hAnsi="仿宋" w:eastAsia="仿宋" w:cs="仿宋"/>
          <w:spacing w:val="12"/>
          <w:sz w:val="31"/>
          <w:szCs w:val="31"/>
        </w:rPr>
        <w:t>岳阳楼区生态能源服务中心，现有人数8人，其中：在职编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制8人；岳阳楼区粮食物资储备服务中心，现有人数6</w:t>
      </w:r>
      <w:r>
        <w:rPr>
          <w:rFonts w:ascii="仿宋" w:hAnsi="仿宋" w:eastAsia="仿宋" w:cs="仿宋"/>
          <w:spacing w:val="15"/>
          <w:sz w:val="31"/>
          <w:szCs w:val="31"/>
        </w:rPr>
        <w:t>人，</w:t>
      </w:r>
      <w:r>
        <w:rPr>
          <w:rFonts w:ascii="仿宋" w:hAnsi="仿宋" w:eastAsia="仿宋" w:cs="仿宋"/>
          <w:spacing w:val="14"/>
          <w:sz w:val="31"/>
          <w:szCs w:val="31"/>
        </w:rPr>
        <w:t>其中：在职编制6人。</w:t>
      </w:r>
    </w:p>
    <w:p w14:paraId="01569078">
      <w:pPr>
        <w:spacing w:before="84" w:line="379" w:lineRule="auto"/>
        <w:ind w:right="254" w:firstLine="69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8"/>
          <w:sz w:val="28"/>
          <w:szCs w:val="28"/>
        </w:rPr>
        <w:t>(二)部门(单位)整体支出规模、使用方向和主要内容、涉及</w:t>
      </w:r>
      <w:r>
        <w:rPr>
          <w:rFonts w:ascii="仿宋" w:hAnsi="仿宋" w:eastAsia="仿宋" w:cs="仿宋"/>
          <w:spacing w:val="-9"/>
          <w:sz w:val="28"/>
          <w:szCs w:val="28"/>
        </w:rPr>
        <w:t>范围</w:t>
      </w:r>
    </w:p>
    <w:p w14:paraId="6B017264">
      <w:pPr>
        <w:spacing w:line="379" w:lineRule="auto"/>
        <w:rPr>
          <w:rFonts w:ascii="仿宋" w:hAnsi="仿宋" w:eastAsia="仿宋" w:cs="仿宋"/>
          <w:sz w:val="28"/>
          <w:szCs w:val="28"/>
        </w:rPr>
        <w:sectPr>
          <w:pgSz w:w="12100" w:h="16970"/>
          <w:pgMar w:top="1442" w:right="1815" w:bottom="0" w:left="1810" w:header="0" w:footer="0" w:gutter="0"/>
          <w:cols w:space="720" w:num="1"/>
        </w:sectPr>
      </w:pPr>
    </w:p>
    <w:p w14:paraId="18005EED">
      <w:pPr>
        <w:spacing w:before="234" w:line="362" w:lineRule="auto"/>
        <w:ind w:left="57" w:right="202" w:firstLine="61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2024年部门预算收入既包括一般公共预算收入、政</w:t>
      </w:r>
      <w:r>
        <w:rPr>
          <w:rFonts w:ascii="仿宋" w:hAnsi="仿宋" w:eastAsia="仿宋" w:cs="仿宋"/>
          <w:spacing w:val="6"/>
          <w:sz w:val="31"/>
          <w:szCs w:val="31"/>
        </w:rPr>
        <w:t>府性</w:t>
      </w:r>
      <w:r>
        <w:rPr>
          <w:rFonts w:ascii="仿宋" w:hAnsi="仿宋" w:eastAsia="仿宋" w:cs="仿宋"/>
          <w:spacing w:val="5"/>
          <w:sz w:val="31"/>
          <w:szCs w:val="31"/>
        </w:rPr>
        <w:t>基金收入和国有资本经营预算收入，又包括事业单位经营服务等收入；支出既包括保障局机关及局属事业单位基本运行</w:t>
      </w:r>
      <w:r>
        <w:rPr>
          <w:rFonts w:ascii="仿宋" w:hAnsi="仿宋" w:eastAsia="仿宋" w:cs="仿宋"/>
          <w:spacing w:val="-2"/>
          <w:sz w:val="31"/>
          <w:szCs w:val="31"/>
        </w:rPr>
        <w:t>的经费，也包括发改局归口管理、面向全区分配的专项经费。</w:t>
      </w:r>
    </w:p>
    <w:p w14:paraId="4624A420">
      <w:pPr>
        <w:spacing w:before="1" w:line="292" w:lineRule="auto"/>
        <w:ind w:left="57" w:right="313" w:firstLine="610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11"/>
          <w:sz w:val="31"/>
          <w:szCs w:val="31"/>
        </w:rPr>
        <w:t>1、</w:t>
      </w:r>
      <w:r>
        <w:rPr>
          <w:rFonts w:ascii="仿宋" w:hAnsi="仿宋" w:eastAsia="仿宋" w:cs="仿宋"/>
          <w:spacing w:val="11"/>
          <w:sz w:val="31"/>
          <w:szCs w:val="31"/>
        </w:rPr>
        <w:t>收入预算，2024年年初预算数956.89万元，其中，</w:t>
      </w:r>
      <w:r>
        <w:rPr>
          <w:rFonts w:ascii="仿宋" w:hAnsi="仿宋" w:eastAsia="仿宋" w:cs="仿宋"/>
          <w:spacing w:val="12"/>
          <w:sz w:val="31"/>
          <w:szCs w:val="31"/>
        </w:rPr>
        <w:t>一般公共预算拨款956.89万元。</w:t>
      </w:r>
    </w:p>
    <w:p w14:paraId="52BC5DDB">
      <w:pPr>
        <w:spacing w:before="228" w:line="293" w:lineRule="auto"/>
        <w:ind w:left="57" w:right="312" w:firstLine="610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11"/>
          <w:sz w:val="31"/>
          <w:szCs w:val="31"/>
        </w:rPr>
        <w:t>2、</w:t>
      </w:r>
      <w:r>
        <w:rPr>
          <w:rFonts w:ascii="仿宋" w:hAnsi="仿宋" w:eastAsia="仿宋" w:cs="仿宋"/>
          <w:spacing w:val="11"/>
          <w:sz w:val="31"/>
          <w:szCs w:val="31"/>
        </w:rPr>
        <w:t>支出预算，2024年年初预算数956.89万元，其中，</w:t>
      </w:r>
      <w:r>
        <w:rPr>
          <w:rFonts w:ascii="仿宋" w:hAnsi="仿宋" w:eastAsia="仿宋" w:cs="仿宋"/>
          <w:spacing w:val="10"/>
          <w:sz w:val="31"/>
          <w:szCs w:val="31"/>
        </w:rPr>
        <w:t>一般公共服务支出956.89万元。</w:t>
      </w:r>
    </w:p>
    <w:p w14:paraId="41DAFBAC">
      <w:pPr>
        <w:spacing w:before="162" w:line="221" w:lineRule="auto"/>
        <w:ind w:left="672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2"/>
          <w:sz w:val="31"/>
          <w:szCs w:val="31"/>
        </w:rPr>
        <w:t>二、一般公共预算支出情况</w:t>
      </w:r>
    </w:p>
    <w:p w14:paraId="0415AD23">
      <w:pPr>
        <w:spacing w:before="251" w:line="328" w:lineRule="auto"/>
        <w:ind w:left="57" w:right="306" w:firstLine="680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11"/>
          <w:sz w:val="31"/>
          <w:szCs w:val="31"/>
        </w:rPr>
        <w:t>(一)基本支出情况</w:t>
      </w:r>
      <w:r>
        <w:rPr>
          <w:rFonts w:ascii="仿宋" w:hAnsi="仿宋" w:eastAsia="仿宋" w:cs="仿宋"/>
          <w:spacing w:val="11"/>
          <w:sz w:val="31"/>
          <w:szCs w:val="31"/>
        </w:rPr>
        <w:t>：2024年基本支出836.8</w:t>
      </w:r>
      <w:r>
        <w:rPr>
          <w:rFonts w:hint="eastAsia" w:ascii="仿宋" w:hAnsi="仿宋" w:eastAsia="仿宋" w:cs="仿宋"/>
          <w:spacing w:val="11"/>
          <w:sz w:val="31"/>
          <w:szCs w:val="31"/>
          <w:lang w:val="en-US" w:eastAsia="zh-CN"/>
        </w:rPr>
        <w:t>4</w:t>
      </w:r>
      <w:r>
        <w:rPr>
          <w:rFonts w:ascii="仿宋" w:hAnsi="仿宋" w:eastAsia="仿宋" w:cs="仿宋"/>
          <w:spacing w:val="11"/>
          <w:sz w:val="31"/>
          <w:szCs w:val="31"/>
        </w:rPr>
        <w:t>万元，是</w:t>
      </w:r>
      <w:r>
        <w:rPr>
          <w:rFonts w:ascii="仿宋" w:hAnsi="仿宋" w:eastAsia="仿宋" w:cs="仿宋"/>
          <w:spacing w:val="6"/>
          <w:sz w:val="31"/>
          <w:szCs w:val="31"/>
        </w:rPr>
        <w:t>指为保障单位机构正常运转、完成日常工作任务而发生的各</w:t>
      </w:r>
      <w:r>
        <w:rPr>
          <w:rFonts w:ascii="仿宋" w:hAnsi="仿宋" w:eastAsia="仿宋" w:cs="仿宋"/>
          <w:spacing w:val="5"/>
          <w:sz w:val="31"/>
          <w:szCs w:val="31"/>
        </w:rPr>
        <w:t>项支出，包括用于基本工资、津贴补贴等人员经费以及办公</w:t>
      </w:r>
      <w:r>
        <w:rPr>
          <w:rFonts w:ascii="仿宋" w:hAnsi="仿宋" w:eastAsia="仿宋" w:cs="仿宋"/>
          <w:spacing w:val="4"/>
          <w:sz w:val="31"/>
          <w:szCs w:val="31"/>
        </w:rPr>
        <w:t>费、印刷费、水电费、办公设备购置等日常公用经费。</w:t>
      </w:r>
    </w:p>
    <w:p w14:paraId="02A1457C">
      <w:pPr>
        <w:spacing w:before="178" w:line="359" w:lineRule="auto"/>
        <w:ind w:right="164"/>
        <w:rPr>
          <w:rFonts w:ascii="仿宋" w:hAnsi="仿宋" w:eastAsia="仿宋" w:cs="仿宋"/>
          <w:sz w:val="27"/>
          <w:szCs w:val="27"/>
        </w:rPr>
      </w:pPr>
      <w:r>
        <w:rPr>
          <w:rFonts w:ascii="楷体" w:hAnsi="楷体" w:eastAsia="楷体" w:cs="楷体"/>
          <w:spacing w:val="13"/>
          <w:sz w:val="31"/>
          <w:szCs w:val="31"/>
        </w:rPr>
        <w:t>(二)项目支出情况</w:t>
      </w:r>
      <w:r>
        <w:rPr>
          <w:rFonts w:ascii="仿宋" w:hAnsi="仿宋" w:eastAsia="仿宋" w:cs="仿宋"/>
          <w:spacing w:val="13"/>
          <w:sz w:val="31"/>
          <w:szCs w:val="31"/>
        </w:rPr>
        <w:t>：2024年项目支出801.78万元，是</w:t>
      </w:r>
      <w:r>
        <w:rPr>
          <w:rFonts w:ascii="仿宋" w:hAnsi="仿宋" w:eastAsia="仿宋" w:cs="仿宋"/>
          <w:spacing w:val="19"/>
          <w:sz w:val="31"/>
          <w:szCs w:val="31"/>
        </w:rPr>
        <w:t>指单位为完成特定行政工作任务或事业发展目标而发生的</w:t>
      </w:r>
      <w:r>
        <w:rPr>
          <w:rFonts w:ascii="仿宋" w:hAnsi="仿宋" w:eastAsia="仿宋" w:cs="仿宋"/>
          <w:spacing w:val="12"/>
          <w:sz w:val="31"/>
          <w:szCs w:val="31"/>
        </w:rPr>
        <w:t>支出，包括有关事业发展专项、专项业务费。其中：1、项</w:t>
      </w:r>
      <w:r>
        <w:rPr>
          <w:rFonts w:ascii="仿宋" w:hAnsi="仿宋" w:eastAsia="仿宋" w:cs="仿宋"/>
          <w:spacing w:val="11"/>
          <w:sz w:val="31"/>
          <w:szCs w:val="31"/>
        </w:rPr>
        <w:t>目概算经费支出89.68万元，主要用于政府投资项目</w:t>
      </w:r>
      <w:r>
        <w:rPr>
          <w:rFonts w:ascii="仿宋" w:hAnsi="仿宋" w:eastAsia="仿宋" w:cs="仿宋"/>
          <w:spacing w:val="10"/>
          <w:sz w:val="31"/>
          <w:szCs w:val="31"/>
        </w:rPr>
        <w:t>前期概</w:t>
      </w:r>
      <w:r>
        <w:rPr>
          <w:rFonts w:ascii="仿宋" w:hAnsi="仿宋" w:eastAsia="仿宋" w:cs="仿宋"/>
          <w:spacing w:val="5"/>
          <w:sz w:val="31"/>
          <w:szCs w:val="31"/>
        </w:rPr>
        <w:t>算编制工作，提高资金效益以及项目入库建设经费支出。2、</w:t>
      </w:r>
      <w:r>
        <w:rPr>
          <w:rFonts w:ascii="仿宋" w:hAnsi="仿宋" w:eastAsia="仿宋" w:cs="仿宋"/>
          <w:spacing w:val="8"/>
          <w:sz w:val="31"/>
          <w:szCs w:val="31"/>
        </w:rPr>
        <w:t>“十四五”规划纲要年度执行情况评估及年度</w:t>
      </w:r>
      <w:r>
        <w:rPr>
          <w:rFonts w:ascii="仿宋" w:hAnsi="仿宋" w:eastAsia="仿宋" w:cs="仿宋"/>
          <w:spacing w:val="7"/>
          <w:sz w:val="31"/>
          <w:szCs w:val="31"/>
        </w:rPr>
        <w:t>发展计划编制</w:t>
      </w:r>
      <w:r>
        <w:rPr>
          <w:rFonts w:ascii="仿宋" w:hAnsi="仿宋" w:eastAsia="仿宋" w:cs="仿宋"/>
          <w:spacing w:val="8"/>
          <w:sz w:val="31"/>
          <w:szCs w:val="31"/>
        </w:rPr>
        <w:t>24万元，主要用于对规划实施进展的全面检视与动态调控，</w:t>
      </w:r>
      <w:r>
        <w:rPr>
          <w:rFonts w:ascii="仿宋" w:hAnsi="仿宋" w:eastAsia="仿宋" w:cs="仿宋"/>
          <w:spacing w:val="12"/>
          <w:sz w:val="31"/>
          <w:szCs w:val="31"/>
        </w:rPr>
        <w:t>开展重大课题研究和专项规划编制前期研究；3、编制“十</w:t>
      </w:r>
      <w:r>
        <w:rPr>
          <w:rFonts w:ascii="仿宋" w:hAnsi="仿宋" w:eastAsia="仿宋" w:cs="仿宋"/>
          <w:spacing w:val="10"/>
          <w:sz w:val="31"/>
          <w:szCs w:val="31"/>
        </w:rPr>
        <w:t>四五”时期专项规划10.33万元，主要用于综合管理全区建</w:t>
      </w:r>
      <w:r>
        <w:rPr>
          <w:rFonts w:ascii="仿宋" w:hAnsi="仿宋" w:eastAsia="仿宋" w:cs="仿宋"/>
          <w:spacing w:val="6"/>
          <w:sz w:val="31"/>
          <w:szCs w:val="31"/>
        </w:rPr>
        <w:t>设项目；贯彻执行国家和省、市价格方针、政策以及相</w:t>
      </w:r>
      <w:r>
        <w:rPr>
          <w:rFonts w:ascii="仿宋" w:hAnsi="仿宋" w:eastAsia="仿宋" w:cs="仿宋"/>
          <w:spacing w:val="5"/>
          <w:sz w:val="31"/>
          <w:szCs w:val="31"/>
        </w:rPr>
        <w:t>关法</w:t>
      </w:r>
      <w:r>
        <w:rPr>
          <w:rFonts w:ascii="仿宋" w:hAnsi="仿宋" w:eastAsia="仿宋" w:cs="仿宋"/>
          <w:spacing w:val="6"/>
          <w:sz w:val="31"/>
          <w:szCs w:val="31"/>
        </w:rPr>
        <w:t>律、法规；协调推进经济发展环境的优化；组织实施国民经</w:t>
      </w:r>
      <w:r>
        <w:rPr>
          <w:rFonts w:ascii="仿宋" w:hAnsi="仿宋" w:eastAsia="仿宋" w:cs="仿宋"/>
          <w:spacing w:val="11"/>
          <w:sz w:val="31"/>
          <w:szCs w:val="31"/>
        </w:rPr>
        <w:t>济动员和装备动员相关工作等方面；4、信用体系建设18万</w:t>
      </w:r>
      <w:r>
        <w:rPr>
          <w:rFonts w:ascii="仿宋" w:hAnsi="仿宋" w:eastAsia="仿宋" w:cs="仿宋"/>
          <w:spacing w:val="12"/>
          <w:sz w:val="31"/>
          <w:szCs w:val="31"/>
        </w:rPr>
        <w:t>元，用于社会信用体系平台管理、数据维护等工作；5、物流业发展调度管理3万元，用于我区物流业日常工</w:t>
      </w:r>
      <w:r>
        <w:rPr>
          <w:rFonts w:ascii="仿宋" w:hAnsi="仿宋" w:eastAsia="仿宋" w:cs="仿宋"/>
          <w:spacing w:val="11"/>
          <w:sz w:val="31"/>
          <w:szCs w:val="31"/>
        </w:rPr>
        <w:t>作调度、</w:t>
      </w:r>
      <w:r>
        <w:rPr>
          <w:rFonts w:ascii="仿宋" w:hAnsi="仿宋" w:eastAsia="仿宋" w:cs="仿宋"/>
          <w:spacing w:val="17"/>
          <w:sz w:val="31"/>
          <w:szCs w:val="31"/>
        </w:rPr>
        <w:t>管理；6、四上统计员补贴33.63万元，用于</w:t>
      </w:r>
      <w:r>
        <w:rPr>
          <w:rFonts w:ascii="仿宋" w:hAnsi="仿宋" w:eastAsia="仿宋" w:cs="仿宋"/>
          <w:spacing w:val="16"/>
          <w:sz w:val="31"/>
          <w:szCs w:val="31"/>
        </w:rPr>
        <w:t>加强当前统计</w:t>
      </w:r>
      <w:r>
        <w:rPr>
          <w:rFonts w:ascii="仿宋" w:hAnsi="仿宋" w:eastAsia="仿宋" w:cs="仿宋"/>
          <w:spacing w:val="11"/>
          <w:sz w:val="31"/>
          <w:szCs w:val="31"/>
        </w:rPr>
        <w:t>基层基础工作；7、固定资产投资管理2025年年初支付，用</w:t>
      </w:r>
      <w:r>
        <w:rPr>
          <w:rFonts w:ascii="仿宋" w:hAnsi="仿宋" w:eastAsia="仿宋" w:cs="仿宋"/>
          <w:spacing w:val="6"/>
          <w:sz w:val="31"/>
          <w:szCs w:val="31"/>
        </w:rPr>
        <w:t>于通过发挥市场机制作用，把政府直接提供的一部分公共服</w:t>
      </w:r>
      <w:r>
        <w:rPr>
          <w:rFonts w:ascii="仿宋" w:hAnsi="仿宋" w:eastAsia="仿宋" w:cs="仿宋"/>
          <w:spacing w:val="19"/>
          <w:sz w:val="31"/>
          <w:szCs w:val="31"/>
        </w:rPr>
        <w:t>务事项以及政府履职所需服务事项，按照一定的</w:t>
      </w:r>
      <w:r>
        <w:rPr>
          <w:rFonts w:ascii="仿宋" w:hAnsi="仿宋" w:eastAsia="仿宋" w:cs="仿宋"/>
          <w:spacing w:val="18"/>
          <w:sz w:val="31"/>
          <w:szCs w:val="31"/>
        </w:rPr>
        <w:t>方式和程</w:t>
      </w:r>
      <w:r>
        <w:rPr>
          <w:rFonts w:ascii="仿宋" w:hAnsi="仿宋" w:eastAsia="仿宋" w:cs="仿宋"/>
          <w:spacing w:val="6"/>
          <w:sz w:val="31"/>
          <w:szCs w:val="31"/>
        </w:rPr>
        <w:t>序，交由具备条件的社会力量和事业单位承担，并由政府根</w:t>
      </w:r>
      <w:r>
        <w:rPr>
          <w:rFonts w:ascii="仿宋" w:hAnsi="仿宋" w:eastAsia="仿宋" w:cs="仿宋"/>
          <w:spacing w:val="24"/>
          <w:sz w:val="31"/>
          <w:szCs w:val="31"/>
        </w:rPr>
        <w:t>据合同约定向其支付费用等方面；8、国防动员工作经费</w:t>
      </w:r>
      <w:r>
        <w:rPr>
          <w:rFonts w:ascii="仿宋" w:hAnsi="仿宋" w:eastAsia="仿宋" w:cs="仿宋"/>
          <w:spacing w:val="6"/>
          <w:sz w:val="31"/>
          <w:szCs w:val="31"/>
        </w:rPr>
        <w:t>16.72万元，用于早期人防工程年度维护及宣传；9、碳</w:t>
      </w:r>
      <w:r>
        <w:rPr>
          <w:rFonts w:ascii="仿宋" w:hAnsi="仿宋" w:eastAsia="仿宋" w:cs="仿宋"/>
          <w:spacing w:val="5"/>
          <w:sz w:val="31"/>
          <w:szCs w:val="31"/>
        </w:rPr>
        <w:t>中和</w:t>
      </w:r>
      <w:r>
        <w:rPr>
          <w:rFonts w:ascii="仿宋" w:hAnsi="仿宋" w:eastAsia="仿宋" w:cs="仿宋"/>
          <w:spacing w:val="15"/>
          <w:sz w:val="31"/>
          <w:szCs w:val="31"/>
        </w:rPr>
        <w:t>及塑防16万元，已转入岳阳楼区生态能源服务中心。10、</w:t>
      </w:r>
      <w:r>
        <w:rPr>
          <w:rFonts w:ascii="仿宋" w:hAnsi="仿宋" w:eastAsia="仿宋" w:cs="仿宋"/>
          <w:spacing w:val="17"/>
          <w:sz w:val="31"/>
          <w:szCs w:val="31"/>
        </w:rPr>
        <w:t>项目前期工作经费514.42万元，用于争</w:t>
      </w:r>
      <w:r>
        <w:rPr>
          <w:rFonts w:ascii="仿宋" w:hAnsi="仿宋" w:eastAsia="仿宋" w:cs="仿宋"/>
          <w:spacing w:val="16"/>
          <w:sz w:val="31"/>
          <w:szCs w:val="31"/>
        </w:rPr>
        <w:t>取中央、省预算内</w:t>
      </w:r>
      <w:r>
        <w:rPr>
          <w:rFonts w:ascii="仿宋" w:hAnsi="仿宋" w:eastAsia="仿宋" w:cs="仿宋"/>
          <w:spacing w:val="6"/>
          <w:sz w:val="31"/>
          <w:szCs w:val="31"/>
        </w:rPr>
        <w:t>资金、超长期特别国债、专项债等。11、</w:t>
      </w:r>
      <w:r>
        <w:rPr>
          <w:rFonts w:ascii="仿宋" w:hAnsi="仿宋" w:eastAsia="仿宋" w:cs="仿宋"/>
          <w:spacing w:val="5"/>
          <w:sz w:val="31"/>
          <w:szCs w:val="31"/>
        </w:rPr>
        <w:t>四上企业奖励金92</w:t>
      </w:r>
      <w:r>
        <w:rPr>
          <w:rFonts w:ascii="仿宋" w:hAnsi="仿宋" w:eastAsia="仿宋" w:cs="仿宋"/>
          <w:spacing w:val="6"/>
          <w:sz w:val="31"/>
          <w:szCs w:val="31"/>
        </w:rPr>
        <w:t>万元，用于鼓励企业扩大规模，提升企业积极性，促进经济</w:t>
      </w:r>
      <w:r>
        <w:rPr>
          <w:rFonts w:ascii="仿宋" w:hAnsi="仿宋" w:eastAsia="仿宋" w:cs="仿宋"/>
          <w:spacing w:val="26"/>
          <w:sz w:val="27"/>
          <w:szCs w:val="27"/>
        </w:rPr>
        <w:t>增长等。</w:t>
      </w:r>
    </w:p>
    <w:p w14:paraId="7DFD5FD6">
      <w:pPr>
        <w:spacing w:before="20" w:line="222" w:lineRule="auto"/>
        <w:ind w:left="584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3"/>
          <w:sz w:val="31"/>
          <w:szCs w:val="31"/>
        </w:rPr>
        <w:t>三、政府性基金预算支出情况</w:t>
      </w:r>
    </w:p>
    <w:p w14:paraId="16B8F12B">
      <w:pPr>
        <w:pStyle w:val="3"/>
        <w:spacing w:line="255" w:lineRule="auto"/>
      </w:pPr>
    </w:p>
    <w:p w14:paraId="2BF733AE">
      <w:pPr>
        <w:spacing w:before="101" w:line="220" w:lineRule="auto"/>
        <w:ind w:left="579"/>
      </w:pPr>
      <w:r>
        <w:rPr>
          <w:rFonts w:ascii="仿宋" w:hAnsi="仿宋" w:eastAsia="仿宋" w:cs="仿宋"/>
          <w:spacing w:val="5"/>
          <w:sz w:val="31"/>
          <w:szCs w:val="31"/>
        </w:rPr>
        <w:t>本单位无政府性基金预算支出</w:t>
      </w:r>
    </w:p>
    <w:p w14:paraId="0ABFD152">
      <w:pPr>
        <w:spacing w:before="100" w:line="222" w:lineRule="auto"/>
        <w:ind w:left="584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3"/>
          <w:sz w:val="31"/>
          <w:szCs w:val="31"/>
        </w:rPr>
        <w:t>四、国有资本经营预算支出情况</w:t>
      </w:r>
    </w:p>
    <w:p w14:paraId="201D216C">
      <w:pPr>
        <w:pStyle w:val="3"/>
        <w:spacing w:line="285" w:lineRule="auto"/>
      </w:pPr>
    </w:p>
    <w:p w14:paraId="2A3AEFB6">
      <w:pPr>
        <w:spacing w:before="101" w:line="221" w:lineRule="auto"/>
        <w:ind w:left="5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本单位国有资本经营预算支出</w:t>
      </w:r>
    </w:p>
    <w:p w14:paraId="436ADDD3">
      <w:pPr>
        <w:pStyle w:val="3"/>
        <w:spacing w:line="364" w:lineRule="auto"/>
      </w:pPr>
    </w:p>
    <w:p w14:paraId="03D8E30F">
      <w:pPr>
        <w:spacing w:before="102" w:line="222" w:lineRule="auto"/>
        <w:ind w:left="584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3"/>
          <w:sz w:val="31"/>
          <w:szCs w:val="31"/>
        </w:rPr>
        <w:t>五、社会保险基金预算支出情况</w:t>
      </w:r>
    </w:p>
    <w:p w14:paraId="28FA0E25">
      <w:pPr>
        <w:spacing w:before="268" w:line="221" w:lineRule="auto"/>
        <w:ind w:left="5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2024年社会保险缴费预算79.32万元，其中机关事业单</w:t>
      </w:r>
    </w:p>
    <w:p w14:paraId="07A37311">
      <w:pPr>
        <w:spacing w:before="99" w:line="369" w:lineRule="auto"/>
        <w:ind w:left="44" w:right="23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位基本养老保险缴费53.46万元，职工基本医疗保险</w:t>
      </w:r>
      <w:r>
        <w:rPr>
          <w:rFonts w:ascii="仿宋" w:hAnsi="仿宋" w:eastAsia="仿宋" w:cs="仿宋"/>
          <w:spacing w:val="13"/>
          <w:sz w:val="31"/>
          <w:szCs w:val="31"/>
        </w:rPr>
        <w:t>21.06</w:t>
      </w:r>
      <w:r>
        <w:rPr>
          <w:rFonts w:ascii="仿宋" w:hAnsi="仿宋" w:eastAsia="仿宋" w:cs="仿宋"/>
          <w:spacing w:val="12"/>
          <w:sz w:val="31"/>
          <w:szCs w:val="31"/>
        </w:rPr>
        <w:t>万元，其他社会保障缴费4.8万元。</w:t>
      </w:r>
    </w:p>
    <w:p w14:paraId="20293EB8">
      <w:pPr>
        <w:spacing w:before="126" w:line="221" w:lineRule="auto"/>
        <w:ind w:left="729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2"/>
          <w:sz w:val="31"/>
          <w:szCs w:val="31"/>
        </w:rPr>
        <w:t>六、部门整体支出绩效情况</w:t>
      </w:r>
    </w:p>
    <w:p w14:paraId="2E36442B">
      <w:pPr>
        <w:spacing w:before="310" w:line="220" w:lineRule="auto"/>
        <w:ind w:left="71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2024年，我局各项工作扎实，成效显著</w:t>
      </w:r>
    </w:p>
    <w:p w14:paraId="5E849235">
      <w:pPr>
        <w:spacing w:before="238" w:line="308" w:lineRule="auto"/>
        <w:ind w:left="44" w:right="53" w:firstLine="804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b/>
          <w:bCs/>
          <w:spacing w:val="10"/>
          <w:sz w:val="31"/>
          <w:szCs w:val="31"/>
        </w:rPr>
        <w:t>(一)经济指标方面。</w:t>
      </w:r>
      <w:r>
        <w:rPr>
          <w:rFonts w:ascii="仿宋" w:hAnsi="仿宋" w:eastAsia="仿宋" w:cs="仿宋"/>
          <w:spacing w:val="10"/>
          <w:sz w:val="31"/>
          <w:szCs w:val="31"/>
        </w:rPr>
        <w:t>2024年，全年预计实现地区生产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总值828.4亿元、增长3%,固定资产投资预计完成176亿元、</w:t>
      </w:r>
      <w:r>
        <w:rPr>
          <w:rFonts w:ascii="仿宋" w:hAnsi="仿宋" w:eastAsia="仿宋" w:cs="仿宋"/>
          <w:sz w:val="31"/>
          <w:szCs w:val="31"/>
        </w:rPr>
        <w:t>增长-8.8%。</w:t>
      </w:r>
    </w:p>
    <w:p w14:paraId="508F281B">
      <w:pPr>
        <w:spacing w:before="262" w:line="334" w:lineRule="auto"/>
        <w:ind w:left="44" w:right="136" w:firstLine="799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b/>
          <w:bCs/>
          <w:spacing w:val="10"/>
          <w:sz w:val="31"/>
          <w:szCs w:val="31"/>
        </w:rPr>
        <w:t>(二)牵头实施产业培塑、改革攻坚、区域共进三大行动方面。</w:t>
      </w:r>
      <w:r>
        <w:rPr>
          <w:rFonts w:ascii="仿宋" w:hAnsi="仿宋" w:eastAsia="仿宋" w:cs="仿宋"/>
          <w:spacing w:val="7"/>
          <w:sz w:val="31"/>
          <w:szCs w:val="31"/>
        </w:rPr>
        <w:t>积极落实省、市八大行动工作，制定产业培塑、改</w:t>
      </w:r>
      <w:r>
        <w:rPr>
          <w:rFonts w:ascii="仿宋" w:hAnsi="仿宋" w:eastAsia="仿宋" w:cs="仿宋"/>
          <w:spacing w:val="6"/>
          <w:sz w:val="31"/>
          <w:szCs w:val="31"/>
        </w:rPr>
        <w:t>革攻坚、区域共进三个行动子方案，健全调度</w:t>
      </w:r>
      <w:r>
        <w:rPr>
          <w:rFonts w:ascii="仿宋" w:hAnsi="仿宋" w:eastAsia="仿宋" w:cs="仿宋"/>
          <w:spacing w:val="5"/>
          <w:sz w:val="31"/>
          <w:szCs w:val="31"/>
        </w:rPr>
        <w:t>协调机制，组</w:t>
      </w:r>
      <w:r>
        <w:rPr>
          <w:rFonts w:ascii="仿宋" w:hAnsi="仿宋" w:eastAsia="仿宋" w:cs="仿宋"/>
          <w:spacing w:val="6"/>
          <w:sz w:val="31"/>
          <w:szCs w:val="31"/>
        </w:rPr>
        <w:t>建工作专班，明职定责，形成工作简报十期，加强与市专班汇报对接，认真做好重点工作谋划、推进和落实，全力推动</w:t>
      </w:r>
      <w:r>
        <w:rPr>
          <w:rFonts w:ascii="仿宋" w:hAnsi="仿宋" w:eastAsia="仿宋" w:cs="仿宋"/>
          <w:spacing w:val="4"/>
          <w:sz w:val="31"/>
          <w:szCs w:val="31"/>
        </w:rPr>
        <w:t>实施“八大行动”工作在我区落地见效。</w:t>
      </w:r>
    </w:p>
    <w:p w14:paraId="601F9707">
      <w:pPr>
        <w:spacing w:before="126" w:line="350" w:lineRule="auto"/>
        <w:ind w:right="203" w:firstLine="662" w:firstLineChars="200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b/>
          <w:bCs/>
          <w:spacing w:val="10"/>
          <w:sz w:val="31"/>
          <w:szCs w:val="31"/>
        </w:rPr>
        <w:t>(三)“两重”“两新”送解忧方面。</w:t>
      </w:r>
      <w:r>
        <w:rPr>
          <w:rFonts w:ascii="仿宋" w:hAnsi="仿宋" w:eastAsia="仿宋" w:cs="仿宋"/>
          <w:spacing w:val="6"/>
          <w:sz w:val="31"/>
          <w:szCs w:val="31"/>
        </w:rPr>
        <w:t>整理中央、</w:t>
      </w:r>
      <w:r>
        <w:rPr>
          <w:rFonts w:ascii="仿宋" w:hAnsi="仿宋" w:eastAsia="仿宋" w:cs="仿宋"/>
          <w:spacing w:val="5"/>
          <w:sz w:val="31"/>
          <w:szCs w:val="31"/>
        </w:rPr>
        <w:t>省、</w:t>
      </w:r>
      <w:r>
        <w:rPr>
          <w:rFonts w:ascii="仿宋" w:hAnsi="仿宋" w:eastAsia="仿宋" w:cs="仿宋"/>
          <w:spacing w:val="20"/>
          <w:sz w:val="31"/>
          <w:szCs w:val="31"/>
        </w:rPr>
        <w:t>市各级各类政策文件43篇，印制《推动大规模设备</w:t>
      </w:r>
      <w:r>
        <w:rPr>
          <w:rFonts w:ascii="仿宋" w:hAnsi="仿宋" w:eastAsia="仿宋" w:cs="仿宋"/>
          <w:spacing w:val="19"/>
          <w:sz w:val="31"/>
          <w:szCs w:val="31"/>
        </w:rPr>
        <w:t>更新和消费品以旧换新政策汇编》150余份，《岳阳楼区“两重”</w:t>
      </w:r>
      <w:r>
        <w:rPr>
          <w:rFonts w:ascii="仿宋" w:hAnsi="仿宋" w:eastAsia="仿宋" w:cs="仿宋"/>
          <w:spacing w:val="7"/>
          <w:sz w:val="31"/>
          <w:szCs w:val="31"/>
        </w:rPr>
        <w:t>“两新”政策专区操作指南》1500余份；联合区文旅局等单</w:t>
      </w:r>
      <w:r>
        <w:rPr>
          <w:rFonts w:ascii="仿宋" w:hAnsi="仿宋" w:eastAsia="仿宋" w:cs="仿宋"/>
          <w:spacing w:val="19"/>
          <w:sz w:val="31"/>
          <w:szCs w:val="31"/>
        </w:rPr>
        <w:t>位深入天使互娱、正心文创等44家企业进行政策宣讲，就</w:t>
      </w:r>
      <w:r>
        <w:rPr>
          <w:rFonts w:ascii="仿宋" w:hAnsi="仿宋" w:eastAsia="仿宋" w:cs="仿宋"/>
          <w:spacing w:val="7"/>
          <w:sz w:val="31"/>
          <w:szCs w:val="31"/>
        </w:rPr>
        <w:t>解决制约企业发展的资金、人才、市场竞争等问题，开展现</w:t>
      </w:r>
      <w:r>
        <w:rPr>
          <w:rFonts w:ascii="仿宋" w:hAnsi="仿宋" w:eastAsia="仿宋" w:cs="仿宋"/>
          <w:spacing w:val="26"/>
          <w:sz w:val="31"/>
          <w:szCs w:val="31"/>
        </w:rPr>
        <w:t>场座谈，搜集疑难问题43条，听取企业意见9条；</w:t>
      </w:r>
      <w:r>
        <w:rPr>
          <w:rFonts w:ascii="仿宋" w:hAnsi="仿宋" w:eastAsia="仿宋" w:cs="仿宋"/>
          <w:spacing w:val="25"/>
          <w:sz w:val="31"/>
          <w:szCs w:val="31"/>
        </w:rPr>
        <w:t>在岳阳</w:t>
      </w:r>
      <w:r>
        <w:rPr>
          <w:rFonts w:ascii="仿宋" w:hAnsi="仿宋" w:eastAsia="仿宋" w:cs="仿宋"/>
          <w:sz w:val="31"/>
          <w:szCs w:val="31"/>
        </w:rPr>
        <w:t>楼区人民政府门户网站设立“两重”“两新”政策宣传专</w:t>
      </w:r>
      <w:r>
        <w:rPr>
          <w:rFonts w:ascii="仿宋" w:hAnsi="仿宋" w:eastAsia="仿宋" w:cs="仿宋"/>
          <w:spacing w:val="-1"/>
          <w:sz w:val="31"/>
          <w:szCs w:val="31"/>
        </w:rPr>
        <w:t>栏，</w:t>
      </w:r>
      <w:r>
        <w:rPr>
          <w:rFonts w:ascii="仿宋" w:hAnsi="仿宋" w:eastAsia="仿宋" w:cs="仿宋"/>
          <w:spacing w:val="18"/>
          <w:sz w:val="31"/>
          <w:szCs w:val="31"/>
        </w:rPr>
        <w:t>上传国家、省、市政策文件15篇，区级媒体发</w:t>
      </w:r>
      <w:r>
        <w:rPr>
          <w:rFonts w:ascii="仿宋" w:hAnsi="仿宋" w:eastAsia="仿宋" w:cs="仿宋"/>
          <w:spacing w:val="17"/>
          <w:sz w:val="31"/>
          <w:szCs w:val="31"/>
        </w:rPr>
        <w:t>布新闻宣传</w:t>
      </w:r>
      <w:r>
        <w:rPr>
          <w:rFonts w:ascii="仿宋" w:hAnsi="仿宋" w:eastAsia="仿宋" w:cs="仿宋"/>
          <w:spacing w:val="30"/>
          <w:sz w:val="31"/>
          <w:szCs w:val="31"/>
        </w:rPr>
        <w:t>稿6篇。</w:t>
      </w:r>
    </w:p>
    <w:p w14:paraId="01AAD26C">
      <w:pPr>
        <w:spacing w:before="58" w:line="344" w:lineRule="auto"/>
        <w:ind w:right="92" w:firstLine="850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b/>
          <w:bCs/>
          <w:spacing w:val="10"/>
          <w:sz w:val="31"/>
          <w:szCs w:val="31"/>
        </w:rPr>
        <w:t>(四)项目争资方面。</w:t>
      </w:r>
      <w:r>
        <w:rPr>
          <w:rFonts w:ascii="仿宋" w:hAnsi="仿宋" w:eastAsia="仿宋" w:cs="仿宋"/>
          <w:spacing w:val="8"/>
          <w:sz w:val="31"/>
          <w:szCs w:val="31"/>
        </w:rPr>
        <w:t>今年以来，区委、区政府主要负</w:t>
      </w:r>
      <w:r>
        <w:rPr>
          <w:rFonts w:ascii="仿宋" w:hAnsi="仿宋" w:eastAsia="仿宋" w:cs="仿宋"/>
          <w:spacing w:val="6"/>
          <w:sz w:val="31"/>
          <w:szCs w:val="31"/>
        </w:rPr>
        <w:t>责人多次带队前往国家和省直等部门，就保障性安居工程等项目进行主动对接汇报，取得明显成效。截止目前，全区共</w:t>
      </w:r>
      <w:r>
        <w:rPr>
          <w:rFonts w:ascii="仿宋" w:hAnsi="仿宋" w:eastAsia="仿宋" w:cs="仿宋"/>
          <w:spacing w:val="7"/>
          <w:sz w:val="31"/>
          <w:szCs w:val="31"/>
        </w:rPr>
        <w:t>争取中央、省预算内资金、超长期特别国债</w:t>
      </w:r>
      <w:r>
        <w:rPr>
          <w:rFonts w:ascii="仿宋" w:hAnsi="仿宋" w:eastAsia="仿宋" w:cs="仿宋"/>
          <w:spacing w:val="6"/>
          <w:sz w:val="31"/>
          <w:szCs w:val="31"/>
        </w:rPr>
        <w:t>、专项债等项目</w:t>
      </w:r>
      <w:r>
        <w:rPr>
          <w:rFonts w:ascii="仿宋" w:hAnsi="仿宋" w:eastAsia="仿宋" w:cs="仿宋"/>
          <w:spacing w:val="15"/>
          <w:sz w:val="31"/>
          <w:szCs w:val="31"/>
        </w:rPr>
        <w:t>20个，总投资27.04亿元，争取资金12.69亿元；储备2025</w:t>
      </w:r>
      <w:r>
        <w:rPr>
          <w:rFonts w:ascii="仿宋" w:hAnsi="仿宋" w:eastAsia="仿宋" w:cs="仿宋"/>
          <w:spacing w:val="14"/>
          <w:sz w:val="31"/>
          <w:szCs w:val="31"/>
        </w:rPr>
        <w:t>年中央预算内投资项目80个，总投资24.27亿</w:t>
      </w:r>
      <w:r>
        <w:rPr>
          <w:rFonts w:ascii="仿宋" w:hAnsi="仿宋" w:eastAsia="仿宋" w:cs="仿宋"/>
          <w:spacing w:val="13"/>
          <w:sz w:val="31"/>
          <w:szCs w:val="31"/>
        </w:rPr>
        <w:t>元，拟争资</w:t>
      </w:r>
      <w:r>
        <w:rPr>
          <w:rFonts w:ascii="仿宋" w:hAnsi="仿宋" w:eastAsia="仿宋" w:cs="仿宋"/>
          <w:spacing w:val="9"/>
          <w:sz w:val="31"/>
          <w:szCs w:val="31"/>
        </w:rPr>
        <w:t>11.47亿元，亿元以上项目6个；储备超长期国债</w:t>
      </w:r>
      <w:r>
        <w:rPr>
          <w:rFonts w:ascii="仿宋" w:hAnsi="仿宋" w:eastAsia="仿宋" w:cs="仿宋"/>
          <w:spacing w:val="8"/>
          <w:sz w:val="31"/>
          <w:szCs w:val="31"/>
        </w:rPr>
        <w:t>项目16个，</w:t>
      </w:r>
      <w:r>
        <w:rPr>
          <w:rFonts w:ascii="仿宋" w:hAnsi="仿宋" w:eastAsia="仿宋" w:cs="仿宋"/>
          <w:spacing w:val="21"/>
          <w:sz w:val="31"/>
          <w:szCs w:val="31"/>
        </w:rPr>
        <w:t>总投资16.25亿元，资金需求9.35亿元；储备政府专项债</w:t>
      </w:r>
      <w:r>
        <w:rPr>
          <w:rFonts w:ascii="仿宋" w:hAnsi="仿宋" w:eastAsia="仿宋" w:cs="仿宋"/>
          <w:spacing w:val="20"/>
          <w:sz w:val="31"/>
          <w:szCs w:val="31"/>
        </w:rPr>
        <w:t>券项目24个，总投资45.69亿元，债券需求28.54亿元。</w:t>
      </w:r>
    </w:p>
    <w:p w14:paraId="2237EFAF">
      <w:pPr>
        <w:spacing w:before="253" w:line="360" w:lineRule="auto"/>
        <w:ind w:right="287" w:firstLine="662" w:firstLineChars="200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b/>
          <w:bCs/>
          <w:spacing w:val="10"/>
          <w:sz w:val="31"/>
          <w:szCs w:val="31"/>
        </w:rPr>
        <w:t>(五)项目评估督导和推进方面。</w:t>
      </w:r>
      <w:r>
        <w:rPr>
          <w:rFonts w:ascii="仿宋" w:hAnsi="仿宋" w:eastAsia="仿宋" w:cs="仿宋"/>
          <w:spacing w:val="13"/>
          <w:sz w:val="31"/>
          <w:szCs w:val="31"/>
        </w:rPr>
        <w:t>印制发改政策流程服</w:t>
      </w:r>
      <w:r>
        <w:rPr>
          <w:rFonts w:ascii="仿宋" w:hAnsi="仿宋" w:eastAsia="仿宋" w:cs="仿宋"/>
          <w:spacing w:val="21"/>
          <w:sz w:val="31"/>
          <w:szCs w:val="31"/>
        </w:rPr>
        <w:t>务手册4000册，制定《岳阳楼区2023-20</w:t>
      </w:r>
      <w:r>
        <w:rPr>
          <w:rFonts w:ascii="仿宋" w:hAnsi="仿宋" w:eastAsia="仿宋" w:cs="仿宋"/>
          <w:spacing w:val="20"/>
          <w:sz w:val="31"/>
          <w:szCs w:val="31"/>
        </w:rPr>
        <w:t>24年中央预算内</w:t>
      </w:r>
      <w:r>
        <w:rPr>
          <w:rFonts w:ascii="仿宋" w:hAnsi="仿宋" w:eastAsia="仿宋" w:cs="仿宋"/>
          <w:spacing w:val="6"/>
          <w:sz w:val="31"/>
          <w:szCs w:val="31"/>
        </w:rPr>
        <w:t>投资项目、专项债项目及增发国债项目计划</w:t>
      </w:r>
      <w:r>
        <w:rPr>
          <w:rFonts w:ascii="仿宋" w:hAnsi="仿宋" w:eastAsia="仿宋" w:cs="仿宋"/>
          <w:spacing w:val="5"/>
          <w:sz w:val="31"/>
          <w:szCs w:val="31"/>
        </w:rPr>
        <w:t>执行评估督导工</w:t>
      </w:r>
      <w:r>
        <w:rPr>
          <w:rFonts w:ascii="仿宋" w:hAnsi="仿宋" w:eastAsia="仿宋" w:cs="仿宋"/>
          <w:spacing w:val="12"/>
          <w:sz w:val="31"/>
          <w:szCs w:val="31"/>
        </w:rPr>
        <w:t>作方案》,对项目资金使用情况、项目建设情况及</w:t>
      </w:r>
      <w:r>
        <w:rPr>
          <w:rFonts w:ascii="仿宋" w:hAnsi="仿宋" w:eastAsia="仿宋" w:cs="仿宋"/>
          <w:spacing w:val="11"/>
          <w:sz w:val="31"/>
          <w:szCs w:val="31"/>
        </w:rPr>
        <w:t>项目实施</w:t>
      </w:r>
      <w:r>
        <w:rPr>
          <w:rFonts w:ascii="仿宋" w:hAnsi="仿宋" w:eastAsia="仿宋" w:cs="仿宋"/>
          <w:spacing w:val="15"/>
          <w:sz w:val="31"/>
          <w:szCs w:val="31"/>
        </w:rPr>
        <w:t>成效等内容进行实地评估督导，开展项目评估督导12次，</w:t>
      </w:r>
      <w:r>
        <w:rPr>
          <w:rFonts w:ascii="仿宋" w:hAnsi="仿宋" w:eastAsia="仿宋" w:cs="仿宋"/>
          <w:spacing w:val="17"/>
          <w:sz w:val="31"/>
          <w:szCs w:val="31"/>
        </w:rPr>
        <w:t>发现问题10个，对评估督导中发现问题的单位发送整改通</w:t>
      </w:r>
      <w:r>
        <w:rPr>
          <w:rFonts w:ascii="仿宋" w:hAnsi="仿宋" w:eastAsia="仿宋" w:cs="仿宋"/>
          <w:spacing w:val="7"/>
          <w:sz w:val="31"/>
          <w:szCs w:val="31"/>
        </w:rPr>
        <w:t>知，确保中央、省级资金项目规范、有序快</w:t>
      </w:r>
      <w:r>
        <w:rPr>
          <w:rFonts w:ascii="仿宋" w:hAnsi="仿宋" w:eastAsia="仿宋" w:cs="仿宋"/>
          <w:spacing w:val="6"/>
          <w:sz w:val="31"/>
          <w:szCs w:val="31"/>
        </w:rPr>
        <w:t>速推进。截止目</w:t>
      </w:r>
      <w:r>
        <w:rPr>
          <w:rFonts w:ascii="仿宋" w:hAnsi="仿宋" w:eastAsia="仿宋" w:cs="仿宋"/>
          <w:spacing w:val="26"/>
          <w:sz w:val="31"/>
          <w:szCs w:val="31"/>
        </w:rPr>
        <w:t>前，2023年3个增发国债项目和2024年3个政府专项债券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项目已全部开工建设；2024年10个中央预算内投资项目中，</w:t>
      </w:r>
      <w:r>
        <w:rPr>
          <w:rFonts w:ascii="仿宋" w:hAnsi="仿宋" w:eastAsia="仿宋" w:cs="仿宋"/>
          <w:spacing w:val="6"/>
          <w:sz w:val="31"/>
          <w:szCs w:val="31"/>
        </w:rPr>
        <w:t>3个项目因前期工作暂未开工外，其余项目均已开工建设；2个超长期特别国债项目正在办理前期工作手续；保障</w:t>
      </w:r>
      <w:r>
        <w:rPr>
          <w:rFonts w:ascii="仿宋" w:hAnsi="仿宋" w:eastAsia="仿宋" w:cs="仿宋"/>
          <w:spacing w:val="5"/>
          <w:sz w:val="31"/>
          <w:szCs w:val="31"/>
        </w:rPr>
        <w:t>性安居</w:t>
      </w:r>
      <w:r>
        <w:rPr>
          <w:rFonts w:ascii="仿宋" w:hAnsi="仿宋" w:eastAsia="仿宋" w:cs="仿宋"/>
          <w:spacing w:val="12"/>
          <w:sz w:val="31"/>
          <w:szCs w:val="31"/>
        </w:rPr>
        <w:t>工程第一批、第二批共7个老旧小区改造配套基础设施项目</w:t>
      </w:r>
      <w:r>
        <w:rPr>
          <w:rFonts w:ascii="仿宋" w:hAnsi="仿宋" w:eastAsia="仿宋" w:cs="仿宋"/>
          <w:spacing w:val="1"/>
          <w:sz w:val="31"/>
          <w:szCs w:val="31"/>
        </w:rPr>
        <w:t>已全部开工建设，正在有序实施。</w:t>
      </w:r>
    </w:p>
    <w:p w14:paraId="29179E64">
      <w:pPr>
        <w:spacing w:before="5" w:line="344" w:lineRule="auto"/>
        <w:ind w:left="4" w:right="239" w:firstLine="779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b/>
          <w:bCs/>
          <w:spacing w:val="10"/>
          <w:sz w:val="31"/>
          <w:szCs w:val="31"/>
        </w:rPr>
        <w:t>(六)优化营商环境方面。</w:t>
      </w:r>
      <w:r>
        <w:rPr>
          <w:rFonts w:ascii="仿宋" w:hAnsi="仿宋" w:eastAsia="仿宋" w:cs="仿宋"/>
          <w:spacing w:val="20"/>
          <w:sz w:val="31"/>
          <w:szCs w:val="31"/>
        </w:rPr>
        <w:t>开展2024年度</w:t>
      </w:r>
      <w:r>
        <w:rPr>
          <w:rFonts w:ascii="仿宋" w:hAnsi="仿宋" w:eastAsia="仿宋" w:cs="仿宋"/>
          <w:spacing w:val="19"/>
          <w:sz w:val="31"/>
          <w:szCs w:val="31"/>
        </w:rPr>
        <w:t>“营商清风</w:t>
      </w:r>
      <w:r>
        <w:rPr>
          <w:rFonts w:ascii="仿宋" w:hAnsi="仿宋" w:eastAsia="仿宋" w:cs="仿宋"/>
          <w:spacing w:val="11"/>
          <w:sz w:val="31"/>
          <w:szCs w:val="31"/>
        </w:rPr>
        <w:t>101”专项行动，制定《岳阳楼区发改局202</w:t>
      </w:r>
      <w:r>
        <w:rPr>
          <w:rFonts w:ascii="仿宋" w:hAnsi="仿宋" w:eastAsia="仿宋" w:cs="仿宋"/>
          <w:spacing w:val="10"/>
          <w:sz w:val="31"/>
          <w:szCs w:val="31"/>
        </w:rPr>
        <w:t>4年度“营商清</w:t>
      </w:r>
      <w:r>
        <w:rPr>
          <w:rFonts w:ascii="仿宋" w:hAnsi="仿宋" w:eastAsia="仿宋" w:cs="仿宋"/>
          <w:spacing w:val="8"/>
          <w:sz w:val="31"/>
          <w:szCs w:val="31"/>
        </w:rPr>
        <w:t>风101”专项行动工作方案》。扎实推进信用体系建设，岳</w:t>
      </w:r>
      <w:r>
        <w:rPr>
          <w:rFonts w:ascii="仿宋" w:hAnsi="仿宋" w:eastAsia="仿宋" w:cs="仿宋"/>
          <w:spacing w:val="10"/>
          <w:sz w:val="31"/>
          <w:szCs w:val="31"/>
        </w:rPr>
        <w:t>阳楼区信用工作平台共收集信息215468条，行政许可45268</w:t>
      </w:r>
      <w:r>
        <w:rPr>
          <w:rFonts w:ascii="仿宋" w:hAnsi="仿宋" w:eastAsia="仿宋" w:cs="仿宋"/>
          <w:spacing w:val="17"/>
          <w:sz w:val="31"/>
          <w:szCs w:val="31"/>
        </w:rPr>
        <w:t>条，行政处罚1899条，完成信用修复51条，</w:t>
      </w:r>
      <w:r>
        <w:rPr>
          <w:rFonts w:ascii="仿宋" w:hAnsi="仿宋" w:eastAsia="仿宋" w:cs="仿宋"/>
          <w:spacing w:val="16"/>
          <w:sz w:val="31"/>
          <w:szCs w:val="31"/>
        </w:rPr>
        <w:t>辖区内各银行</w:t>
      </w:r>
      <w:r>
        <w:rPr>
          <w:rFonts w:ascii="仿宋" w:hAnsi="仿宋" w:eastAsia="仿宋" w:cs="仿宋"/>
          <w:spacing w:val="-4"/>
          <w:sz w:val="31"/>
          <w:szCs w:val="31"/>
        </w:rPr>
        <w:t>已全部入驻“信易贷”平台。进一步规范招标投标主体行为，</w:t>
      </w:r>
      <w:r>
        <w:rPr>
          <w:rFonts w:ascii="仿宋" w:hAnsi="仿宋" w:eastAsia="仿宋" w:cs="仿宋"/>
          <w:spacing w:val="10"/>
          <w:sz w:val="31"/>
          <w:szCs w:val="31"/>
        </w:rPr>
        <w:t>借助省级电子信息平台，配合市公共资源交易中心共完成6</w:t>
      </w:r>
      <w:r>
        <w:rPr>
          <w:rFonts w:ascii="仿宋" w:hAnsi="仿宋" w:eastAsia="仿宋" w:cs="仿宋"/>
          <w:spacing w:val="6"/>
          <w:sz w:val="31"/>
          <w:szCs w:val="31"/>
        </w:rPr>
        <w:t>个政府投资建设的项目备案。不断提升审批服务效能，截止</w:t>
      </w:r>
      <w:r>
        <w:rPr>
          <w:rFonts w:ascii="仿宋" w:hAnsi="仿宋" w:eastAsia="仿宋" w:cs="仿宋"/>
          <w:spacing w:val="17"/>
          <w:sz w:val="31"/>
          <w:szCs w:val="31"/>
        </w:rPr>
        <w:t>10月底，全区共审批办结项目146个，总投资50.82亿元；</w:t>
      </w:r>
      <w:r>
        <w:rPr>
          <w:rFonts w:ascii="仿宋" w:hAnsi="仿宋" w:eastAsia="仿宋" w:cs="仿宋"/>
          <w:spacing w:val="18"/>
          <w:sz w:val="31"/>
          <w:szCs w:val="31"/>
        </w:rPr>
        <w:t>概算审核批复87个，核减金额3.26亿元。</w:t>
      </w:r>
    </w:p>
    <w:p w14:paraId="69E3C157">
      <w:pPr>
        <w:spacing w:before="270" w:line="333" w:lineRule="auto"/>
        <w:ind w:left="4" w:right="215" w:firstLine="779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b/>
          <w:bCs/>
          <w:spacing w:val="10"/>
          <w:sz w:val="31"/>
          <w:szCs w:val="31"/>
        </w:rPr>
        <w:t>(七)物流工作方面。</w:t>
      </w:r>
      <w:r>
        <w:rPr>
          <w:rFonts w:ascii="仿宋" w:hAnsi="仿宋" w:eastAsia="仿宋" w:cs="仿宋"/>
          <w:spacing w:val="12"/>
          <w:sz w:val="31"/>
          <w:szCs w:val="31"/>
        </w:rPr>
        <w:t>胥家桥综合物流园区累计吸引78</w:t>
      </w:r>
      <w:r>
        <w:rPr>
          <w:rFonts w:ascii="仿宋" w:hAnsi="仿宋" w:eastAsia="仿宋" w:cs="仿宋"/>
          <w:spacing w:val="18"/>
          <w:sz w:val="31"/>
          <w:szCs w:val="31"/>
        </w:rPr>
        <w:t>家仓储、物流企业入驻，年内引进企业20家，园区城配中心和防疫应急物资储备库整体出租率约为7</w:t>
      </w:r>
      <w:r>
        <w:rPr>
          <w:rFonts w:ascii="仿宋" w:hAnsi="仿宋" w:eastAsia="仿宋" w:cs="仿宋"/>
          <w:spacing w:val="17"/>
          <w:sz w:val="31"/>
          <w:szCs w:val="31"/>
        </w:rPr>
        <w:t>0%;全力推进中</w:t>
      </w:r>
      <w:r>
        <w:rPr>
          <w:rFonts w:ascii="仿宋" w:hAnsi="仿宋" w:eastAsia="仿宋" w:cs="仿宋"/>
          <w:spacing w:val="9"/>
          <w:sz w:val="31"/>
          <w:szCs w:val="31"/>
        </w:rPr>
        <w:t>交岳阳智慧物流园区建设，协调推进园区配套道</w:t>
      </w:r>
      <w:r>
        <w:rPr>
          <w:rFonts w:ascii="仿宋" w:hAnsi="仿宋" w:eastAsia="仿宋" w:cs="仿宋"/>
          <w:spacing w:val="8"/>
          <w:sz w:val="31"/>
          <w:szCs w:val="31"/>
        </w:rPr>
        <w:t>路(海泰路)</w:t>
      </w:r>
      <w:r>
        <w:rPr>
          <w:rFonts w:ascii="仿宋" w:hAnsi="仿宋" w:eastAsia="仿宋" w:cs="仿宋"/>
          <w:spacing w:val="7"/>
          <w:sz w:val="31"/>
          <w:szCs w:val="31"/>
        </w:rPr>
        <w:t>建设，中交物流园年内开园在即；积极推进新邮件处理中心项目建设，协调市邮政分公司新邮件处理中心项目郭镇枣树</w:t>
      </w:r>
      <w:r>
        <w:rPr>
          <w:rFonts w:ascii="仿宋" w:hAnsi="仿宋" w:eastAsia="仿宋" w:cs="仿宋"/>
          <w:spacing w:val="5"/>
          <w:sz w:val="31"/>
          <w:szCs w:val="31"/>
        </w:rPr>
        <w:t>村土地选址论证、用地报批及资产收储等前期工</w:t>
      </w:r>
      <w:r>
        <w:rPr>
          <w:rFonts w:ascii="仿宋" w:hAnsi="仿宋" w:eastAsia="仿宋" w:cs="仿宋"/>
          <w:spacing w:val="4"/>
          <w:sz w:val="31"/>
          <w:szCs w:val="31"/>
        </w:rPr>
        <w:t>作。</w:t>
      </w:r>
    </w:p>
    <w:p w14:paraId="74462C91">
      <w:pPr>
        <w:spacing w:before="283" w:line="327" w:lineRule="auto"/>
        <w:ind w:left="4" w:right="282" w:firstLine="779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b/>
          <w:bCs/>
          <w:spacing w:val="10"/>
          <w:sz w:val="31"/>
          <w:szCs w:val="31"/>
        </w:rPr>
        <w:t>(八)粮食安全和物资储备方面。</w:t>
      </w:r>
      <w:r>
        <w:rPr>
          <w:rFonts w:ascii="仿宋" w:hAnsi="仿宋" w:eastAsia="仿宋" w:cs="仿宋"/>
          <w:spacing w:val="13"/>
          <w:sz w:val="31"/>
          <w:szCs w:val="31"/>
        </w:rPr>
        <w:t>积极落实省、</w:t>
      </w:r>
      <w:r>
        <w:rPr>
          <w:rFonts w:ascii="仿宋" w:hAnsi="仿宋" w:eastAsia="仿宋" w:cs="仿宋"/>
          <w:spacing w:val="12"/>
          <w:sz w:val="31"/>
          <w:szCs w:val="31"/>
        </w:rPr>
        <w:t>市级储</w:t>
      </w:r>
      <w:r>
        <w:rPr>
          <w:rFonts w:ascii="仿宋" w:hAnsi="仿宋" w:eastAsia="仿宋" w:cs="仿宋"/>
          <w:spacing w:val="15"/>
          <w:sz w:val="31"/>
          <w:szCs w:val="31"/>
        </w:rPr>
        <w:t>备粮月度巡查制度，开展监督检查20次，共出动40人次，</w:t>
      </w:r>
      <w:r>
        <w:rPr>
          <w:rFonts w:ascii="仿宋" w:hAnsi="仿宋" w:eastAsia="仿宋" w:cs="仿宋"/>
          <w:spacing w:val="6"/>
          <w:sz w:val="31"/>
          <w:szCs w:val="31"/>
        </w:rPr>
        <w:t>其中：开展政策性粮食收购、储存、销售和粮食流通市场监</w:t>
      </w:r>
      <w:r>
        <w:rPr>
          <w:rFonts w:ascii="仿宋" w:hAnsi="仿宋" w:eastAsia="仿宋" w:cs="仿宋"/>
          <w:spacing w:val="24"/>
          <w:sz w:val="31"/>
          <w:szCs w:val="31"/>
        </w:rPr>
        <w:t>督检查10次，检查相关单位4家，目前全区布局粮食应急加工企业2家，粮食应急供应网点17个，应急配送中心和</w:t>
      </w:r>
      <w:r>
        <w:rPr>
          <w:rFonts w:ascii="仿宋" w:hAnsi="仿宋" w:eastAsia="仿宋" w:cs="仿宋"/>
          <w:spacing w:val="11"/>
          <w:sz w:val="31"/>
          <w:szCs w:val="31"/>
        </w:rPr>
        <w:t>储运企业各1家。维护原粮食企业改制职工人员稳定，合理</w:t>
      </w:r>
      <w:r>
        <w:rPr>
          <w:rFonts w:ascii="仿宋" w:hAnsi="仿宋" w:eastAsia="仿宋" w:cs="仿宋"/>
          <w:spacing w:val="6"/>
          <w:sz w:val="31"/>
          <w:szCs w:val="31"/>
        </w:rPr>
        <w:t>处置原粮食局遗留资产和社会问题，利用重要时</w:t>
      </w:r>
      <w:r>
        <w:rPr>
          <w:rFonts w:ascii="仿宋" w:hAnsi="仿宋" w:eastAsia="仿宋" w:cs="仿宋"/>
          <w:spacing w:val="5"/>
          <w:sz w:val="31"/>
          <w:szCs w:val="31"/>
        </w:rPr>
        <w:t>间节点，开展粮食科技活动周等宣传活动，为市中心城区部队的粮油供</w:t>
      </w:r>
      <w:r>
        <w:rPr>
          <w:rFonts w:ascii="仿宋" w:hAnsi="仿宋" w:eastAsia="仿宋" w:cs="仿宋"/>
          <w:spacing w:val="4"/>
          <w:sz w:val="31"/>
          <w:szCs w:val="31"/>
        </w:rPr>
        <w:t>应提供优质服务和后勤保障。</w:t>
      </w:r>
    </w:p>
    <w:p w14:paraId="1E8AB5C1">
      <w:pPr>
        <w:spacing w:before="15" w:line="324" w:lineRule="auto"/>
        <w:ind w:left="4" w:right="131" w:firstLine="799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b/>
          <w:bCs/>
          <w:spacing w:val="10"/>
          <w:sz w:val="31"/>
          <w:szCs w:val="31"/>
        </w:rPr>
        <w:t>(九)国防动员工作方面。</w:t>
      </w:r>
      <w:r>
        <w:rPr>
          <w:rFonts w:ascii="仿宋" w:hAnsi="仿宋" w:eastAsia="仿宋" w:cs="仿宋"/>
          <w:spacing w:val="12"/>
          <w:sz w:val="31"/>
          <w:szCs w:val="31"/>
        </w:rPr>
        <w:t>编制早期人防工程年度维护</w:t>
      </w:r>
      <w:r>
        <w:rPr>
          <w:rFonts w:ascii="仿宋" w:hAnsi="仿宋" w:eastAsia="仿宋" w:cs="仿宋"/>
          <w:spacing w:val="5"/>
          <w:sz w:val="31"/>
          <w:szCs w:val="31"/>
        </w:rPr>
        <w:t>计划，制定事故应急预案，完成2处排污除渍工</w:t>
      </w:r>
      <w:r>
        <w:rPr>
          <w:rFonts w:ascii="仿宋" w:hAnsi="仿宋" w:eastAsia="仿宋" w:cs="仿宋"/>
          <w:spacing w:val="4"/>
          <w:sz w:val="31"/>
          <w:szCs w:val="31"/>
        </w:rPr>
        <w:t>程前期手续，</w:t>
      </w:r>
      <w:r>
        <w:rPr>
          <w:rFonts w:ascii="仿宋" w:hAnsi="仿宋" w:eastAsia="仿宋" w:cs="仿宋"/>
          <w:spacing w:val="6"/>
          <w:sz w:val="31"/>
          <w:szCs w:val="31"/>
        </w:rPr>
        <w:t>做好指挥通信车、警报设施及电台的保养和维护，</w:t>
      </w:r>
      <w:r>
        <w:rPr>
          <w:rFonts w:ascii="仿宋" w:hAnsi="仿宋" w:eastAsia="仿宋" w:cs="仿宋"/>
          <w:spacing w:val="5"/>
          <w:sz w:val="31"/>
          <w:szCs w:val="31"/>
        </w:rPr>
        <w:t>完成人防</w:t>
      </w:r>
      <w:r>
        <w:rPr>
          <w:rFonts w:ascii="仿宋" w:hAnsi="仿宋" w:eastAsia="仿宋" w:cs="仿宋"/>
          <w:spacing w:val="2"/>
          <w:sz w:val="31"/>
          <w:szCs w:val="31"/>
        </w:rPr>
        <w:t>宣教进社区、进机关、进学校活动。</w:t>
      </w:r>
    </w:p>
    <w:p w14:paraId="0F377945">
      <w:pPr>
        <w:spacing w:before="240" w:line="340" w:lineRule="auto"/>
        <w:ind w:right="131" w:firstLine="804"/>
        <w:rPr>
          <w:rFonts w:ascii="仿宋" w:hAnsi="仿宋" w:eastAsia="仿宋" w:cs="仿宋"/>
          <w:spacing w:val="8"/>
          <w:sz w:val="31"/>
          <w:szCs w:val="31"/>
        </w:rPr>
      </w:pPr>
      <w:r>
        <w:rPr>
          <w:rFonts w:ascii="楷体" w:hAnsi="楷体" w:eastAsia="楷体" w:cs="楷体"/>
          <w:b/>
          <w:bCs/>
          <w:spacing w:val="10"/>
          <w:sz w:val="31"/>
          <w:szCs w:val="31"/>
        </w:rPr>
        <w:t>(十)能源安全和节能审查方面。</w:t>
      </w:r>
      <w:r>
        <w:rPr>
          <w:rFonts w:ascii="仿宋" w:hAnsi="仿宋" w:eastAsia="仿宋" w:cs="仿宋"/>
          <w:spacing w:val="4"/>
          <w:sz w:val="31"/>
          <w:szCs w:val="31"/>
        </w:rPr>
        <w:t>加强能源宣传和监管，</w:t>
      </w:r>
      <w:r>
        <w:rPr>
          <w:rFonts w:ascii="仿宋" w:hAnsi="仿宋" w:eastAsia="仿宋" w:cs="仿宋"/>
          <w:spacing w:val="7"/>
          <w:sz w:val="31"/>
          <w:szCs w:val="31"/>
        </w:rPr>
        <w:t>推动落实安全生产主体责任，定期赴油气长输管道及电力隐</w:t>
      </w:r>
      <w:r>
        <w:rPr>
          <w:rFonts w:ascii="仿宋" w:hAnsi="仿宋" w:eastAsia="仿宋" w:cs="仿宋"/>
          <w:spacing w:val="6"/>
          <w:sz w:val="31"/>
          <w:szCs w:val="31"/>
        </w:rPr>
        <w:t>患现场开展检查督查和宣传活动；强化事故应急演练，下发</w:t>
      </w:r>
      <w:r>
        <w:rPr>
          <w:rFonts w:ascii="仿宋" w:hAnsi="仿宋" w:eastAsia="仿宋" w:cs="仿宋"/>
          <w:spacing w:val="19"/>
          <w:sz w:val="31"/>
          <w:szCs w:val="31"/>
        </w:rPr>
        <w:t>《关于印发岳阳楼区油气长输管道安全生产事故应急预案</w:t>
      </w:r>
      <w:r>
        <w:rPr>
          <w:rFonts w:ascii="仿宋" w:hAnsi="仿宋" w:eastAsia="仿宋" w:cs="仿宋"/>
          <w:spacing w:val="13"/>
          <w:sz w:val="31"/>
          <w:szCs w:val="31"/>
        </w:rPr>
        <w:t>的通知》,开展节能宣传和备案，举办“绿色转型，节能攻</w:t>
      </w:r>
      <w:r>
        <w:rPr>
          <w:rFonts w:ascii="仿宋" w:hAnsi="仿宋" w:eastAsia="仿宋" w:cs="仿宋"/>
          <w:spacing w:val="-1"/>
          <w:sz w:val="31"/>
          <w:szCs w:val="31"/>
        </w:rPr>
        <w:t>坚”系列活动，梳理节能登记备案流程和行业准入备案流程，</w:t>
      </w:r>
      <w:r>
        <w:rPr>
          <w:rFonts w:ascii="仿宋" w:hAnsi="仿宋" w:eastAsia="仿宋" w:cs="仿宋"/>
          <w:spacing w:val="17"/>
          <w:sz w:val="31"/>
          <w:szCs w:val="31"/>
        </w:rPr>
        <w:t>对26个固定资产投资项目进行节能登记备案，对40个光伏</w:t>
      </w:r>
      <w:r>
        <w:rPr>
          <w:rFonts w:ascii="仿宋" w:hAnsi="仿宋" w:eastAsia="仿宋" w:cs="仿宋"/>
          <w:spacing w:val="8"/>
          <w:sz w:val="31"/>
          <w:szCs w:val="31"/>
        </w:rPr>
        <w:t>发电项目、10个充电桩建设项目进行</w:t>
      </w:r>
      <w:bookmarkStart w:id="0" w:name="_GoBack"/>
      <w:bookmarkEnd w:id="0"/>
      <w:r>
        <w:rPr>
          <w:rFonts w:ascii="仿宋" w:hAnsi="仿宋" w:eastAsia="仿宋" w:cs="仿宋"/>
          <w:spacing w:val="8"/>
          <w:sz w:val="31"/>
          <w:szCs w:val="31"/>
        </w:rPr>
        <w:t>准入备案。</w:t>
      </w:r>
    </w:p>
    <w:p w14:paraId="78CC888D">
      <w:pPr>
        <w:spacing w:before="240" w:line="340" w:lineRule="auto"/>
        <w:ind w:right="131" w:firstLine="804"/>
        <w:rPr>
          <w:rFonts w:ascii="仿宋" w:hAnsi="仿宋" w:eastAsia="仿宋" w:cs="仿宋"/>
          <w:spacing w:val="32"/>
          <w:sz w:val="31"/>
          <w:szCs w:val="31"/>
        </w:rPr>
      </w:pPr>
      <w:r>
        <w:rPr>
          <w:rFonts w:ascii="楷体" w:hAnsi="楷体" w:eastAsia="楷体" w:cs="楷体"/>
          <w:b/>
          <w:bCs/>
          <w:spacing w:val="10"/>
          <w:sz w:val="31"/>
          <w:szCs w:val="31"/>
        </w:rPr>
        <w:t>(十一)价格工作方面。</w:t>
      </w:r>
      <w:r>
        <w:rPr>
          <w:rFonts w:ascii="仿宋" w:hAnsi="仿宋" w:eastAsia="仿宋" w:cs="仿宋"/>
          <w:spacing w:val="8"/>
          <w:sz w:val="31"/>
          <w:szCs w:val="31"/>
        </w:rPr>
        <w:t>积极做好价格临时补贴</w:t>
      </w:r>
      <w:r>
        <w:rPr>
          <w:rFonts w:ascii="仿宋" w:hAnsi="仿宋" w:eastAsia="仿宋" w:cs="仿宋"/>
          <w:spacing w:val="7"/>
          <w:sz w:val="31"/>
          <w:szCs w:val="31"/>
        </w:rPr>
        <w:t>发放工</w:t>
      </w:r>
      <w:r>
        <w:rPr>
          <w:rFonts w:ascii="仿宋" w:hAnsi="仿宋" w:eastAsia="仿宋" w:cs="仿宋"/>
          <w:spacing w:val="6"/>
          <w:sz w:val="31"/>
          <w:szCs w:val="31"/>
        </w:rPr>
        <w:t>作，高中学生公寓收费管理工作。严格恪守价格认定行为和</w:t>
      </w:r>
      <w:r>
        <w:rPr>
          <w:rFonts w:ascii="仿宋" w:hAnsi="仿宋" w:eastAsia="仿宋" w:cs="仿宋"/>
          <w:spacing w:val="5"/>
          <w:sz w:val="31"/>
          <w:szCs w:val="31"/>
        </w:rPr>
        <w:t>技术规范，把依法认定贯穿到认定事项的全过程，切实做好</w:t>
      </w:r>
      <w:r>
        <w:rPr>
          <w:rFonts w:ascii="仿宋" w:hAnsi="仿宋" w:eastAsia="仿宋" w:cs="仿宋"/>
          <w:spacing w:val="6"/>
          <w:sz w:val="31"/>
          <w:szCs w:val="31"/>
        </w:rPr>
        <w:t>全环节的风险控制。全年共完成公安机关移交的涉</w:t>
      </w:r>
      <w:r>
        <w:rPr>
          <w:rFonts w:ascii="仿宋" w:hAnsi="仿宋" w:eastAsia="仿宋" w:cs="仿宋"/>
          <w:spacing w:val="5"/>
          <w:sz w:val="31"/>
          <w:szCs w:val="31"/>
        </w:rPr>
        <w:t>案价格认</w:t>
      </w:r>
      <w:r>
        <w:rPr>
          <w:rFonts w:ascii="仿宋" w:hAnsi="仿宋" w:eastAsia="仿宋" w:cs="仿宋"/>
          <w:spacing w:val="22"/>
          <w:sz w:val="31"/>
          <w:szCs w:val="31"/>
        </w:rPr>
        <w:t>定案件870余起(其中楼区公安分局完成690余起、经开区</w:t>
      </w:r>
      <w:r>
        <w:rPr>
          <w:rFonts w:ascii="仿宋" w:hAnsi="仿宋" w:eastAsia="仿宋" w:cs="仿宋"/>
          <w:spacing w:val="33"/>
          <w:sz w:val="31"/>
          <w:szCs w:val="31"/>
        </w:rPr>
        <w:t>公安分局170余起),涉及金额400余万</w:t>
      </w:r>
      <w:r>
        <w:rPr>
          <w:rFonts w:ascii="仿宋" w:hAnsi="仿宋" w:eastAsia="仿宋" w:cs="仿宋"/>
          <w:spacing w:val="32"/>
          <w:sz w:val="31"/>
          <w:szCs w:val="31"/>
        </w:rPr>
        <w:t>元。</w:t>
      </w:r>
    </w:p>
    <w:p w14:paraId="7344B59C">
      <w:pPr>
        <w:spacing w:before="106" w:line="222" w:lineRule="auto"/>
        <w:ind w:left="62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七、存在的问题及原因分析</w:t>
      </w:r>
    </w:p>
    <w:p w14:paraId="7E8E46FD">
      <w:pPr>
        <w:spacing w:before="325" w:line="313" w:lineRule="auto"/>
        <w:ind w:right="62" w:firstLine="6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一</w:t>
      </w:r>
      <w:r>
        <w:rPr>
          <w:rFonts w:ascii="仿宋" w:hAnsi="仿宋" w:eastAsia="仿宋" w:cs="仿宋"/>
          <w:spacing w:val="-8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是预算执行存在偏差，业财融合程度不够高，预算绩</w:t>
      </w:r>
      <w:r>
        <w:rPr>
          <w:rFonts w:ascii="仿宋" w:hAnsi="仿宋" w:eastAsia="仿宋" w:cs="仿宋"/>
          <w:spacing w:val="6"/>
          <w:sz w:val="31"/>
          <w:szCs w:val="31"/>
        </w:rPr>
        <w:t>效管理精细化和前瞻性有待提升，某些业务资金使用效率不</w:t>
      </w:r>
      <w:r>
        <w:rPr>
          <w:rFonts w:ascii="仿宋" w:hAnsi="仿宋" w:eastAsia="仿宋" w:cs="仿宋"/>
          <w:spacing w:val="-1"/>
          <w:sz w:val="31"/>
          <w:szCs w:val="31"/>
        </w:rPr>
        <w:t>够高；二是固定资产投资指标增幅难度较大，入库项目不足。</w:t>
      </w:r>
    </w:p>
    <w:p w14:paraId="692684F0">
      <w:pPr>
        <w:spacing w:before="165" w:line="222" w:lineRule="auto"/>
        <w:ind w:left="62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2"/>
          <w:sz w:val="31"/>
          <w:szCs w:val="31"/>
        </w:rPr>
        <w:t>八、下一步改进措施</w:t>
      </w:r>
    </w:p>
    <w:p w14:paraId="4A5775C3">
      <w:pPr>
        <w:spacing w:before="316" w:line="356" w:lineRule="auto"/>
        <w:ind w:right="175" w:firstLine="62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5"/>
          <w:sz w:val="31"/>
          <w:szCs w:val="31"/>
        </w:rPr>
        <w:t>一是优化预算管理：</w:t>
      </w:r>
      <w:r>
        <w:rPr>
          <w:rFonts w:ascii="仿宋" w:hAnsi="仿宋" w:eastAsia="仿宋" w:cs="仿宋"/>
          <w:spacing w:val="5"/>
          <w:sz w:val="31"/>
          <w:szCs w:val="31"/>
        </w:rPr>
        <w:t>根据上年度资金使用情况，加强与</w:t>
      </w:r>
      <w:r>
        <w:rPr>
          <w:rFonts w:ascii="仿宋" w:hAnsi="仿宋" w:eastAsia="仿宋" w:cs="仿宋"/>
          <w:spacing w:val="7"/>
          <w:sz w:val="31"/>
          <w:szCs w:val="31"/>
        </w:rPr>
        <w:t>各部门沟通协作，提前谋划下一年的预算编制，确保各项预</w:t>
      </w:r>
      <w:r>
        <w:rPr>
          <w:rFonts w:ascii="仿宋" w:hAnsi="仿宋" w:eastAsia="仿宋" w:cs="仿宋"/>
          <w:sz w:val="31"/>
          <w:szCs w:val="31"/>
        </w:rPr>
        <w:t>算指标更加科学、合理；</w:t>
      </w:r>
      <w:r>
        <w:rPr>
          <w:rFonts w:ascii="仿宋" w:hAnsi="仿宋" w:eastAsia="仿宋" w:cs="仿宋"/>
          <w:spacing w:val="-87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z w:val="31"/>
          <w:szCs w:val="31"/>
        </w:rPr>
        <w:t>二是加强资金管理：</w:t>
      </w:r>
      <w:r>
        <w:rPr>
          <w:rFonts w:ascii="仿宋" w:hAnsi="仿宋" w:eastAsia="仿宋" w:cs="仿宋"/>
          <w:spacing w:val="-90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坚持原则，按</w:t>
      </w:r>
      <w:r>
        <w:rPr>
          <w:rFonts w:ascii="仿宋" w:hAnsi="仿宋" w:eastAsia="仿宋" w:cs="仿宋"/>
          <w:spacing w:val="6"/>
          <w:sz w:val="31"/>
          <w:szCs w:val="31"/>
        </w:rPr>
        <w:t>流程签批支付，确保资金管理的规范性，同时进一步优化资金分配，做到专款专用，确保各项支出符合单位工作需</w:t>
      </w:r>
      <w:r>
        <w:rPr>
          <w:rFonts w:ascii="仿宋" w:hAnsi="仿宋" w:eastAsia="仿宋" w:cs="仿宋"/>
          <w:spacing w:val="5"/>
          <w:sz w:val="31"/>
          <w:szCs w:val="31"/>
        </w:rPr>
        <w:t>要。</w:t>
      </w: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三是项目投资要扩面提质：</w:t>
      </w:r>
      <w:r>
        <w:rPr>
          <w:rFonts w:ascii="仿宋" w:hAnsi="仿宋" w:eastAsia="仿宋" w:cs="仿宋"/>
          <w:spacing w:val="-6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紧跟国家、省级政策导向、资金</w:t>
      </w:r>
      <w:r>
        <w:rPr>
          <w:rFonts w:ascii="仿宋" w:hAnsi="仿宋" w:eastAsia="仿宋" w:cs="仿宋"/>
          <w:spacing w:val="6"/>
          <w:sz w:val="31"/>
          <w:szCs w:val="31"/>
        </w:rPr>
        <w:t>投向，增加项目谋划、项目储备的方向和类别，提前做好年</w:t>
      </w:r>
      <w:r>
        <w:rPr>
          <w:rFonts w:ascii="仿宋" w:hAnsi="仿宋" w:eastAsia="仿宋" w:cs="仿宋"/>
          <w:spacing w:val="5"/>
          <w:sz w:val="31"/>
          <w:szCs w:val="31"/>
        </w:rPr>
        <w:t>内项目增补和明年项目储备，实现项目个数、投资总量“双</w:t>
      </w:r>
      <w:r>
        <w:rPr>
          <w:rFonts w:ascii="仿宋" w:hAnsi="仿宋" w:eastAsia="仿宋" w:cs="仿宋"/>
          <w:spacing w:val="15"/>
          <w:sz w:val="31"/>
          <w:szCs w:val="31"/>
        </w:rPr>
        <w:t>提升”,充实我区项目储备库。</w:t>
      </w:r>
    </w:p>
    <w:p w14:paraId="65817420">
      <w:pPr>
        <w:spacing w:before="1" w:line="220" w:lineRule="auto"/>
        <w:ind w:left="624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3"/>
          <w:sz w:val="31"/>
          <w:szCs w:val="31"/>
        </w:rPr>
        <w:t>九、部门整体支出绩效自评结果拟应用和公开情况</w:t>
      </w:r>
    </w:p>
    <w:p w14:paraId="47ECD4A6">
      <w:pPr>
        <w:spacing w:before="261" w:line="222" w:lineRule="auto"/>
        <w:ind w:left="6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其他需要说明的情况</w:t>
      </w:r>
    </w:p>
    <w:p w14:paraId="58A725AA">
      <w:pPr>
        <w:spacing w:before="215" w:line="225" w:lineRule="auto"/>
        <w:ind w:left="6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无</w:t>
      </w:r>
    </w:p>
    <w:p w14:paraId="606BCB0D">
      <w:pPr>
        <w:spacing w:before="260" w:line="222" w:lineRule="auto"/>
        <w:ind w:left="624"/>
        <w:outlineLvl w:val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十、其他需要说明的情况</w:t>
      </w:r>
    </w:p>
    <w:p w14:paraId="32536D0C">
      <w:pPr>
        <w:spacing w:before="249" w:line="225" w:lineRule="auto"/>
        <w:ind w:left="71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无</w:t>
      </w:r>
    </w:p>
    <w:p w14:paraId="3128DF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" w:afterAutospacing="0" w:line="0" w:lineRule="atLeast"/>
        <w:ind w:left="0" w:firstLine="629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6" w:type="default"/>
      <w:pgSz w:w="11906" w:h="16838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AEAF94D-6F1B-4D4F-84D7-DB1209F7983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EA2B065-85FF-429F-9031-1985AAC13FF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04B2AC9-F85B-4EF5-913F-C4815E10342A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C4CEBA95-1A32-4E76-863C-65760F05425F}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  <w:embedRegular r:id="rId5" w:fontKey="{E7FC062B-41E7-4433-910A-EA41BCA309C5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977666F5-5C2D-4208-BFA4-17E325F6DCF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FB6D001B-3702-43F7-9F17-369F971FEFE5}"/>
  </w:font>
  <w:font w:name="WPSEMBED9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42E3DB">
    <w:pPr>
      <w:pStyle w:val="3"/>
      <w:spacing w:before="1" w:line="174" w:lineRule="auto"/>
      <w:ind w:left="57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230BAE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230BAE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B3ED87">
    <w:pPr>
      <w:pStyle w:val="3"/>
      <w:spacing w:before="1" w:line="174" w:lineRule="auto"/>
      <w:ind w:left="57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6E4AD2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6E4AD2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C2FC7D">
    <w:pPr>
      <w:pStyle w:val="3"/>
      <w:spacing w:before="1" w:line="174" w:lineRule="auto"/>
      <w:jc w:val="right"/>
      <w:rPr>
        <w:rFonts w:hint="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7085A0">
                          <w:pPr>
                            <w:pStyle w:val="4"/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mcYOQyAgAAY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Zg8y8JG&#10;by2P0FEeb5eHADmTylGUTgl0Jx4we6lPlz2Jw/3nOUU9/TcsH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2Zxg5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7085A0">
                    <w:pPr>
                      <w:pStyle w:val="4"/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690EC9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5ED3CF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5ED3CF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wMmJlYzJhMzIwMmQ1NjY3N2FiZmZhNTZiNzgxM2YifQ=="/>
  </w:docVars>
  <w:rsids>
    <w:rsidRoot w:val="76284CE1"/>
    <w:rsid w:val="000A3765"/>
    <w:rsid w:val="001D7282"/>
    <w:rsid w:val="0039081D"/>
    <w:rsid w:val="0049022E"/>
    <w:rsid w:val="005E6ECB"/>
    <w:rsid w:val="00665E2F"/>
    <w:rsid w:val="006B5224"/>
    <w:rsid w:val="00744EA1"/>
    <w:rsid w:val="009419CA"/>
    <w:rsid w:val="00955854"/>
    <w:rsid w:val="009C7330"/>
    <w:rsid w:val="00A00FBB"/>
    <w:rsid w:val="00A04D3F"/>
    <w:rsid w:val="00BF0721"/>
    <w:rsid w:val="00C03795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3D4B60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D7721"/>
    <w:rsid w:val="01BF00AB"/>
    <w:rsid w:val="01BF03AA"/>
    <w:rsid w:val="01C01DA9"/>
    <w:rsid w:val="01C0309B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132DD"/>
    <w:rsid w:val="036D41A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4032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878D5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DB04A3"/>
    <w:rsid w:val="05E616EC"/>
    <w:rsid w:val="05EC1380"/>
    <w:rsid w:val="061439B5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50E6A"/>
    <w:rsid w:val="066A7BFC"/>
    <w:rsid w:val="06755979"/>
    <w:rsid w:val="067740D2"/>
    <w:rsid w:val="06854A05"/>
    <w:rsid w:val="068878CA"/>
    <w:rsid w:val="068B5259"/>
    <w:rsid w:val="06986D10"/>
    <w:rsid w:val="069D7E4F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3F4318"/>
    <w:rsid w:val="08455D8D"/>
    <w:rsid w:val="084735B5"/>
    <w:rsid w:val="0848472A"/>
    <w:rsid w:val="084D20E7"/>
    <w:rsid w:val="08502EAB"/>
    <w:rsid w:val="085D6BB3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9267767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8E45E0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054C7"/>
    <w:rsid w:val="0B163034"/>
    <w:rsid w:val="0B1D5B5D"/>
    <w:rsid w:val="0B1F5B6D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429EF"/>
    <w:rsid w:val="0BCE65D1"/>
    <w:rsid w:val="0BD25918"/>
    <w:rsid w:val="0BD60937"/>
    <w:rsid w:val="0BD912A4"/>
    <w:rsid w:val="0BDB65EC"/>
    <w:rsid w:val="0BE135FA"/>
    <w:rsid w:val="0BE800E8"/>
    <w:rsid w:val="0BEE4F6B"/>
    <w:rsid w:val="0C03261E"/>
    <w:rsid w:val="0C0439FA"/>
    <w:rsid w:val="0C0B17DF"/>
    <w:rsid w:val="0C0F382B"/>
    <w:rsid w:val="0C1110C3"/>
    <w:rsid w:val="0C160980"/>
    <w:rsid w:val="0C1B4EF7"/>
    <w:rsid w:val="0C1C297E"/>
    <w:rsid w:val="0C1D4988"/>
    <w:rsid w:val="0C25768D"/>
    <w:rsid w:val="0C297E69"/>
    <w:rsid w:val="0C3840B9"/>
    <w:rsid w:val="0C55038F"/>
    <w:rsid w:val="0C6B7DF9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C636E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F1954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C8346E"/>
    <w:rsid w:val="10E741A0"/>
    <w:rsid w:val="10EF4366"/>
    <w:rsid w:val="10FB7C4C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35CDA"/>
    <w:rsid w:val="115D78BB"/>
    <w:rsid w:val="116001E2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62D4C"/>
    <w:rsid w:val="120B6973"/>
    <w:rsid w:val="12116853"/>
    <w:rsid w:val="12155876"/>
    <w:rsid w:val="12183A1B"/>
    <w:rsid w:val="121A16F7"/>
    <w:rsid w:val="122A11A6"/>
    <w:rsid w:val="123D1BD2"/>
    <w:rsid w:val="123D55BF"/>
    <w:rsid w:val="123E3733"/>
    <w:rsid w:val="123E6D4D"/>
    <w:rsid w:val="12403BC7"/>
    <w:rsid w:val="12435B35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3FF3EF7"/>
    <w:rsid w:val="14047D3B"/>
    <w:rsid w:val="140C7BCE"/>
    <w:rsid w:val="141A00EA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F4219E"/>
    <w:rsid w:val="150135C1"/>
    <w:rsid w:val="15190FE8"/>
    <w:rsid w:val="151C632A"/>
    <w:rsid w:val="151D053F"/>
    <w:rsid w:val="152E4EB1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931764"/>
    <w:rsid w:val="15A42FA4"/>
    <w:rsid w:val="15A6418F"/>
    <w:rsid w:val="15AA091B"/>
    <w:rsid w:val="15BC6BD3"/>
    <w:rsid w:val="15C454F7"/>
    <w:rsid w:val="15CF095E"/>
    <w:rsid w:val="15DA784E"/>
    <w:rsid w:val="15DB017B"/>
    <w:rsid w:val="15E6370B"/>
    <w:rsid w:val="15E84717"/>
    <w:rsid w:val="15EC04AB"/>
    <w:rsid w:val="15EE2D2E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DE4297"/>
    <w:rsid w:val="16E53AFA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8D50A9"/>
    <w:rsid w:val="178F0FE3"/>
    <w:rsid w:val="17AD14F4"/>
    <w:rsid w:val="17B85018"/>
    <w:rsid w:val="17E339CC"/>
    <w:rsid w:val="17F33C57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5464"/>
    <w:rsid w:val="18910B5C"/>
    <w:rsid w:val="18987644"/>
    <w:rsid w:val="18A62960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483398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BD63E6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1349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37230"/>
    <w:rsid w:val="1C74154B"/>
    <w:rsid w:val="1C7F7983"/>
    <w:rsid w:val="1C82672C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9418F"/>
    <w:rsid w:val="1D6B31E8"/>
    <w:rsid w:val="1D6B7F83"/>
    <w:rsid w:val="1D745F75"/>
    <w:rsid w:val="1D776C3D"/>
    <w:rsid w:val="1D870C08"/>
    <w:rsid w:val="1D8B7F05"/>
    <w:rsid w:val="1D90796E"/>
    <w:rsid w:val="1D95321A"/>
    <w:rsid w:val="1DA80CFE"/>
    <w:rsid w:val="1DB85E5C"/>
    <w:rsid w:val="1DBB71A4"/>
    <w:rsid w:val="1DC46662"/>
    <w:rsid w:val="1DCA5E3A"/>
    <w:rsid w:val="1DCF5405"/>
    <w:rsid w:val="1DD75183"/>
    <w:rsid w:val="1DD97409"/>
    <w:rsid w:val="1DDE2626"/>
    <w:rsid w:val="1DDF66A8"/>
    <w:rsid w:val="1DEC54EC"/>
    <w:rsid w:val="1DF4614E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44C33"/>
    <w:rsid w:val="1F3E6318"/>
    <w:rsid w:val="1F4B71B8"/>
    <w:rsid w:val="1F4C39A9"/>
    <w:rsid w:val="1F5665AD"/>
    <w:rsid w:val="1F587E94"/>
    <w:rsid w:val="1F5C044F"/>
    <w:rsid w:val="1F692382"/>
    <w:rsid w:val="1F843502"/>
    <w:rsid w:val="1F8815CD"/>
    <w:rsid w:val="1F8D1995"/>
    <w:rsid w:val="1F935BDD"/>
    <w:rsid w:val="1F963600"/>
    <w:rsid w:val="1F9730E6"/>
    <w:rsid w:val="1FA87477"/>
    <w:rsid w:val="1FBC2C9C"/>
    <w:rsid w:val="1FDE0273"/>
    <w:rsid w:val="1FDE31D9"/>
    <w:rsid w:val="1FE90789"/>
    <w:rsid w:val="1FEF73C9"/>
    <w:rsid w:val="1FF26468"/>
    <w:rsid w:val="2000702C"/>
    <w:rsid w:val="20020491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96190"/>
    <w:rsid w:val="210C69CF"/>
    <w:rsid w:val="21107C1A"/>
    <w:rsid w:val="21127D2B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750CC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A61FC4"/>
    <w:rsid w:val="21C12688"/>
    <w:rsid w:val="21C25E7D"/>
    <w:rsid w:val="21CC4855"/>
    <w:rsid w:val="21D00C81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9D6FB8"/>
    <w:rsid w:val="22A94C09"/>
    <w:rsid w:val="22AB58F3"/>
    <w:rsid w:val="22AD616A"/>
    <w:rsid w:val="22BC7FA6"/>
    <w:rsid w:val="22BF1067"/>
    <w:rsid w:val="22C13FD4"/>
    <w:rsid w:val="22C24771"/>
    <w:rsid w:val="22CB0895"/>
    <w:rsid w:val="23033650"/>
    <w:rsid w:val="231527D7"/>
    <w:rsid w:val="23185AD8"/>
    <w:rsid w:val="23336451"/>
    <w:rsid w:val="23474320"/>
    <w:rsid w:val="23492735"/>
    <w:rsid w:val="235B5F37"/>
    <w:rsid w:val="235C3EA6"/>
    <w:rsid w:val="23604810"/>
    <w:rsid w:val="236C6787"/>
    <w:rsid w:val="23830488"/>
    <w:rsid w:val="23932D47"/>
    <w:rsid w:val="23A46F6A"/>
    <w:rsid w:val="23BE4330"/>
    <w:rsid w:val="23BF0A62"/>
    <w:rsid w:val="23C263BB"/>
    <w:rsid w:val="23C63733"/>
    <w:rsid w:val="23D50A64"/>
    <w:rsid w:val="23DC6F4C"/>
    <w:rsid w:val="23DD2202"/>
    <w:rsid w:val="23F70746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6B74E1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1E60DE"/>
    <w:rsid w:val="255061EE"/>
    <w:rsid w:val="2558779F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673AA1"/>
    <w:rsid w:val="27722B9A"/>
    <w:rsid w:val="27742391"/>
    <w:rsid w:val="277602F5"/>
    <w:rsid w:val="278038CA"/>
    <w:rsid w:val="27C02FCA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96244"/>
    <w:rsid w:val="28F010D9"/>
    <w:rsid w:val="28F05C88"/>
    <w:rsid w:val="29082E70"/>
    <w:rsid w:val="291343EF"/>
    <w:rsid w:val="29166F16"/>
    <w:rsid w:val="292E77DA"/>
    <w:rsid w:val="29394AFC"/>
    <w:rsid w:val="294D5371"/>
    <w:rsid w:val="295867A0"/>
    <w:rsid w:val="295A0917"/>
    <w:rsid w:val="295A5964"/>
    <w:rsid w:val="29615C57"/>
    <w:rsid w:val="29626133"/>
    <w:rsid w:val="296A2440"/>
    <w:rsid w:val="29702C6A"/>
    <w:rsid w:val="29753F13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9FF4754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A45334"/>
    <w:rsid w:val="2BCC1BD6"/>
    <w:rsid w:val="2BDF0CFB"/>
    <w:rsid w:val="2BE234F2"/>
    <w:rsid w:val="2BE33AA6"/>
    <w:rsid w:val="2BE40B44"/>
    <w:rsid w:val="2BE75761"/>
    <w:rsid w:val="2BEF68A7"/>
    <w:rsid w:val="2BF22DBE"/>
    <w:rsid w:val="2BF73785"/>
    <w:rsid w:val="2C0F23A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7348C"/>
    <w:rsid w:val="2C686702"/>
    <w:rsid w:val="2C6E3526"/>
    <w:rsid w:val="2C6F1E54"/>
    <w:rsid w:val="2C763257"/>
    <w:rsid w:val="2C802F50"/>
    <w:rsid w:val="2C8A32B4"/>
    <w:rsid w:val="2C993631"/>
    <w:rsid w:val="2C9B7E11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0147F2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7343C9"/>
    <w:rsid w:val="2D9E60D7"/>
    <w:rsid w:val="2DA20908"/>
    <w:rsid w:val="2DB45073"/>
    <w:rsid w:val="2DB713DE"/>
    <w:rsid w:val="2DC72B92"/>
    <w:rsid w:val="2DE44256"/>
    <w:rsid w:val="2DE557EB"/>
    <w:rsid w:val="2DF54A22"/>
    <w:rsid w:val="2E0449DE"/>
    <w:rsid w:val="2E0E6D42"/>
    <w:rsid w:val="2E0F4249"/>
    <w:rsid w:val="2E2F0A58"/>
    <w:rsid w:val="2E301D0F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BC110F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A6DBB"/>
    <w:rsid w:val="2F4D295B"/>
    <w:rsid w:val="2F5034C7"/>
    <w:rsid w:val="2F551796"/>
    <w:rsid w:val="2F583C3E"/>
    <w:rsid w:val="2F5E4FF7"/>
    <w:rsid w:val="2F625574"/>
    <w:rsid w:val="2F743362"/>
    <w:rsid w:val="2F783818"/>
    <w:rsid w:val="2FA3249D"/>
    <w:rsid w:val="2FA44A0B"/>
    <w:rsid w:val="2FAF57D0"/>
    <w:rsid w:val="2FC05B92"/>
    <w:rsid w:val="2FC70776"/>
    <w:rsid w:val="2FDE3BE4"/>
    <w:rsid w:val="2FE3743A"/>
    <w:rsid w:val="2FE74C6C"/>
    <w:rsid w:val="2FEB3FA9"/>
    <w:rsid w:val="2FEC1413"/>
    <w:rsid w:val="2FEF5C51"/>
    <w:rsid w:val="2FF817EF"/>
    <w:rsid w:val="301F1E0F"/>
    <w:rsid w:val="302E6295"/>
    <w:rsid w:val="30332040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814CF1"/>
    <w:rsid w:val="308E2433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931D3"/>
    <w:rsid w:val="310A5122"/>
    <w:rsid w:val="31190557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512995"/>
    <w:rsid w:val="31664C04"/>
    <w:rsid w:val="317038BB"/>
    <w:rsid w:val="317632AC"/>
    <w:rsid w:val="317958D0"/>
    <w:rsid w:val="317A5E86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43522"/>
    <w:rsid w:val="326470BA"/>
    <w:rsid w:val="326D0D7C"/>
    <w:rsid w:val="326E42CA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B141E0"/>
    <w:rsid w:val="32B27592"/>
    <w:rsid w:val="32B44D2D"/>
    <w:rsid w:val="32BC5879"/>
    <w:rsid w:val="32C90A49"/>
    <w:rsid w:val="32FA2D7F"/>
    <w:rsid w:val="32FC6C4E"/>
    <w:rsid w:val="32FD73FC"/>
    <w:rsid w:val="330326BB"/>
    <w:rsid w:val="33085CC5"/>
    <w:rsid w:val="33100DE3"/>
    <w:rsid w:val="33262CBA"/>
    <w:rsid w:val="332901F1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D740F0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95F01"/>
    <w:rsid w:val="35313A72"/>
    <w:rsid w:val="35493C91"/>
    <w:rsid w:val="355C0228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23C5D"/>
    <w:rsid w:val="367851C1"/>
    <w:rsid w:val="369510BC"/>
    <w:rsid w:val="36973632"/>
    <w:rsid w:val="36A30194"/>
    <w:rsid w:val="36D21A02"/>
    <w:rsid w:val="36E85056"/>
    <w:rsid w:val="36EC7EB3"/>
    <w:rsid w:val="3708411D"/>
    <w:rsid w:val="370E0FEC"/>
    <w:rsid w:val="37104DEB"/>
    <w:rsid w:val="37166BDC"/>
    <w:rsid w:val="372C24A3"/>
    <w:rsid w:val="372D0977"/>
    <w:rsid w:val="372F66F4"/>
    <w:rsid w:val="37337382"/>
    <w:rsid w:val="373D28D9"/>
    <w:rsid w:val="374D0B4E"/>
    <w:rsid w:val="374D3C1C"/>
    <w:rsid w:val="374D5647"/>
    <w:rsid w:val="374F42A7"/>
    <w:rsid w:val="37506DBE"/>
    <w:rsid w:val="3759338C"/>
    <w:rsid w:val="375A30C5"/>
    <w:rsid w:val="37643EED"/>
    <w:rsid w:val="37654002"/>
    <w:rsid w:val="3770253F"/>
    <w:rsid w:val="377A7524"/>
    <w:rsid w:val="377C0259"/>
    <w:rsid w:val="378620B5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BD566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96809"/>
    <w:rsid w:val="392C49BB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EA00A2"/>
    <w:rsid w:val="39F1638E"/>
    <w:rsid w:val="39FB1B18"/>
    <w:rsid w:val="3A001C79"/>
    <w:rsid w:val="3A03692D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6680E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AC5E63"/>
    <w:rsid w:val="3BB67BA7"/>
    <w:rsid w:val="3BC205BC"/>
    <w:rsid w:val="3BC61A51"/>
    <w:rsid w:val="3BC74A4B"/>
    <w:rsid w:val="3BCD08A7"/>
    <w:rsid w:val="3BDF089F"/>
    <w:rsid w:val="3BDF1D94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361DB4"/>
    <w:rsid w:val="3C467833"/>
    <w:rsid w:val="3C4D3B02"/>
    <w:rsid w:val="3C553044"/>
    <w:rsid w:val="3C5B1D89"/>
    <w:rsid w:val="3C5C5193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37D04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736C38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6434D"/>
    <w:rsid w:val="3E4A1D40"/>
    <w:rsid w:val="3E4C287B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13331"/>
    <w:rsid w:val="3EA64DEB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C45A80"/>
    <w:rsid w:val="3FD2348C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935C99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5C1CCA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55C2A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425C9"/>
    <w:rsid w:val="42263E3B"/>
    <w:rsid w:val="422C70F1"/>
    <w:rsid w:val="42305330"/>
    <w:rsid w:val="42382F41"/>
    <w:rsid w:val="423C6CFA"/>
    <w:rsid w:val="42442693"/>
    <w:rsid w:val="424A7DF2"/>
    <w:rsid w:val="42616794"/>
    <w:rsid w:val="427102D5"/>
    <w:rsid w:val="4276696F"/>
    <w:rsid w:val="427B064E"/>
    <w:rsid w:val="42864D18"/>
    <w:rsid w:val="428670A3"/>
    <w:rsid w:val="428D1B97"/>
    <w:rsid w:val="42996825"/>
    <w:rsid w:val="429E0F2A"/>
    <w:rsid w:val="42A82444"/>
    <w:rsid w:val="42B5102C"/>
    <w:rsid w:val="42B608A5"/>
    <w:rsid w:val="42BC00C5"/>
    <w:rsid w:val="42BC6C8F"/>
    <w:rsid w:val="42C5446D"/>
    <w:rsid w:val="42CE5FC3"/>
    <w:rsid w:val="42E11334"/>
    <w:rsid w:val="42E94337"/>
    <w:rsid w:val="42F425C9"/>
    <w:rsid w:val="42F777C1"/>
    <w:rsid w:val="42FE6C02"/>
    <w:rsid w:val="43031943"/>
    <w:rsid w:val="431327F1"/>
    <w:rsid w:val="43182DB2"/>
    <w:rsid w:val="431E4B73"/>
    <w:rsid w:val="432D1B1D"/>
    <w:rsid w:val="43486471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83405B"/>
    <w:rsid w:val="45912351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98770F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DC3AA0"/>
    <w:rsid w:val="46F84006"/>
    <w:rsid w:val="470033AC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741AB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373210"/>
    <w:rsid w:val="494324F6"/>
    <w:rsid w:val="49455D20"/>
    <w:rsid w:val="49524E56"/>
    <w:rsid w:val="49611371"/>
    <w:rsid w:val="497B341F"/>
    <w:rsid w:val="49967AF4"/>
    <w:rsid w:val="49B415EE"/>
    <w:rsid w:val="49B63FD6"/>
    <w:rsid w:val="49BF4D00"/>
    <w:rsid w:val="49D1562B"/>
    <w:rsid w:val="49DE1EF5"/>
    <w:rsid w:val="49E579C4"/>
    <w:rsid w:val="49EA2381"/>
    <w:rsid w:val="49F033BE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B3617"/>
    <w:rsid w:val="4B110177"/>
    <w:rsid w:val="4B1525EA"/>
    <w:rsid w:val="4B1650A7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D5933"/>
    <w:rsid w:val="4BC562A3"/>
    <w:rsid w:val="4BC7680D"/>
    <w:rsid w:val="4BD93A10"/>
    <w:rsid w:val="4BE10A59"/>
    <w:rsid w:val="4BE123D1"/>
    <w:rsid w:val="4BF90797"/>
    <w:rsid w:val="4BFF725A"/>
    <w:rsid w:val="4C016441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9645ED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04F42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4F457B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00881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3B5867"/>
    <w:rsid w:val="51414399"/>
    <w:rsid w:val="515D5FD6"/>
    <w:rsid w:val="51633834"/>
    <w:rsid w:val="51653405"/>
    <w:rsid w:val="516A7012"/>
    <w:rsid w:val="51721A38"/>
    <w:rsid w:val="517D016D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1FE52B1"/>
    <w:rsid w:val="52077D46"/>
    <w:rsid w:val="521255C5"/>
    <w:rsid w:val="52187D0D"/>
    <w:rsid w:val="5225687C"/>
    <w:rsid w:val="522E046E"/>
    <w:rsid w:val="523547E0"/>
    <w:rsid w:val="52361B9C"/>
    <w:rsid w:val="52362A26"/>
    <w:rsid w:val="523A54A0"/>
    <w:rsid w:val="523B0BAD"/>
    <w:rsid w:val="523B7753"/>
    <w:rsid w:val="52416EAD"/>
    <w:rsid w:val="5249154C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915993"/>
    <w:rsid w:val="5297132B"/>
    <w:rsid w:val="529F28D8"/>
    <w:rsid w:val="529F6FBB"/>
    <w:rsid w:val="52B13290"/>
    <w:rsid w:val="52B90DC7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C74BB"/>
    <w:rsid w:val="530D6AAB"/>
    <w:rsid w:val="531973FC"/>
    <w:rsid w:val="53387CD2"/>
    <w:rsid w:val="53514ECE"/>
    <w:rsid w:val="5353575F"/>
    <w:rsid w:val="535B2E70"/>
    <w:rsid w:val="535C4E8B"/>
    <w:rsid w:val="535D5E4C"/>
    <w:rsid w:val="536270DB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A771E4"/>
    <w:rsid w:val="53B2707B"/>
    <w:rsid w:val="53B45677"/>
    <w:rsid w:val="53C0579F"/>
    <w:rsid w:val="53D23CC3"/>
    <w:rsid w:val="53DD2466"/>
    <w:rsid w:val="53DE11D6"/>
    <w:rsid w:val="53DF7CBA"/>
    <w:rsid w:val="53E34323"/>
    <w:rsid w:val="53F40360"/>
    <w:rsid w:val="5407756C"/>
    <w:rsid w:val="540A5EE2"/>
    <w:rsid w:val="54191438"/>
    <w:rsid w:val="542247A4"/>
    <w:rsid w:val="5427381E"/>
    <w:rsid w:val="543B788E"/>
    <w:rsid w:val="5442060B"/>
    <w:rsid w:val="54447CBB"/>
    <w:rsid w:val="545062A7"/>
    <w:rsid w:val="545C3555"/>
    <w:rsid w:val="5461132F"/>
    <w:rsid w:val="54617320"/>
    <w:rsid w:val="547A28DC"/>
    <w:rsid w:val="54827775"/>
    <w:rsid w:val="548B2661"/>
    <w:rsid w:val="548C3C7E"/>
    <w:rsid w:val="54A656E0"/>
    <w:rsid w:val="54AC5134"/>
    <w:rsid w:val="54C505FF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C33131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D63AB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B1636C"/>
    <w:rsid w:val="56C62996"/>
    <w:rsid w:val="56C9634D"/>
    <w:rsid w:val="56D41BE8"/>
    <w:rsid w:val="56D54BC7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4511BD"/>
    <w:rsid w:val="57540996"/>
    <w:rsid w:val="575B456D"/>
    <w:rsid w:val="576A3055"/>
    <w:rsid w:val="57802A35"/>
    <w:rsid w:val="57815555"/>
    <w:rsid w:val="57882730"/>
    <w:rsid w:val="578C3658"/>
    <w:rsid w:val="57947A7F"/>
    <w:rsid w:val="57AD7E3A"/>
    <w:rsid w:val="57B41ECF"/>
    <w:rsid w:val="57B66918"/>
    <w:rsid w:val="57B67E42"/>
    <w:rsid w:val="57BA5F2B"/>
    <w:rsid w:val="57BB3665"/>
    <w:rsid w:val="57BC796D"/>
    <w:rsid w:val="57BD6FCE"/>
    <w:rsid w:val="57CE5E8C"/>
    <w:rsid w:val="57D214D2"/>
    <w:rsid w:val="57DA1A42"/>
    <w:rsid w:val="57DD425E"/>
    <w:rsid w:val="57E7742D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0F3861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52481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E663CF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8637E3"/>
    <w:rsid w:val="5D8A240A"/>
    <w:rsid w:val="5D8A4019"/>
    <w:rsid w:val="5D9907FA"/>
    <w:rsid w:val="5DBC388C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03BC5"/>
    <w:rsid w:val="5E284971"/>
    <w:rsid w:val="5E2C3CE8"/>
    <w:rsid w:val="5E361890"/>
    <w:rsid w:val="5E391380"/>
    <w:rsid w:val="5E480DBB"/>
    <w:rsid w:val="5E4B0589"/>
    <w:rsid w:val="5E532C32"/>
    <w:rsid w:val="5E6A778C"/>
    <w:rsid w:val="5E6B78B9"/>
    <w:rsid w:val="5E72530D"/>
    <w:rsid w:val="5E7B3471"/>
    <w:rsid w:val="5E811840"/>
    <w:rsid w:val="5E966108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35DCF"/>
    <w:rsid w:val="5F3B5980"/>
    <w:rsid w:val="5F475DFB"/>
    <w:rsid w:val="5F4A6912"/>
    <w:rsid w:val="5F5D3310"/>
    <w:rsid w:val="5F792AFF"/>
    <w:rsid w:val="5F7A7AD4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CD2B9B"/>
    <w:rsid w:val="5FD02E83"/>
    <w:rsid w:val="5FE15D7D"/>
    <w:rsid w:val="5FED681E"/>
    <w:rsid w:val="5FFB751D"/>
    <w:rsid w:val="5FFC1DCE"/>
    <w:rsid w:val="600475A4"/>
    <w:rsid w:val="600B2CBA"/>
    <w:rsid w:val="600F19CA"/>
    <w:rsid w:val="600F2399"/>
    <w:rsid w:val="602423C7"/>
    <w:rsid w:val="603F2394"/>
    <w:rsid w:val="604407B5"/>
    <w:rsid w:val="60487E62"/>
    <w:rsid w:val="605A5C34"/>
    <w:rsid w:val="60630B92"/>
    <w:rsid w:val="606E4C0D"/>
    <w:rsid w:val="60734E0E"/>
    <w:rsid w:val="60811477"/>
    <w:rsid w:val="60844109"/>
    <w:rsid w:val="608E3005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8E3791"/>
    <w:rsid w:val="619952F0"/>
    <w:rsid w:val="61A33787"/>
    <w:rsid w:val="61A66AB4"/>
    <w:rsid w:val="61B94C34"/>
    <w:rsid w:val="61BC38FA"/>
    <w:rsid w:val="61BE0E4F"/>
    <w:rsid w:val="61C85E7F"/>
    <w:rsid w:val="61CD78CF"/>
    <w:rsid w:val="61D03DA9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8F0475"/>
    <w:rsid w:val="629105C7"/>
    <w:rsid w:val="62A975CA"/>
    <w:rsid w:val="62AB5771"/>
    <w:rsid w:val="62AE05DB"/>
    <w:rsid w:val="62B60A29"/>
    <w:rsid w:val="62BA5EE7"/>
    <w:rsid w:val="62CD2097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403C73"/>
    <w:rsid w:val="6351410B"/>
    <w:rsid w:val="635D4427"/>
    <w:rsid w:val="635F082F"/>
    <w:rsid w:val="63620A31"/>
    <w:rsid w:val="63710CD7"/>
    <w:rsid w:val="637D427E"/>
    <w:rsid w:val="63861A11"/>
    <w:rsid w:val="638E7A78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14697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A601AC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342D9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30DBD"/>
    <w:rsid w:val="67594618"/>
    <w:rsid w:val="675B3954"/>
    <w:rsid w:val="675F4E37"/>
    <w:rsid w:val="676B6466"/>
    <w:rsid w:val="6776404D"/>
    <w:rsid w:val="679406A3"/>
    <w:rsid w:val="67954429"/>
    <w:rsid w:val="67A2383F"/>
    <w:rsid w:val="67B07AFB"/>
    <w:rsid w:val="67B26E00"/>
    <w:rsid w:val="67B74A0C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8455B8"/>
    <w:rsid w:val="69997B9C"/>
    <w:rsid w:val="69A53B11"/>
    <w:rsid w:val="69A84304"/>
    <w:rsid w:val="69AC5DA1"/>
    <w:rsid w:val="69B52A42"/>
    <w:rsid w:val="69B67148"/>
    <w:rsid w:val="69BE4DB3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26A5C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5C61DA"/>
    <w:rsid w:val="6A6F04CF"/>
    <w:rsid w:val="6A777087"/>
    <w:rsid w:val="6A807B72"/>
    <w:rsid w:val="6A820574"/>
    <w:rsid w:val="6A8D2838"/>
    <w:rsid w:val="6A9274CB"/>
    <w:rsid w:val="6A99048F"/>
    <w:rsid w:val="6AA077DB"/>
    <w:rsid w:val="6AA22738"/>
    <w:rsid w:val="6AA47C92"/>
    <w:rsid w:val="6AB909BB"/>
    <w:rsid w:val="6ABA0C51"/>
    <w:rsid w:val="6ABC136F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5BB1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1F1AB4"/>
    <w:rsid w:val="6C304BD6"/>
    <w:rsid w:val="6C311D32"/>
    <w:rsid w:val="6C33740F"/>
    <w:rsid w:val="6C377C16"/>
    <w:rsid w:val="6C417EB8"/>
    <w:rsid w:val="6C467142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347C2"/>
    <w:rsid w:val="6DC64BAC"/>
    <w:rsid w:val="6DC91BE5"/>
    <w:rsid w:val="6DDA4BA3"/>
    <w:rsid w:val="6DF44C7C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694006"/>
    <w:rsid w:val="6F6C5490"/>
    <w:rsid w:val="6F6D23E0"/>
    <w:rsid w:val="6F6D4CE5"/>
    <w:rsid w:val="6F6D6A5C"/>
    <w:rsid w:val="6F75014C"/>
    <w:rsid w:val="6F761900"/>
    <w:rsid w:val="6F9C52CB"/>
    <w:rsid w:val="6FA71AD5"/>
    <w:rsid w:val="6FAF2607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2C664F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185"/>
    <w:rsid w:val="709F7BD9"/>
    <w:rsid w:val="70A51792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D7FAC"/>
    <w:rsid w:val="713173E8"/>
    <w:rsid w:val="71420658"/>
    <w:rsid w:val="7143472C"/>
    <w:rsid w:val="71440341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341FD3"/>
    <w:rsid w:val="72364FB6"/>
    <w:rsid w:val="723B04C8"/>
    <w:rsid w:val="724266AF"/>
    <w:rsid w:val="724E6817"/>
    <w:rsid w:val="725F40EB"/>
    <w:rsid w:val="72600D68"/>
    <w:rsid w:val="72604620"/>
    <w:rsid w:val="726B02C1"/>
    <w:rsid w:val="726D2C67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1438BD"/>
    <w:rsid w:val="73216743"/>
    <w:rsid w:val="7327134F"/>
    <w:rsid w:val="732D5C49"/>
    <w:rsid w:val="733155C8"/>
    <w:rsid w:val="73403A1F"/>
    <w:rsid w:val="73407A23"/>
    <w:rsid w:val="73422D3C"/>
    <w:rsid w:val="735171FE"/>
    <w:rsid w:val="73625723"/>
    <w:rsid w:val="73661E78"/>
    <w:rsid w:val="736E3CD9"/>
    <w:rsid w:val="737007D9"/>
    <w:rsid w:val="738526B4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740F9"/>
    <w:rsid w:val="746C713B"/>
    <w:rsid w:val="747607E0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7D16FB"/>
    <w:rsid w:val="758641A3"/>
    <w:rsid w:val="758A08EA"/>
    <w:rsid w:val="758B283A"/>
    <w:rsid w:val="75BD313A"/>
    <w:rsid w:val="75BF09C7"/>
    <w:rsid w:val="75BF6D3D"/>
    <w:rsid w:val="75C97F23"/>
    <w:rsid w:val="75D0419D"/>
    <w:rsid w:val="75D800EB"/>
    <w:rsid w:val="75DC1EF4"/>
    <w:rsid w:val="75DD7BCA"/>
    <w:rsid w:val="75E17EDC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0E4D00"/>
    <w:rsid w:val="771670C1"/>
    <w:rsid w:val="772C164B"/>
    <w:rsid w:val="772C16E9"/>
    <w:rsid w:val="772E1F8C"/>
    <w:rsid w:val="77316A71"/>
    <w:rsid w:val="773736A8"/>
    <w:rsid w:val="77534E09"/>
    <w:rsid w:val="77536779"/>
    <w:rsid w:val="77683E14"/>
    <w:rsid w:val="77734EA5"/>
    <w:rsid w:val="777E537D"/>
    <w:rsid w:val="777F5BFE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34125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2C7D69"/>
    <w:rsid w:val="793E4F07"/>
    <w:rsid w:val="79455569"/>
    <w:rsid w:val="79470AE2"/>
    <w:rsid w:val="795123A8"/>
    <w:rsid w:val="79524E02"/>
    <w:rsid w:val="79535AC3"/>
    <w:rsid w:val="79620961"/>
    <w:rsid w:val="79815C5D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B3865"/>
    <w:rsid w:val="7A7041ED"/>
    <w:rsid w:val="7A832390"/>
    <w:rsid w:val="7A92679C"/>
    <w:rsid w:val="7A955810"/>
    <w:rsid w:val="7A985E92"/>
    <w:rsid w:val="7A9A1D5D"/>
    <w:rsid w:val="7A9C2E47"/>
    <w:rsid w:val="7AC019FF"/>
    <w:rsid w:val="7ACA6FB9"/>
    <w:rsid w:val="7AF406B1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27AB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8464A1"/>
    <w:rsid w:val="7C9D2D7B"/>
    <w:rsid w:val="7CA26867"/>
    <w:rsid w:val="7CB43A8E"/>
    <w:rsid w:val="7CC106AB"/>
    <w:rsid w:val="7CCD289A"/>
    <w:rsid w:val="7CDF4250"/>
    <w:rsid w:val="7D09113D"/>
    <w:rsid w:val="7D0B1257"/>
    <w:rsid w:val="7D157A0E"/>
    <w:rsid w:val="7D1658AD"/>
    <w:rsid w:val="7D1B2E27"/>
    <w:rsid w:val="7D1D4159"/>
    <w:rsid w:val="7D243099"/>
    <w:rsid w:val="7D4071CA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AC0DCF"/>
    <w:rsid w:val="7DB025C3"/>
    <w:rsid w:val="7DB1501E"/>
    <w:rsid w:val="7DB31B42"/>
    <w:rsid w:val="7DB676D9"/>
    <w:rsid w:val="7DBE16CF"/>
    <w:rsid w:val="7DC37DE3"/>
    <w:rsid w:val="7DD45912"/>
    <w:rsid w:val="7DD93D26"/>
    <w:rsid w:val="7DF51E1E"/>
    <w:rsid w:val="7E01146C"/>
    <w:rsid w:val="7E0D4E8F"/>
    <w:rsid w:val="7E107D04"/>
    <w:rsid w:val="7E202441"/>
    <w:rsid w:val="7E214E29"/>
    <w:rsid w:val="7E2E0E57"/>
    <w:rsid w:val="7E304C9A"/>
    <w:rsid w:val="7E5341B1"/>
    <w:rsid w:val="7E5D785B"/>
    <w:rsid w:val="7E613E8F"/>
    <w:rsid w:val="7E616C7B"/>
    <w:rsid w:val="7E733A70"/>
    <w:rsid w:val="7E7B6F02"/>
    <w:rsid w:val="7E7C322C"/>
    <w:rsid w:val="7E8A0780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1568D7"/>
    <w:rsid w:val="7F2E0D24"/>
    <w:rsid w:val="7F312E91"/>
    <w:rsid w:val="7F33645C"/>
    <w:rsid w:val="7F370B28"/>
    <w:rsid w:val="7F497F59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next w:val="1"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3221</Words>
  <Characters>3853</Characters>
  <Lines>0</Lines>
  <Paragraphs>0</Paragraphs>
  <TotalTime>9</TotalTime>
  <ScaleCrop>false</ScaleCrop>
  <LinksUpToDate>false</LinksUpToDate>
  <CharactersWithSpaces>3911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烟雨胡同</cp:lastModifiedBy>
  <dcterms:modified xsi:type="dcterms:W3CDTF">2026-09-02T07:25:15Z</dcterms:modified>
  <dc:title>附件1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D2EDA7A81A32474BBF5D7EE488CAE79C_13</vt:lpwstr>
  </property>
  <property fmtid="{D5CDD505-2E9C-101B-9397-08002B2CF9AE}" pid="4" name="KSOTemplateDocerSaveRecord">
    <vt:lpwstr>eyJoZGlkIjoiZWFkMzQ0MzRlNzcyNjcwMGM5NjNmNDc2MTJiNzBhYzgiLCJ1c2VySWQiOiI0MTIxMDY5NjYifQ==</vt:lpwstr>
  </property>
</Properties>
</file>