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D6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08F97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5792B753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14"/>
        <w:gridCol w:w="881"/>
        <w:gridCol w:w="869"/>
      </w:tblGrid>
      <w:tr w14:paraId="31A71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008B8832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3AB9C898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岳阳市岳阳楼区拆迁安置服务中心</w:t>
            </w:r>
          </w:p>
        </w:tc>
      </w:tr>
      <w:tr w14:paraId="136CD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005D76E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5E37513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254" w:type="dxa"/>
            <w:gridSpan w:val="2"/>
            <w:vAlign w:val="top"/>
          </w:tcPr>
          <w:p w14:paraId="3859EA9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750" w:type="dxa"/>
            <w:gridSpan w:val="2"/>
            <w:vAlign w:val="top"/>
          </w:tcPr>
          <w:p w14:paraId="741EA9D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B424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6ABC2FF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AB5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2254" w:type="dxa"/>
            <w:gridSpan w:val="2"/>
            <w:vAlign w:val="center"/>
          </w:tcPr>
          <w:p w14:paraId="1C53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750" w:type="dxa"/>
            <w:gridSpan w:val="2"/>
            <w:vAlign w:val="center"/>
          </w:tcPr>
          <w:p w14:paraId="3CE8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98.00%</w:t>
            </w:r>
          </w:p>
        </w:tc>
      </w:tr>
      <w:tr w14:paraId="6852B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vAlign w:val="top"/>
          </w:tcPr>
          <w:p w14:paraId="6B6E310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33ED3BA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254" w:type="dxa"/>
            <w:gridSpan w:val="2"/>
            <w:vAlign w:val="top"/>
          </w:tcPr>
          <w:p w14:paraId="33A961F6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750" w:type="dxa"/>
            <w:gridSpan w:val="2"/>
            <w:vAlign w:val="top"/>
          </w:tcPr>
          <w:p w14:paraId="080992E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151B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1F71C01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B56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</w:t>
            </w:r>
          </w:p>
        </w:tc>
        <w:tc>
          <w:tcPr>
            <w:tcW w:w="2254" w:type="dxa"/>
            <w:gridSpan w:val="2"/>
            <w:vAlign w:val="center"/>
          </w:tcPr>
          <w:p w14:paraId="4F71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1750" w:type="dxa"/>
            <w:gridSpan w:val="2"/>
            <w:vAlign w:val="center"/>
          </w:tcPr>
          <w:p w14:paraId="3C54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E741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5101F11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E48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FC7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5C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9B93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1EFB6D0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531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0B9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154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E74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08786AB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8F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3013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78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FBFE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vAlign w:val="top"/>
          </w:tcPr>
          <w:p w14:paraId="63437E31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4D0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719A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B8B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5A4E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64FF79D5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910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0.18</w:t>
            </w:r>
          </w:p>
        </w:tc>
        <w:tc>
          <w:tcPr>
            <w:tcW w:w="2254" w:type="dxa"/>
            <w:gridSpan w:val="2"/>
            <w:vAlign w:val="center"/>
          </w:tcPr>
          <w:p w14:paraId="6E1F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0.2</w:t>
            </w:r>
          </w:p>
        </w:tc>
        <w:tc>
          <w:tcPr>
            <w:tcW w:w="1750" w:type="dxa"/>
            <w:gridSpan w:val="2"/>
            <w:vAlign w:val="center"/>
          </w:tcPr>
          <w:p w14:paraId="3585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CDAF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4FE8C5F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79C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3270.63</w:t>
            </w:r>
          </w:p>
        </w:tc>
        <w:tc>
          <w:tcPr>
            <w:tcW w:w="2254" w:type="dxa"/>
            <w:gridSpan w:val="2"/>
            <w:vAlign w:val="center"/>
          </w:tcPr>
          <w:p w14:paraId="1094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50" w:type="dxa"/>
            <w:gridSpan w:val="2"/>
            <w:vAlign w:val="center"/>
          </w:tcPr>
          <w:p w14:paraId="783F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253.07</w:t>
            </w:r>
          </w:p>
        </w:tc>
      </w:tr>
      <w:tr w14:paraId="1C25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6867F6C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34E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41.15</w:t>
            </w:r>
          </w:p>
        </w:tc>
        <w:tc>
          <w:tcPr>
            <w:tcW w:w="2254" w:type="dxa"/>
            <w:gridSpan w:val="2"/>
            <w:vAlign w:val="center"/>
          </w:tcPr>
          <w:p w14:paraId="4FC6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50" w:type="dxa"/>
            <w:gridSpan w:val="2"/>
            <w:vAlign w:val="center"/>
          </w:tcPr>
          <w:p w14:paraId="1F33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48.06</w:t>
            </w:r>
          </w:p>
        </w:tc>
      </w:tr>
      <w:tr w14:paraId="6CD1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5E6309A5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56E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549E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9FB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0136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254251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本级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E2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2254" w:type="dxa"/>
            <w:gridSpan w:val="2"/>
            <w:vAlign w:val="center"/>
          </w:tcPr>
          <w:p w14:paraId="0C5B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gridSpan w:val="2"/>
            <w:vAlign w:val="center"/>
          </w:tcPr>
          <w:p w14:paraId="4D07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205.01</w:t>
            </w:r>
          </w:p>
        </w:tc>
      </w:tr>
      <w:tr w14:paraId="5EB43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center"/>
          </w:tcPr>
          <w:p w14:paraId="2677025A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岳阳楼区电商发展平台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8AB72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019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F71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168.61</w:t>
            </w:r>
          </w:p>
        </w:tc>
      </w:tr>
      <w:tr w14:paraId="75A8A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center"/>
          </w:tcPr>
          <w:p w14:paraId="5A554577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三性人员工资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7BBF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114E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F70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5.0</w:t>
            </w:r>
          </w:p>
        </w:tc>
      </w:tr>
      <w:tr w14:paraId="64144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center"/>
          </w:tcPr>
          <w:p w14:paraId="5617FAD5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遗属抚恤金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BDC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CA3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56A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0.76</w:t>
            </w:r>
          </w:p>
        </w:tc>
      </w:tr>
      <w:tr w14:paraId="1D1A4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850" w:type="dxa"/>
            <w:vAlign w:val="center"/>
          </w:tcPr>
          <w:p w14:paraId="096E2463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其他(年度奖金及其他)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EB9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729B7C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126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30.64</w:t>
            </w:r>
          </w:p>
        </w:tc>
      </w:tr>
      <w:tr w14:paraId="5D8F4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center"/>
          </w:tcPr>
          <w:p w14:paraId="61072D29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新冠疫情防控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08CD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109.94</w:t>
            </w:r>
          </w:p>
        </w:tc>
        <w:tc>
          <w:tcPr>
            <w:tcW w:w="2254" w:type="dxa"/>
            <w:gridSpan w:val="2"/>
            <w:vAlign w:val="center"/>
          </w:tcPr>
          <w:p w14:paraId="69A68F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202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7BB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850" w:type="dxa"/>
            <w:vAlign w:val="center"/>
          </w:tcPr>
          <w:p w14:paraId="1EB9E38A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开放性经济发展专项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2DF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1618.17</w:t>
            </w:r>
          </w:p>
        </w:tc>
        <w:tc>
          <w:tcPr>
            <w:tcW w:w="2254" w:type="dxa"/>
            <w:gridSpan w:val="2"/>
            <w:vAlign w:val="center"/>
          </w:tcPr>
          <w:p w14:paraId="7B5D5F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1BC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09A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center"/>
          </w:tcPr>
          <w:p w14:paraId="36EF5656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后续人员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经费追加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E9A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20.71</w:t>
            </w:r>
          </w:p>
        </w:tc>
        <w:tc>
          <w:tcPr>
            <w:tcW w:w="2254" w:type="dxa"/>
            <w:gridSpan w:val="2"/>
            <w:vAlign w:val="center"/>
          </w:tcPr>
          <w:p w14:paraId="05EBAE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F4D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B53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3850" w:type="dxa"/>
            <w:vAlign w:val="center"/>
          </w:tcPr>
          <w:p w14:paraId="529FD9E7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胥家桥安置小区土地契税、土地出让金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3FA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962</w:t>
            </w:r>
          </w:p>
        </w:tc>
        <w:tc>
          <w:tcPr>
            <w:tcW w:w="2254" w:type="dxa"/>
            <w:gridSpan w:val="2"/>
            <w:vAlign w:val="center"/>
          </w:tcPr>
          <w:p w14:paraId="1DBBF6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FFD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3FD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3850" w:type="dxa"/>
            <w:vAlign w:val="center"/>
          </w:tcPr>
          <w:p w14:paraId="4A4079E3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螺丝港B地块保证金退还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253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169.4</w:t>
            </w:r>
          </w:p>
        </w:tc>
        <w:tc>
          <w:tcPr>
            <w:tcW w:w="2254" w:type="dxa"/>
            <w:gridSpan w:val="2"/>
            <w:vAlign w:val="center"/>
          </w:tcPr>
          <w:p w14:paraId="7090A7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ACE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988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3850" w:type="dxa"/>
            <w:vAlign w:val="center"/>
          </w:tcPr>
          <w:p w14:paraId="22776857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年度奖金（综合绩效奖及平安建设奖）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03EC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39.10</w:t>
            </w:r>
          </w:p>
        </w:tc>
        <w:tc>
          <w:tcPr>
            <w:tcW w:w="2254" w:type="dxa"/>
            <w:gridSpan w:val="2"/>
            <w:vAlign w:val="center"/>
          </w:tcPr>
          <w:p w14:paraId="32F3A0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189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CB5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3850" w:type="dxa"/>
            <w:vAlign w:val="center"/>
          </w:tcPr>
          <w:p w14:paraId="2D6E1FED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征收业务工作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701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300.2</w:t>
            </w:r>
          </w:p>
        </w:tc>
        <w:tc>
          <w:tcPr>
            <w:tcW w:w="2254" w:type="dxa"/>
            <w:gridSpan w:val="2"/>
            <w:vAlign w:val="center"/>
          </w:tcPr>
          <w:p w14:paraId="3470BB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FF8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C9B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850" w:type="dxa"/>
            <w:vAlign w:val="center"/>
          </w:tcPr>
          <w:p w14:paraId="3A6B8762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档案整理尾款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B4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9.96</w:t>
            </w:r>
          </w:p>
        </w:tc>
        <w:tc>
          <w:tcPr>
            <w:tcW w:w="2254" w:type="dxa"/>
            <w:gridSpan w:val="2"/>
            <w:vAlign w:val="center"/>
          </w:tcPr>
          <w:p w14:paraId="3CBF8C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9DE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B44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2963612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37A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76.69</w:t>
            </w:r>
          </w:p>
        </w:tc>
        <w:tc>
          <w:tcPr>
            <w:tcW w:w="2254" w:type="dxa"/>
            <w:gridSpan w:val="2"/>
            <w:vAlign w:val="center"/>
          </w:tcPr>
          <w:p w14:paraId="269A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82.8</w:t>
            </w:r>
          </w:p>
        </w:tc>
        <w:tc>
          <w:tcPr>
            <w:tcW w:w="1750" w:type="dxa"/>
            <w:gridSpan w:val="2"/>
            <w:vAlign w:val="center"/>
          </w:tcPr>
          <w:p w14:paraId="6656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79.11</w:t>
            </w:r>
          </w:p>
        </w:tc>
      </w:tr>
      <w:tr w14:paraId="109DD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Align w:val="top"/>
          </w:tcPr>
          <w:p w14:paraId="37E659AE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F44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12.3</w:t>
            </w:r>
          </w:p>
        </w:tc>
        <w:tc>
          <w:tcPr>
            <w:tcW w:w="2254" w:type="dxa"/>
            <w:gridSpan w:val="2"/>
            <w:vAlign w:val="center"/>
          </w:tcPr>
          <w:p w14:paraId="56CE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50" w:type="dxa"/>
            <w:gridSpan w:val="2"/>
            <w:vAlign w:val="center"/>
          </w:tcPr>
          <w:p w14:paraId="520D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12.75</w:t>
            </w:r>
          </w:p>
        </w:tc>
      </w:tr>
      <w:tr w14:paraId="60016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5A6980E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45B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6.03</w:t>
            </w:r>
          </w:p>
        </w:tc>
        <w:tc>
          <w:tcPr>
            <w:tcW w:w="2254" w:type="dxa"/>
            <w:gridSpan w:val="2"/>
            <w:vAlign w:val="center"/>
          </w:tcPr>
          <w:p w14:paraId="67D7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6.2</w:t>
            </w:r>
          </w:p>
        </w:tc>
        <w:tc>
          <w:tcPr>
            <w:tcW w:w="1750" w:type="dxa"/>
            <w:gridSpan w:val="2"/>
            <w:vAlign w:val="center"/>
          </w:tcPr>
          <w:p w14:paraId="17AC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6.13</w:t>
            </w:r>
          </w:p>
        </w:tc>
      </w:tr>
      <w:tr w14:paraId="49C1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314647BA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69D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B9F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0.3</w:t>
            </w:r>
          </w:p>
        </w:tc>
        <w:tc>
          <w:tcPr>
            <w:tcW w:w="1750" w:type="dxa"/>
            <w:gridSpan w:val="2"/>
            <w:vAlign w:val="center"/>
          </w:tcPr>
          <w:p w14:paraId="168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DA0F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0ECFCA6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7C6E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254.33</w:t>
            </w:r>
          </w:p>
        </w:tc>
        <w:tc>
          <w:tcPr>
            <w:tcW w:w="2254" w:type="dxa"/>
            <w:gridSpan w:val="2"/>
            <w:vAlign w:val="center"/>
          </w:tcPr>
          <w:p w14:paraId="117B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89.84</w:t>
            </w:r>
          </w:p>
        </w:tc>
        <w:tc>
          <w:tcPr>
            <w:tcW w:w="1750" w:type="dxa"/>
            <w:gridSpan w:val="2"/>
            <w:vAlign w:val="center"/>
          </w:tcPr>
          <w:p w14:paraId="5563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86.31</w:t>
            </w:r>
          </w:p>
        </w:tc>
      </w:tr>
      <w:tr w14:paraId="3613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FDEE1A4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5E549C5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Align w:val="top"/>
          </w:tcPr>
          <w:p w14:paraId="09E890F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top"/>
          </w:tcPr>
          <w:p w14:paraId="1B64B7E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35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154B5FF5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2B05E1F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815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01AEB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5FA60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EA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33CB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14" w:type="dxa"/>
            <w:vAlign w:val="center"/>
          </w:tcPr>
          <w:p w14:paraId="50DD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119EA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81" w:type="dxa"/>
            <w:vAlign w:val="center"/>
          </w:tcPr>
          <w:p w14:paraId="73451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29E6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4409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0BF0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74D3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8B6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118AE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26AA7E3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02268D9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6E26E96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02A5B55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14" w:type="dxa"/>
            <w:vAlign w:val="top"/>
          </w:tcPr>
          <w:p w14:paraId="66EEB18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81" w:type="dxa"/>
            <w:vAlign w:val="top"/>
          </w:tcPr>
          <w:p w14:paraId="5A860F1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20F0085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269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E706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16A5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4EA03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AC41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2CABAAE0">
      <w:pPr>
        <w:spacing w:before="64" w:line="230" w:lineRule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2785A671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br w:type="page"/>
      </w:r>
    </w:p>
    <w:p w14:paraId="2536A7E2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6EE3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43A51A9F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44"/>
        <w:gridCol w:w="1053"/>
        <w:gridCol w:w="1580"/>
        <w:gridCol w:w="1212"/>
        <w:gridCol w:w="1286"/>
        <w:gridCol w:w="735"/>
        <w:gridCol w:w="739"/>
        <w:gridCol w:w="1450"/>
      </w:tblGrid>
      <w:tr w14:paraId="675D6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1" w:type="dxa"/>
            <w:gridSpan w:val="3"/>
            <w:vAlign w:val="top"/>
          </w:tcPr>
          <w:p w14:paraId="18FA4BBC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7002" w:type="dxa"/>
            <w:gridSpan w:val="6"/>
            <w:vAlign w:val="top"/>
          </w:tcPr>
          <w:p w14:paraId="79C329C0">
            <w:pPr>
              <w:pStyle w:val="10"/>
              <w:spacing w:line="239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岳阳市岳阳楼区拆迁安置服务中心</w:t>
            </w:r>
          </w:p>
        </w:tc>
      </w:tr>
      <w:tr w14:paraId="0762F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34EE08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0FD1FBEA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1997" w:type="dxa"/>
            <w:gridSpan w:val="2"/>
            <w:vAlign w:val="top"/>
          </w:tcPr>
          <w:p w14:paraId="58EA4AAC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580" w:type="dxa"/>
            <w:vAlign w:val="top"/>
          </w:tcPr>
          <w:p w14:paraId="3E65D92B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vAlign w:val="top"/>
          </w:tcPr>
          <w:p w14:paraId="553A1AC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6" w:type="dxa"/>
            <w:vAlign w:val="top"/>
          </w:tcPr>
          <w:p w14:paraId="5730BEE7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35" w:type="dxa"/>
            <w:vAlign w:val="top"/>
          </w:tcPr>
          <w:p w14:paraId="2C19FB7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286AD4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337A536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BD7D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A0C44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7" w:type="dxa"/>
            <w:gridSpan w:val="2"/>
            <w:vAlign w:val="top"/>
          </w:tcPr>
          <w:p w14:paraId="1917B887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580" w:type="dxa"/>
            <w:vAlign w:val="center"/>
          </w:tcPr>
          <w:p w14:paraId="5247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734.86</w:t>
            </w:r>
          </w:p>
        </w:tc>
        <w:tc>
          <w:tcPr>
            <w:tcW w:w="1212" w:type="dxa"/>
            <w:vAlign w:val="center"/>
          </w:tcPr>
          <w:p w14:paraId="122C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905.26</w:t>
            </w:r>
          </w:p>
        </w:tc>
        <w:tc>
          <w:tcPr>
            <w:tcW w:w="1286" w:type="dxa"/>
            <w:vAlign w:val="center"/>
          </w:tcPr>
          <w:p w14:paraId="3E29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905.26</w:t>
            </w:r>
          </w:p>
        </w:tc>
        <w:tc>
          <w:tcPr>
            <w:tcW w:w="735" w:type="dxa"/>
            <w:vAlign w:val="center"/>
          </w:tcPr>
          <w:p w14:paraId="7CE7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vAlign w:val="center"/>
          </w:tcPr>
          <w:p w14:paraId="0A3E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100.00%</w:t>
            </w:r>
          </w:p>
        </w:tc>
        <w:tc>
          <w:tcPr>
            <w:tcW w:w="1450" w:type="dxa"/>
            <w:vAlign w:val="center"/>
          </w:tcPr>
          <w:p w14:paraId="6CA5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10.00</w:t>
            </w:r>
          </w:p>
        </w:tc>
      </w:tr>
      <w:tr w14:paraId="7DA8A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07F10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5DF4C5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210" w:type="dxa"/>
            <w:gridSpan w:val="4"/>
            <w:vAlign w:val="top"/>
          </w:tcPr>
          <w:p w14:paraId="7F8D184B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72B17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155DF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45BCAA16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905.26</w:t>
            </w:r>
          </w:p>
        </w:tc>
        <w:tc>
          <w:tcPr>
            <w:tcW w:w="4210" w:type="dxa"/>
            <w:gridSpan w:val="4"/>
            <w:vAlign w:val="top"/>
          </w:tcPr>
          <w:p w14:paraId="29EEAD11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652.19</w:t>
            </w:r>
          </w:p>
        </w:tc>
      </w:tr>
      <w:tr w14:paraId="0462E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2543C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475A9B0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210" w:type="dxa"/>
            <w:gridSpan w:val="4"/>
            <w:vAlign w:val="top"/>
          </w:tcPr>
          <w:p w14:paraId="3A7DCA01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253.07</w:t>
            </w:r>
          </w:p>
        </w:tc>
      </w:tr>
      <w:tr w14:paraId="67E03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735CA75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201C5C5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210" w:type="dxa"/>
            <w:gridSpan w:val="4"/>
            <w:vAlign w:val="top"/>
          </w:tcPr>
          <w:p w14:paraId="6172FD8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C67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AEAA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7A0742EA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210" w:type="dxa"/>
            <w:gridSpan w:val="4"/>
            <w:vAlign w:val="top"/>
          </w:tcPr>
          <w:p w14:paraId="492CC96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0CC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77D2CE9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56827C23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551FB04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789" w:type="dxa"/>
            <w:gridSpan w:val="4"/>
            <w:vAlign w:val="top"/>
          </w:tcPr>
          <w:p w14:paraId="02DD372D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10" w:type="dxa"/>
            <w:gridSpan w:val="4"/>
            <w:vAlign w:val="top"/>
          </w:tcPr>
          <w:p w14:paraId="1895CC64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F987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5CAEF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center"/>
          </w:tcPr>
          <w:p w14:paraId="0D786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1、项目征拆工作3件：在区委、区政府正确领导下，配合各项目部完成2024年度楼区国有土地的征拆工作，预计完成3个项目的收尾工作以及2024年的新</w:t>
            </w:r>
          </w:p>
          <w:p w14:paraId="7ED53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项目的征拆工作。</w:t>
            </w:r>
          </w:p>
          <w:p w14:paraId="37136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2、安置类工作：成立了办证工作专班，深入项目了解和协调情况，主动对接各市直部门，协助各街道积极推进安置房办证工作，预计完成10个项目的安</w:t>
            </w:r>
          </w:p>
          <w:p w14:paraId="191EB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置房办证工作。</w:t>
            </w:r>
          </w:p>
          <w:p w14:paraId="02335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3、项目档案整理完成100%:规范项目档案管理，防止档案资料丢失和损坏， 便于各部门查询和查阅档案，负责2024年各项目部送过来的档案的归档。</w:t>
            </w:r>
          </w:p>
          <w:p w14:paraId="2CA2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4、信访维稳工作保持解决率95%以上：及时高效办理信访案件，认真做好涉诉涉访工作，避免矛盾升级</w:t>
            </w:r>
          </w:p>
        </w:tc>
        <w:tc>
          <w:tcPr>
            <w:tcW w:w="4210" w:type="dxa"/>
            <w:gridSpan w:val="4"/>
            <w:vAlign w:val="center"/>
          </w:tcPr>
          <w:p w14:paraId="429E0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1、征拆工作：协助项目部做好2024年征收、项目结算工作，做好2024年度征收相关法规政策的宣传，预计制定宣传手册1000本：完成2024年度项目部上交档案的整理工作(具体数量视上交情况而定)。</w:t>
            </w:r>
          </w:p>
          <w:p w14:paraId="6874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 安警工作：  成立了办证T作专班.深入项日了解和协调情况，主动对接各市真部门，协助各街道积极推进安置房办证等工作，预计完成十个项国的安置房办证工作。完成法水坡安置房等项目的物业费、竣工验收等后续工作。</w:t>
            </w:r>
          </w:p>
        </w:tc>
      </w:tr>
      <w:tr w14:paraId="12AC6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9843BCF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137D3225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414F2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326523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4FF8658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vAlign w:val="top"/>
          </w:tcPr>
          <w:p w14:paraId="4976760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86" w:type="dxa"/>
            <w:vAlign w:val="top"/>
          </w:tcPr>
          <w:p w14:paraId="54429491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35" w:type="dxa"/>
            <w:vAlign w:val="top"/>
          </w:tcPr>
          <w:p w14:paraId="36EBB5C9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0CCFA84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vAlign w:val="top"/>
          </w:tcPr>
          <w:p w14:paraId="4A7EF8E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493F9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72A401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83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C9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986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征收安置政策宣传工作</w:t>
            </w:r>
          </w:p>
        </w:tc>
        <w:tc>
          <w:tcPr>
            <w:tcW w:w="1212" w:type="dxa"/>
            <w:vAlign w:val="center"/>
          </w:tcPr>
          <w:p w14:paraId="48B9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1000</w:t>
            </w:r>
          </w:p>
        </w:tc>
        <w:tc>
          <w:tcPr>
            <w:tcW w:w="1286" w:type="dxa"/>
            <w:vAlign w:val="center"/>
          </w:tcPr>
          <w:p w14:paraId="1681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5000</w:t>
            </w:r>
          </w:p>
        </w:tc>
        <w:tc>
          <w:tcPr>
            <w:tcW w:w="735" w:type="dxa"/>
            <w:vAlign w:val="center"/>
          </w:tcPr>
          <w:p w14:paraId="01C1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739" w:type="dxa"/>
            <w:vAlign w:val="center"/>
          </w:tcPr>
          <w:p w14:paraId="622D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vAlign w:val="center"/>
          </w:tcPr>
          <w:p w14:paraId="3444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E93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9D9246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D9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3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106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安置房办证工作</w:t>
            </w:r>
          </w:p>
        </w:tc>
        <w:tc>
          <w:tcPr>
            <w:tcW w:w="1212" w:type="dxa"/>
            <w:vAlign w:val="center"/>
          </w:tcPr>
          <w:p w14:paraId="37D4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286" w:type="dxa"/>
            <w:vAlign w:val="center"/>
          </w:tcPr>
          <w:p w14:paraId="396D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67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FB3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  <w:t>7</w:t>
            </w:r>
          </w:p>
        </w:tc>
        <w:tc>
          <w:tcPr>
            <w:tcW w:w="1450" w:type="dxa"/>
            <w:vAlign w:val="center"/>
          </w:tcPr>
          <w:p w14:paraId="30B6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3A9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CFB14D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6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E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650B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征收工作确定权属</w:t>
            </w:r>
          </w:p>
        </w:tc>
        <w:tc>
          <w:tcPr>
            <w:tcW w:w="1212" w:type="dxa"/>
            <w:vAlign w:val="center"/>
          </w:tcPr>
          <w:p w14:paraId="506B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征收工作权属所有产权清晰</w:t>
            </w:r>
          </w:p>
        </w:tc>
        <w:tc>
          <w:tcPr>
            <w:tcW w:w="1286" w:type="dxa"/>
            <w:vAlign w:val="center"/>
          </w:tcPr>
          <w:p w14:paraId="65D6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征收工作权属所有产权清晰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278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1F6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vAlign w:val="center"/>
          </w:tcPr>
          <w:p w14:paraId="5EADC4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B61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0C1E0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13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5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6CDB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征收工作中，征收方案、资</w:t>
            </w:r>
          </w:p>
        </w:tc>
        <w:tc>
          <w:tcPr>
            <w:tcW w:w="1212" w:type="dxa"/>
            <w:vAlign w:val="center"/>
          </w:tcPr>
          <w:p w14:paraId="00E1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1286" w:type="dxa"/>
            <w:vAlign w:val="center"/>
          </w:tcPr>
          <w:p w14:paraId="79F2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765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6D3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vAlign w:val="center"/>
          </w:tcPr>
          <w:p w14:paraId="110BCC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E4F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68709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3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E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07A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及时征拆相关信访维稳</w:t>
            </w:r>
          </w:p>
        </w:tc>
        <w:tc>
          <w:tcPr>
            <w:tcW w:w="1212" w:type="dxa"/>
            <w:vAlign w:val="center"/>
          </w:tcPr>
          <w:p w14:paraId="0646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接到各类信访来件后土个</w:t>
            </w:r>
          </w:p>
        </w:tc>
        <w:tc>
          <w:tcPr>
            <w:tcW w:w="1286" w:type="dxa"/>
            <w:vAlign w:val="center"/>
          </w:tcPr>
          <w:p w14:paraId="6493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59C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C06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4FAC28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6A8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D1A37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E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D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F40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拆迁款的拨付及时性</w:t>
            </w:r>
          </w:p>
        </w:tc>
        <w:tc>
          <w:tcPr>
            <w:tcW w:w="1212" w:type="dxa"/>
            <w:vAlign w:val="center"/>
          </w:tcPr>
          <w:p w14:paraId="5AFD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手续、资料规范、 资金到位</w:t>
            </w:r>
          </w:p>
        </w:tc>
        <w:tc>
          <w:tcPr>
            <w:tcW w:w="1286" w:type="dxa"/>
            <w:vAlign w:val="center"/>
          </w:tcPr>
          <w:p w14:paraId="4B68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735" w:type="dxa"/>
            <w:vAlign w:val="center"/>
          </w:tcPr>
          <w:p w14:paraId="6A38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02BB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2B67DD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D6C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CAD2B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69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6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3994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各项目国有土地征 拆工作的</w:t>
            </w:r>
          </w:p>
        </w:tc>
        <w:tc>
          <w:tcPr>
            <w:tcW w:w="1212" w:type="dxa"/>
            <w:vAlign w:val="center"/>
          </w:tcPr>
          <w:p w14:paraId="0247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拉动经济增长</w:t>
            </w:r>
          </w:p>
        </w:tc>
        <w:tc>
          <w:tcPr>
            <w:tcW w:w="1286" w:type="dxa"/>
            <w:vAlign w:val="center"/>
          </w:tcPr>
          <w:p w14:paraId="6529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依法推进</w:t>
            </w:r>
          </w:p>
        </w:tc>
        <w:tc>
          <w:tcPr>
            <w:tcW w:w="735" w:type="dxa"/>
            <w:vAlign w:val="center"/>
          </w:tcPr>
          <w:p w14:paraId="365A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3731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2777F1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ACC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C94A579">
            <w:pPr>
              <w:jc w:val="center"/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3E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0109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征收补偿安置方案的公示</w:t>
            </w:r>
          </w:p>
        </w:tc>
        <w:tc>
          <w:tcPr>
            <w:tcW w:w="1212" w:type="dxa"/>
            <w:vAlign w:val="center"/>
          </w:tcPr>
          <w:p w14:paraId="517B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1286" w:type="dxa"/>
            <w:vAlign w:val="center"/>
          </w:tcPr>
          <w:p w14:paraId="3DC8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735" w:type="dxa"/>
            <w:vAlign w:val="center"/>
          </w:tcPr>
          <w:p w14:paraId="3D769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7DDF62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1A87E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9AF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B950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7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4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204E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生态环境改善情况</w:t>
            </w:r>
          </w:p>
        </w:tc>
        <w:tc>
          <w:tcPr>
            <w:tcW w:w="1212" w:type="dxa"/>
            <w:vAlign w:val="center"/>
          </w:tcPr>
          <w:p w14:paraId="4E34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改善生态环境</w:t>
            </w:r>
          </w:p>
        </w:tc>
        <w:tc>
          <w:tcPr>
            <w:tcW w:w="1286" w:type="dxa"/>
            <w:vAlign w:val="center"/>
          </w:tcPr>
          <w:p w14:paraId="6581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无负面影响</w:t>
            </w:r>
          </w:p>
        </w:tc>
        <w:tc>
          <w:tcPr>
            <w:tcW w:w="735" w:type="dxa"/>
            <w:vAlign w:val="center"/>
          </w:tcPr>
          <w:p w14:paraId="4D6D8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7A5A3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660F9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EDF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5FD9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1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F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可持续影响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E37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被拆迁户征收安置政策宣传</w:t>
            </w:r>
          </w:p>
        </w:tc>
        <w:tc>
          <w:tcPr>
            <w:tcW w:w="1212" w:type="dxa"/>
            <w:vAlign w:val="center"/>
          </w:tcPr>
          <w:p w14:paraId="17E8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90</w:t>
            </w:r>
          </w:p>
        </w:tc>
        <w:tc>
          <w:tcPr>
            <w:tcW w:w="1286" w:type="dxa"/>
            <w:vAlign w:val="center"/>
          </w:tcPr>
          <w:p w14:paraId="4B88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95</w:t>
            </w:r>
          </w:p>
        </w:tc>
        <w:tc>
          <w:tcPr>
            <w:tcW w:w="735" w:type="dxa"/>
            <w:vAlign w:val="center"/>
          </w:tcPr>
          <w:p w14:paraId="75120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6DD6C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5AF95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EA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8986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服务对象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9D3B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212" w:type="dxa"/>
            <w:vAlign w:val="center"/>
          </w:tcPr>
          <w:p w14:paraId="2A46F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95</w:t>
            </w:r>
          </w:p>
        </w:tc>
        <w:tc>
          <w:tcPr>
            <w:tcW w:w="1286" w:type="dxa"/>
            <w:vAlign w:val="center"/>
          </w:tcPr>
          <w:p w14:paraId="4E059C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95</w:t>
            </w:r>
          </w:p>
        </w:tc>
        <w:tc>
          <w:tcPr>
            <w:tcW w:w="735" w:type="dxa"/>
            <w:vAlign w:val="center"/>
          </w:tcPr>
          <w:p w14:paraId="43DF6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1610FF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44C36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92C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3F4E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B2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1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6032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三公经费变动率</w:t>
            </w:r>
          </w:p>
        </w:tc>
        <w:tc>
          <w:tcPr>
            <w:tcW w:w="1212" w:type="dxa"/>
            <w:vAlign w:val="center"/>
          </w:tcPr>
          <w:p w14:paraId="1F2B8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1286" w:type="dxa"/>
            <w:vAlign w:val="center"/>
          </w:tcPr>
          <w:p w14:paraId="4A878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vAlign w:val="center"/>
          </w:tcPr>
          <w:p w14:paraId="72945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58B05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20B8D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1CA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33BF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9B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2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56D24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社会影响</w:t>
            </w:r>
          </w:p>
        </w:tc>
        <w:tc>
          <w:tcPr>
            <w:tcW w:w="1212" w:type="dxa"/>
            <w:vAlign w:val="center"/>
          </w:tcPr>
          <w:p w14:paraId="60A21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提升政府形象</w:t>
            </w:r>
          </w:p>
        </w:tc>
        <w:tc>
          <w:tcPr>
            <w:tcW w:w="1286" w:type="dxa"/>
            <w:vAlign w:val="center"/>
          </w:tcPr>
          <w:p w14:paraId="060E8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无不良影响</w:t>
            </w:r>
          </w:p>
        </w:tc>
        <w:tc>
          <w:tcPr>
            <w:tcW w:w="735" w:type="dxa"/>
            <w:vAlign w:val="center"/>
          </w:tcPr>
          <w:p w14:paraId="3BF8D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0B5C6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10B65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F0F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0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6EB6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D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生态环境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2D417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水电节约情况</w:t>
            </w:r>
          </w:p>
        </w:tc>
        <w:tc>
          <w:tcPr>
            <w:tcW w:w="1212" w:type="dxa"/>
            <w:vAlign w:val="center"/>
          </w:tcPr>
          <w:p w14:paraId="12556B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水电消耗量下降</w:t>
            </w:r>
          </w:p>
        </w:tc>
        <w:tc>
          <w:tcPr>
            <w:tcW w:w="1286" w:type="dxa"/>
            <w:vAlign w:val="center"/>
          </w:tcPr>
          <w:p w14:paraId="00275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持平</w:t>
            </w:r>
          </w:p>
        </w:tc>
        <w:tc>
          <w:tcPr>
            <w:tcW w:w="735" w:type="dxa"/>
            <w:vAlign w:val="center"/>
          </w:tcPr>
          <w:p w14:paraId="5C136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69BAC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6EBEA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546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159" w:type="dxa"/>
            <w:gridSpan w:val="6"/>
            <w:vAlign w:val="top"/>
          </w:tcPr>
          <w:p w14:paraId="4078F58D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35" w:type="dxa"/>
            <w:vAlign w:val="top"/>
          </w:tcPr>
          <w:p w14:paraId="706DD02D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739" w:type="dxa"/>
            <w:vAlign w:val="top"/>
          </w:tcPr>
          <w:p w14:paraId="6D2A992C">
            <w:pPr>
              <w:spacing w:before="75" w:line="195" w:lineRule="auto"/>
              <w:ind w:left="23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97.00</w:t>
            </w:r>
          </w:p>
        </w:tc>
        <w:tc>
          <w:tcPr>
            <w:tcW w:w="1450" w:type="dxa"/>
            <w:vAlign w:val="top"/>
          </w:tcPr>
          <w:p w14:paraId="433EE45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40814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F90F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7CDFD6F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050C0AC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22976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B367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13F65FAD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498E7608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编外用工人员经费</w:t>
            </w:r>
          </w:p>
        </w:tc>
      </w:tr>
      <w:tr w14:paraId="58CC4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2DD36CE2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CAB39DD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岳阳市岳阳楼区拆迁安置服务中心</w:t>
            </w:r>
          </w:p>
        </w:tc>
        <w:tc>
          <w:tcPr>
            <w:tcW w:w="1281" w:type="dxa"/>
            <w:vAlign w:val="top"/>
          </w:tcPr>
          <w:p w14:paraId="68A1FEE0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31D5A39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岳阳市岳阳楼区拆迁安置服务中心</w:t>
            </w:r>
          </w:p>
        </w:tc>
      </w:tr>
      <w:tr w14:paraId="0C3B7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D554FD4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7F9347F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4D715B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36B169C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0A0D970E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0461E333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3084F35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61D3AFD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23EBAFD8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83A7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39BD631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29F556D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216807C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244" w:type="dxa"/>
            <w:vAlign w:val="top"/>
          </w:tcPr>
          <w:p w14:paraId="35C368D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281" w:type="dxa"/>
            <w:vAlign w:val="top"/>
          </w:tcPr>
          <w:p w14:paraId="5635E5A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673" w:type="dxa"/>
            <w:vAlign w:val="top"/>
          </w:tcPr>
          <w:p w14:paraId="37601DE2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  <w:tc>
          <w:tcPr>
            <w:tcW w:w="873" w:type="dxa"/>
            <w:vAlign w:val="top"/>
          </w:tcPr>
          <w:p w14:paraId="1205620C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100.00%</w:t>
            </w:r>
          </w:p>
        </w:tc>
        <w:tc>
          <w:tcPr>
            <w:tcW w:w="1422" w:type="dxa"/>
            <w:vAlign w:val="top"/>
          </w:tcPr>
          <w:p w14:paraId="4CDA8860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10.00</w:t>
            </w:r>
          </w:p>
        </w:tc>
      </w:tr>
      <w:tr w14:paraId="151C5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24AEB78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F648A73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4C8B031D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244" w:type="dxa"/>
            <w:vAlign w:val="top"/>
          </w:tcPr>
          <w:p w14:paraId="3372A4E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281" w:type="dxa"/>
            <w:vAlign w:val="top"/>
          </w:tcPr>
          <w:p w14:paraId="1BC6629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673" w:type="dxa"/>
            <w:vAlign w:val="top"/>
          </w:tcPr>
          <w:p w14:paraId="1A72FAD5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73" w:type="dxa"/>
            <w:vAlign w:val="top"/>
          </w:tcPr>
          <w:p w14:paraId="310993CE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 w14:paraId="5A5F7CB4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 w14:paraId="2A996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1ADCB5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63B8412D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1AEFDD5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44" w:type="dxa"/>
            <w:vAlign w:val="top"/>
          </w:tcPr>
          <w:p w14:paraId="054DA75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81" w:type="dxa"/>
            <w:vAlign w:val="top"/>
          </w:tcPr>
          <w:p w14:paraId="6855993A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673" w:type="dxa"/>
            <w:vAlign w:val="top"/>
          </w:tcPr>
          <w:p w14:paraId="7EA13F3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6C46F1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184C0B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0F5D2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A3EAE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55A790D0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499BE9A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44" w:type="dxa"/>
            <w:vAlign w:val="top"/>
          </w:tcPr>
          <w:p w14:paraId="16713E7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81" w:type="dxa"/>
            <w:vAlign w:val="top"/>
          </w:tcPr>
          <w:p w14:paraId="0E47C66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673" w:type="dxa"/>
            <w:vAlign w:val="top"/>
          </w:tcPr>
          <w:p w14:paraId="38D15BD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39D8E7F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04DF3E7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0E18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6361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1BE6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F41D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475A244B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4269D636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1D0F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1E70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2CE594D7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根据区里相关文件对“三性”人员左鸿飞进行经费保障</w:t>
            </w:r>
          </w:p>
        </w:tc>
        <w:tc>
          <w:tcPr>
            <w:tcW w:w="4249" w:type="dxa"/>
            <w:gridSpan w:val="4"/>
            <w:vAlign w:val="top"/>
          </w:tcPr>
          <w:p w14:paraId="1EF93107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已按月准时进行发放</w:t>
            </w:r>
          </w:p>
        </w:tc>
      </w:tr>
      <w:tr w14:paraId="19138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18D0D990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AA9DC08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vAlign w:val="top"/>
          </w:tcPr>
          <w:p w14:paraId="68D0BF9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vAlign w:val="top"/>
          </w:tcPr>
          <w:p w14:paraId="1BF09FA3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347F83FE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7579BCB6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F160D87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6092AE3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2139FB0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61C9B041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777691B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40FEDCA2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03A4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84CA46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3E81">
            <w:pPr>
              <w:spacing w:line="292" w:lineRule="auto"/>
              <w:rPr>
                <w:rFonts w:ascii="Arial"/>
                <w:sz w:val="21"/>
              </w:rPr>
            </w:pPr>
          </w:p>
          <w:p w14:paraId="569B36E5">
            <w:pPr>
              <w:spacing w:line="292" w:lineRule="auto"/>
              <w:rPr>
                <w:rFonts w:ascii="Arial"/>
                <w:sz w:val="21"/>
              </w:rPr>
            </w:pPr>
          </w:p>
          <w:p w14:paraId="0569D6FE">
            <w:pPr>
              <w:spacing w:line="293" w:lineRule="auto"/>
              <w:rPr>
                <w:rFonts w:ascii="Arial"/>
                <w:sz w:val="21"/>
              </w:rPr>
            </w:pPr>
          </w:p>
          <w:p w14:paraId="5EC46307">
            <w:pPr>
              <w:pStyle w:val="10"/>
              <w:spacing w:before="71" w:line="219" w:lineRule="auto"/>
              <w:ind w:left="8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3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数量指标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0D25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保障1名包干人员</w:t>
            </w:r>
          </w:p>
        </w:tc>
        <w:tc>
          <w:tcPr>
            <w:tcW w:w="1244" w:type="dxa"/>
            <w:vAlign w:val="center"/>
          </w:tcPr>
          <w:p w14:paraId="1A2A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1281" w:type="dxa"/>
            <w:vAlign w:val="center"/>
          </w:tcPr>
          <w:p w14:paraId="0AA5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73" w:type="dxa"/>
            <w:vAlign w:val="center"/>
          </w:tcPr>
          <w:p w14:paraId="6901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2AE2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33A2BEB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AC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83BA3A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6AD86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质量指标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125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包干人员经费完成率</w:t>
            </w:r>
          </w:p>
        </w:tc>
        <w:tc>
          <w:tcPr>
            <w:tcW w:w="1244" w:type="dxa"/>
            <w:vAlign w:val="center"/>
          </w:tcPr>
          <w:p w14:paraId="12D3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1281" w:type="dxa"/>
            <w:vAlign w:val="center"/>
          </w:tcPr>
          <w:p w14:paraId="38A2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673" w:type="dxa"/>
            <w:vAlign w:val="center"/>
          </w:tcPr>
          <w:p w14:paraId="7A2A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462E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554CB9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957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C7CFE3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112F5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2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时效指标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3144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保障包干人员经费及时</w:t>
            </w:r>
          </w:p>
        </w:tc>
        <w:tc>
          <w:tcPr>
            <w:tcW w:w="1244" w:type="dxa"/>
            <w:vAlign w:val="center"/>
          </w:tcPr>
          <w:p w14:paraId="5D82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1281" w:type="dxa"/>
            <w:vAlign w:val="center"/>
          </w:tcPr>
          <w:p w14:paraId="3F47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673" w:type="dxa"/>
            <w:vAlign w:val="center"/>
          </w:tcPr>
          <w:p w14:paraId="1449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47E1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09658E8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85A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1978CB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633F">
            <w:pPr>
              <w:spacing w:line="247" w:lineRule="auto"/>
              <w:rPr>
                <w:rFonts w:ascii="Arial"/>
                <w:sz w:val="21"/>
              </w:rPr>
            </w:pPr>
          </w:p>
          <w:p w14:paraId="22F7B04E">
            <w:pPr>
              <w:spacing w:line="247" w:lineRule="auto"/>
              <w:rPr>
                <w:rFonts w:ascii="Arial"/>
                <w:sz w:val="21"/>
              </w:rPr>
            </w:pPr>
          </w:p>
          <w:p w14:paraId="71CF095A">
            <w:pPr>
              <w:spacing w:line="247" w:lineRule="auto"/>
              <w:rPr>
                <w:rFonts w:ascii="Arial"/>
                <w:sz w:val="21"/>
              </w:rPr>
            </w:pPr>
          </w:p>
          <w:p w14:paraId="2D900B16">
            <w:pPr>
              <w:spacing w:line="248" w:lineRule="auto"/>
              <w:rPr>
                <w:rFonts w:ascii="Arial"/>
                <w:sz w:val="21"/>
              </w:rPr>
            </w:pPr>
          </w:p>
          <w:p w14:paraId="5C3A0DBD">
            <w:pPr>
              <w:spacing w:line="248" w:lineRule="auto"/>
              <w:rPr>
                <w:rFonts w:ascii="Arial"/>
                <w:sz w:val="21"/>
              </w:rPr>
            </w:pPr>
          </w:p>
          <w:p w14:paraId="058DC6AA">
            <w:pPr>
              <w:pStyle w:val="10"/>
              <w:spacing w:before="72" w:line="220" w:lineRule="auto"/>
              <w:ind w:left="81" w:leftChars="0"/>
              <w:rPr>
                <w:rFonts w:hint="eastAsia" w:ascii="宋体" w:hAnsi="宋体" w:eastAsia="宋体" w:cs="宋体"/>
              </w:rPr>
            </w:pPr>
            <w:r>
              <w:rPr>
                <w:spacing w:val="2"/>
                <w:sz w:val="22"/>
                <w:szCs w:val="22"/>
              </w:rPr>
              <w:t>效益指标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C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经济效益指标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7255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保障包干人</w:t>
            </w:r>
          </w:p>
          <w:p w14:paraId="7D40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员经费效益</w:t>
            </w:r>
          </w:p>
        </w:tc>
        <w:tc>
          <w:tcPr>
            <w:tcW w:w="1244" w:type="dxa"/>
            <w:vAlign w:val="center"/>
          </w:tcPr>
          <w:p w14:paraId="4E46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保障</w:t>
            </w:r>
          </w:p>
        </w:tc>
        <w:tc>
          <w:tcPr>
            <w:tcW w:w="1281" w:type="dxa"/>
            <w:vAlign w:val="center"/>
          </w:tcPr>
          <w:p w14:paraId="2729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673" w:type="dxa"/>
            <w:vAlign w:val="center"/>
          </w:tcPr>
          <w:p w14:paraId="592A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 w14:paraId="74E4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 w14:paraId="2036BA5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0C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9833D7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F3E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9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社会效益指标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3871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分担在编工</w:t>
            </w:r>
          </w:p>
          <w:p w14:paraId="241A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作人员压力</w:t>
            </w:r>
          </w:p>
        </w:tc>
        <w:tc>
          <w:tcPr>
            <w:tcW w:w="1244" w:type="dxa"/>
            <w:vAlign w:val="center"/>
          </w:tcPr>
          <w:p w14:paraId="5811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有所改善</w:t>
            </w:r>
          </w:p>
        </w:tc>
        <w:tc>
          <w:tcPr>
            <w:tcW w:w="1281" w:type="dxa"/>
            <w:vAlign w:val="center"/>
          </w:tcPr>
          <w:p w14:paraId="019F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有所改善</w:t>
            </w:r>
          </w:p>
        </w:tc>
        <w:tc>
          <w:tcPr>
            <w:tcW w:w="673" w:type="dxa"/>
            <w:vAlign w:val="center"/>
          </w:tcPr>
          <w:p w14:paraId="575C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1FF3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588BC9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C80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5D8308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AA9D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7BAC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对自然生态环境造成的</w:t>
            </w:r>
          </w:p>
        </w:tc>
        <w:tc>
          <w:tcPr>
            <w:tcW w:w="1244" w:type="dxa"/>
            <w:vAlign w:val="center"/>
          </w:tcPr>
          <w:p w14:paraId="5419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未对自然生</w:t>
            </w:r>
          </w:p>
          <w:p w14:paraId="7967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态环境造成</w:t>
            </w:r>
          </w:p>
        </w:tc>
        <w:tc>
          <w:tcPr>
            <w:tcW w:w="1281" w:type="dxa"/>
            <w:vAlign w:val="center"/>
          </w:tcPr>
          <w:p w14:paraId="6213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未对自然生态环境造成</w:t>
            </w:r>
          </w:p>
        </w:tc>
        <w:tc>
          <w:tcPr>
            <w:tcW w:w="673" w:type="dxa"/>
            <w:vAlign w:val="center"/>
          </w:tcPr>
          <w:p w14:paraId="4738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67EB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4EDFB2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034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63462C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41EC6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C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5C6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1244" w:type="dxa"/>
            <w:vAlign w:val="center"/>
          </w:tcPr>
          <w:p w14:paraId="5BAB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 w14:paraId="0A78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673" w:type="dxa"/>
            <w:vAlign w:val="center"/>
          </w:tcPr>
          <w:p w14:paraId="1E7F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 w14:paraId="2281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 w14:paraId="72839ABB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88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5D0F90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EEBA1">
            <w:pPr>
              <w:spacing w:line="247" w:lineRule="auto"/>
              <w:rPr>
                <w:rFonts w:hint="eastAsia" w:ascii="Arial"/>
                <w:sz w:val="21"/>
              </w:rPr>
            </w:pPr>
            <w:r>
              <w:rPr>
                <w:rFonts w:ascii="Arial"/>
                <w:sz w:val="21"/>
              </w:rPr>
              <w:t>满意度指标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4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服务对象满意度指标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91B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社会公众满意度</w:t>
            </w:r>
          </w:p>
        </w:tc>
        <w:tc>
          <w:tcPr>
            <w:tcW w:w="1244" w:type="dxa"/>
            <w:vAlign w:val="center"/>
          </w:tcPr>
          <w:p w14:paraId="5253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90</w:t>
            </w:r>
          </w:p>
        </w:tc>
        <w:tc>
          <w:tcPr>
            <w:tcW w:w="1281" w:type="dxa"/>
            <w:vAlign w:val="center"/>
          </w:tcPr>
          <w:p w14:paraId="5907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≥90%</w:t>
            </w:r>
          </w:p>
        </w:tc>
        <w:tc>
          <w:tcPr>
            <w:tcW w:w="673" w:type="dxa"/>
            <w:vAlign w:val="center"/>
          </w:tcPr>
          <w:p w14:paraId="3072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7D18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423C3FC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76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7094FE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03F8E">
            <w:pPr>
              <w:spacing w:line="247" w:lineRule="auto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成本指标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48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经济成</w:t>
            </w:r>
          </w:p>
          <w:p w14:paraId="07F3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本指标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9D1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5万元包干费用</w:t>
            </w:r>
          </w:p>
        </w:tc>
        <w:tc>
          <w:tcPr>
            <w:tcW w:w="1244" w:type="dxa"/>
            <w:vAlign w:val="center"/>
          </w:tcPr>
          <w:p w14:paraId="758B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81" w:type="dxa"/>
            <w:vAlign w:val="center"/>
          </w:tcPr>
          <w:p w14:paraId="348C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根据人社局</w:t>
            </w:r>
          </w:p>
          <w:p w14:paraId="06D8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、财政局相</w:t>
            </w:r>
          </w:p>
        </w:tc>
        <w:tc>
          <w:tcPr>
            <w:tcW w:w="673" w:type="dxa"/>
            <w:vAlign w:val="center"/>
          </w:tcPr>
          <w:p w14:paraId="2C2B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7001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55A7014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E16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47EAD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C0539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2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社会成</w:t>
            </w:r>
          </w:p>
          <w:p w14:paraId="73B9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本指标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34C9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对社会发展</w:t>
            </w:r>
          </w:p>
          <w:p w14:paraId="2EDF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可能造成的</w:t>
            </w:r>
          </w:p>
        </w:tc>
        <w:tc>
          <w:tcPr>
            <w:tcW w:w="1244" w:type="dxa"/>
            <w:vAlign w:val="center"/>
          </w:tcPr>
          <w:p w14:paraId="02F3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81" w:type="dxa"/>
            <w:vAlign w:val="center"/>
          </w:tcPr>
          <w:p w14:paraId="1AC9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673" w:type="dxa"/>
            <w:vAlign w:val="center"/>
          </w:tcPr>
          <w:p w14:paraId="5988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4B3A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473504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2EC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0E7E8C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61CE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7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生态环境成本指标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627C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对自然生态</w:t>
            </w:r>
          </w:p>
          <w:p w14:paraId="5017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环境造成的</w:t>
            </w:r>
          </w:p>
        </w:tc>
        <w:tc>
          <w:tcPr>
            <w:tcW w:w="1244" w:type="dxa"/>
            <w:vAlign w:val="center"/>
          </w:tcPr>
          <w:p w14:paraId="407F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1281" w:type="dxa"/>
            <w:vAlign w:val="center"/>
          </w:tcPr>
          <w:p w14:paraId="4CF0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无</w:t>
            </w:r>
          </w:p>
        </w:tc>
        <w:tc>
          <w:tcPr>
            <w:tcW w:w="673" w:type="dxa"/>
            <w:vAlign w:val="center"/>
          </w:tcPr>
          <w:p w14:paraId="6F4D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4812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  <w:tc>
          <w:tcPr>
            <w:tcW w:w="1422" w:type="dxa"/>
            <w:vAlign w:val="top"/>
          </w:tcPr>
          <w:p w14:paraId="5F59FAF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3ED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505E655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0B70A3B1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vAlign w:val="top"/>
          </w:tcPr>
          <w:p w14:paraId="0EA9568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100.00</w:t>
            </w:r>
          </w:p>
        </w:tc>
        <w:tc>
          <w:tcPr>
            <w:tcW w:w="1422" w:type="dxa"/>
            <w:vAlign w:val="top"/>
          </w:tcPr>
          <w:p w14:paraId="4C4092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0DEE3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2"/>
          <w:szCs w:val="22"/>
          <w:lang w:val="en-US" w:eastAsia="zh-CN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3E38524B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09291083">
      <w:pPr>
        <w:spacing w:line="250" w:lineRule="auto"/>
        <w:rPr>
          <w:rFonts w:ascii="Arial"/>
          <w:sz w:val="21"/>
        </w:rPr>
      </w:pPr>
    </w:p>
    <w:p w14:paraId="1B730E3E">
      <w:pPr>
        <w:spacing w:line="250" w:lineRule="auto"/>
        <w:rPr>
          <w:rFonts w:ascii="Arial"/>
          <w:sz w:val="21"/>
        </w:rPr>
      </w:pPr>
    </w:p>
    <w:p w14:paraId="42E25F06">
      <w:pPr>
        <w:spacing w:line="250" w:lineRule="auto"/>
        <w:rPr>
          <w:rFonts w:ascii="Arial"/>
          <w:sz w:val="21"/>
        </w:rPr>
      </w:pPr>
    </w:p>
    <w:p w14:paraId="03B7F0DF">
      <w:pPr>
        <w:spacing w:line="250" w:lineRule="auto"/>
        <w:rPr>
          <w:rFonts w:ascii="Arial"/>
          <w:sz w:val="21"/>
        </w:rPr>
      </w:pPr>
    </w:p>
    <w:p w14:paraId="36AB23D8">
      <w:pPr>
        <w:spacing w:line="251" w:lineRule="auto"/>
        <w:rPr>
          <w:rFonts w:ascii="Arial"/>
          <w:sz w:val="21"/>
        </w:rPr>
      </w:pPr>
    </w:p>
    <w:p w14:paraId="3FA08D5F">
      <w:pPr>
        <w:spacing w:line="251" w:lineRule="auto"/>
        <w:rPr>
          <w:rFonts w:ascii="Arial"/>
          <w:sz w:val="21"/>
        </w:rPr>
      </w:pPr>
    </w:p>
    <w:p w14:paraId="767F345A">
      <w:pPr>
        <w:spacing w:line="251" w:lineRule="auto"/>
        <w:rPr>
          <w:rFonts w:ascii="Arial"/>
          <w:sz w:val="21"/>
        </w:rPr>
      </w:pPr>
    </w:p>
    <w:p w14:paraId="25B84592">
      <w:pPr>
        <w:spacing w:line="251" w:lineRule="auto"/>
        <w:rPr>
          <w:rFonts w:ascii="Arial"/>
          <w:sz w:val="21"/>
        </w:rPr>
      </w:pPr>
    </w:p>
    <w:p w14:paraId="0BFBC655">
      <w:pPr>
        <w:spacing w:line="251" w:lineRule="auto"/>
        <w:rPr>
          <w:rFonts w:ascii="Arial"/>
          <w:sz w:val="21"/>
        </w:rPr>
      </w:pPr>
    </w:p>
    <w:p w14:paraId="1E1D032C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  <w:lang w:val="en-US" w:eastAsia="zh-CN"/>
        </w:rPr>
        <w:t>岳阳市岳阳楼区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拆迁安置服务中心整体支出绩效自评报告</w:t>
      </w:r>
    </w:p>
    <w:p w14:paraId="5A0F8274">
      <w:pPr>
        <w:spacing w:line="243" w:lineRule="auto"/>
        <w:rPr>
          <w:rFonts w:ascii="Arial"/>
        </w:rPr>
      </w:pPr>
    </w:p>
    <w:p w14:paraId="200C8352">
      <w:pPr>
        <w:spacing w:line="243" w:lineRule="auto"/>
        <w:rPr>
          <w:rFonts w:ascii="Arial"/>
        </w:rPr>
      </w:pPr>
    </w:p>
    <w:p w14:paraId="1B1698D7">
      <w:pPr>
        <w:spacing w:line="243" w:lineRule="auto"/>
        <w:rPr>
          <w:rFonts w:ascii="Arial"/>
        </w:rPr>
      </w:pPr>
    </w:p>
    <w:p w14:paraId="4CF21E7C">
      <w:pPr>
        <w:spacing w:line="243" w:lineRule="auto"/>
        <w:rPr>
          <w:rFonts w:ascii="Arial"/>
        </w:rPr>
      </w:pPr>
    </w:p>
    <w:p w14:paraId="7F886597">
      <w:pPr>
        <w:spacing w:line="243" w:lineRule="auto"/>
        <w:rPr>
          <w:rFonts w:ascii="Arial"/>
        </w:rPr>
      </w:pPr>
    </w:p>
    <w:p w14:paraId="2EAE5D4C">
      <w:pPr>
        <w:spacing w:line="243" w:lineRule="auto"/>
        <w:rPr>
          <w:rFonts w:ascii="Arial"/>
        </w:rPr>
      </w:pPr>
    </w:p>
    <w:p w14:paraId="723E07CB">
      <w:pPr>
        <w:spacing w:line="243" w:lineRule="auto"/>
        <w:rPr>
          <w:rFonts w:ascii="Arial"/>
        </w:rPr>
      </w:pPr>
    </w:p>
    <w:p w14:paraId="50BDF91F">
      <w:pPr>
        <w:spacing w:line="243" w:lineRule="auto"/>
        <w:rPr>
          <w:rFonts w:ascii="Arial"/>
        </w:rPr>
      </w:pPr>
    </w:p>
    <w:p w14:paraId="230AF633">
      <w:pPr>
        <w:spacing w:line="243" w:lineRule="auto"/>
        <w:rPr>
          <w:rFonts w:ascii="Arial"/>
        </w:rPr>
      </w:pPr>
    </w:p>
    <w:p w14:paraId="7693D77E">
      <w:pPr>
        <w:spacing w:line="243" w:lineRule="auto"/>
        <w:rPr>
          <w:rFonts w:ascii="Arial"/>
        </w:rPr>
      </w:pPr>
    </w:p>
    <w:p w14:paraId="20BEFC3B">
      <w:pPr>
        <w:spacing w:line="243" w:lineRule="auto"/>
        <w:rPr>
          <w:rFonts w:ascii="Arial"/>
        </w:rPr>
      </w:pPr>
    </w:p>
    <w:p w14:paraId="59DF15DC">
      <w:pPr>
        <w:spacing w:line="243" w:lineRule="auto"/>
        <w:rPr>
          <w:rFonts w:ascii="Arial"/>
        </w:rPr>
      </w:pPr>
    </w:p>
    <w:p w14:paraId="5E567C20">
      <w:pPr>
        <w:spacing w:line="243" w:lineRule="auto"/>
        <w:rPr>
          <w:rFonts w:ascii="Arial"/>
        </w:rPr>
      </w:pPr>
    </w:p>
    <w:p w14:paraId="36E4C459">
      <w:pPr>
        <w:spacing w:line="243" w:lineRule="auto"/>
        <w:rPr>
          <w:rFonts w:ascii="Arial"/>
        </w:rPr>
      </w:pPr>
    </w:p>
    <w:p w14:paraId="014D5351">
      <w:pPr>
        <w:spacing w:line="243" w:lineRule="auto"/>
        <w:rPr>
          <w:rFonts w:ascii="Arial"/>
        </w:rPr>
      </w:pPr>
    </w:p>
    <w:p w14:paraId="0E81FAC2">
      <w:pPr>
        <w:spacing w:line="243" w:lineRule="auto"/>
        <w:rPr>
          <w:rFonts w:ascii="Arial"/>
        </w:rPr>
      </w:pPr>
    </w:p>
    <w:p w14:paraId="2B7D9E06">
      <w:pPr>
        <w:spacing w:line="243" w:lineRule="auto"/>
        <w:rPr>
          <w:rFonts w:ascii="Arial"/>
        </w:rPr>
      </w:pPr>
    </w:p>
    <w:p w14:paraId="0D241E58">
      <w:pPr>
        <w:spacing w:line="243" w:lineRule="auto"/>
        <w:rPr>
          <w:rFonts w:ascii="Arial"/>
        </w:rPr>
      </w:pPr>
    </w:p>
    <w:p w14:paraId="3DACBCBF">
      <w:pPr>
        <w:spacing w:line="243" w:lineRule="auto"/>
        <w:rPr>
          <w:rFonts w:ascii="Arial"/>
        </w:rPr>
      </w:pPr>
    </w:p>
    <w:p w14:paraId="26D1B202">
      <w:pPr>
        <w:spacing w:line="243" w:lineRule="auto"/>
        <w:rPr>
          <w:rFonts w:ascii="Arial"/>
        </w:rPr>
      </w:pPr>
    </w:p>
    <w:p w14:paraId="55A6C4F3">
      <w:pPr>
        <w:spacing w:line="243" w:lineRule="auto"/>
        <w:rPr>
          <w:rFonts w:ascii="Arial"/>
        </w:rPr>
      </w:pPr>
    </w:p>
    <w:p w14:paraId="79DE9064">
      <w:pPr>
        <w:spacing w:line="243" w:lineRule="auto"/>
        <w:rPr>
          <w:rFonts w:ascii="Arial"/>
        </w:rPr>
      </w:pPr>
    </w:p>
    <w:p w14:paraId="6A563EAB">
      <w:pPr>
        <w:spacing w:line="243" w:lineRule="auto"/>
        <w:rPr>
          <w:rFonts w:ascii="Arial"/>
        </w:rPr>
      </w:pPr>
    </w:p>
    <w:p w14:paraId="09AF0728">
      <w:pPr>
        <w:spacing w:line="243" w:lineRule="auto"/>
        <w:rPr>
          <w:rFonts w:ascii="Arial"/>
        </w:rPr>
      </w:pPr>
    </w:p>
    <w:p w14:paraId="1AB245A0">
      <w:pPr>
        <w:spacing w:line="243" w:lineRule="auto"/>
        <w:rPr>
          <w:rFonts w:ascii="Arial"/>
        </w:rPr>
      </w:pPr>
    </w:p>
    <w:p w14:paraId="4425D887">
      <w:pPr>
        <w:spacing w:line="244" w:lineRule="auto"/>
        <w:rPr>
          <w:rFonts w:ascii="Arial"/>
        </w:rPr>
      </w:pPr>
    </w:p>
    <w:p w14:paraId="7AF07EDE">
      <w:pPr>
        <w:spacing w:line="244" w:lineRule="auto"/>
        <w:rPr>
          <w:rFonts w:ascii="Arial"/>
        </w:rPr>
      </w:pPr>
    </w:p>
    <w:p w14:paraId="774003F4">
      <w:pPr>
        <w:pStyle w:val="3"/>
        <w:spacing w:before="100" w:line="221" w:lineRule="auto"/>
        <w:ind w:left="1902"/>
        <w:rPr>
          <w:rFonts w:hint="eastAsia"/>
          <w:lang w:eastAsia="zh-CN"/>
        </w:rPr>
      </w:pPr>
      <w:r>
        <w:rPr>
          <w:rFonts w:hint="eastAsia"/>
          <w:spacing w:val="-10"/>
          <w:lang w:eastAsia="zh-CN"/>
        </w:rPr>
        <w:t>预算单位</w:t>
      </w:r>
      <w:r>
        <w:rPr>
          <w:spacing w:val="-10"/>
          <w:lang w:eastAsia="zh-CN"/>
        </w:rPr>
        <w:t>名称</w:t>
      </w:r>
      <w:r>
        <w:rPr>
          <w:spacing w:val="4"/>
          <w:lang w:eastAsia="zh-CN"/>
        </w:rPr>
        <w:t>：</w:t>
      </w:r>
      <w:r>
        <w:rPr>
          <w:spacing w:val="-118"/>
          <w:lang w:eastAsia="zh-CN"/>
        </w:rPr>
        <w:t xml:space="preserve"> </w:t>
      </w:r>
      <w:r>
        <w:rPr>
          <w:spacing w:val="-75"/>
          <w:u w:val="single"/>
          <w:lang w:eastAsia="zh-CN"/>
        </w:rPr>
        <w:t xml:space="preserve"> </w:t>
      </w:r>
      <w:r>
        <w:rPr>
          <w:spacing w:val="4"/>
          <w:u w:val="single"/>
          <w:lang w:eastAsia="zh-CN"/>
        </w:rPr>
        <w:t>（</w:t>
      </w:r>
      <w:r>
        <w:rPr>
          <w:spacing w:val="-10"/>
          <w:u w:val="single"/>
          <w:lang w:eastAsia="zh-CN"/>
        </w:rPr>
        <w:t>盖章）</w:t>
      </w:r>
      <w:r>
        <w:rPr>
          <w:u w:val="single"/>
          <w:lang w:eastAsia="zh-CN"/>
        </w:rPr>
        <w:t xml:space="preserve">         </w:t>
      </w:r>
    </w:p>
    <w:p w14:paraId="6DE4AAD6">
      <w:pPr>
        <w:spacing w:before="228" w:line="222" w:lineRule="auto"/>
        <w:ind w:left="317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</w:rPr>
        <w:t>30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87AD60A">
      <w:pPr>
        <w:spacing w:line="335" w:lineRule="auto"/>
        <w:rPr>
          <w:rFonts w:ascii="Arial"/>
        </w:rPr>
      </w:pPr>
    </w:p>
    <w:p w14:paraId="1B72390B">
      <w:pPr>
        <w:pStyle w:val="3"/>
        <w:spacing w:before="102" w:line="224" w:lineRule="auto"/>
        <w:ind w:left="3216"/>
        <w:rPr>
          <w:rFonts w:hint="eastAsia"/>
          <w:lang w:eastAsia="zh-CN"/>
        </w:rPr>
      </w:pPr>
      <w:r>
        <w:rPr>
          <w:spacing w:val="8"/>
          <w:lang w:eastAsia="zh-CN"/>
        </w:rPr>
        <w:t>（此页为封面）</w:t>
      </w:r>
    </w:p>
    <w:p w14:paraId="080314C5">
      <w:pPr>
        <w:spacing w:line="224" w:lineRule="auto"/>
        <w:sectPr>
          <w:footerReference r:id="rId4" w:type="default"/>
          <w:pgSz w:w="11900" w:h="16833"/>
          <w:pgMar w:top="1401" w:right="1583" w:bottom="1445" w:left="1618" w:header="0" w:footer="1170" w:gutter="0"/>
          <w:cols w:space="720" w:num="1"/>
        </w:sectPr>
      </w:pPr>
    </w:p>
    <w:p w14:paraId="10505D13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2024年度岳阳市岳阳楼区拆迁安置服务中心整体支出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7"/>
          <w:sz w:val="44"/>
          <w:szCs w:val="44"/>
        </w:rPr>
        <w:t>绩效自评报告</w:t>
      </w:r>
    </w:p>
    <w:p w14:paraId="760F5959">
      <w:pPr>
        <w:spacing w:line="283" w:lineRule="auto"/>
        <w:rPr>
          <w:rFonts w:ascii="Arial"/>
        </w:rPr>
      </w:pPr>
    </w:p>
    <w:p w14:paraId="1FADB283">
      <w:pPr>
        <w:spacing w:before="101" w:line="222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一</w:t>
      </w:r>
      <w:r>
        <w:rPr>
          <w:rFonts w:ascii="黑体" w:hAnsi="黑体" w:eastAsia="黑体" w:cs="黑体"/>
          <w:spacing w:val="-7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71"/>
          <w:sz w:val="31"/>
          <w:szCs w:val="31"/>
          <w:lang w:eastAsia="zh-CN"/>
        </w:rPr>
        <w:t>、</w:t>
      </w:r>
      <w:r>
        <w:rPr>
          <w:rFonts w:ascii="黑体" w:hAnsi="黑体" w:eastAsia="黑体" w:cs="黑体"/>
          <w:spacing w:val="-2"/>
          <w:sz w:val="31"/>
          <w:szCs w:val="31"/>
        </w:rPr>
        <w:t>单位基本情况</w:t>
      </w:r>
    </w:p>
    <w:p w14:paraId="55B4DFEB">
      <w:pPr>
        <w:spacing w:before="195" w:line="346" w:lineRule="auto"/>
        <w:ind w:firstLine="619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7"/>
          <w:sz w:val="32"/>
          <w:szCs w:val="32"/>
        </w:rPr>
        <w:t>岳阳楼区拆迁安置服务中心主要工作职责：贯彻落实国家、</w:t>
      </w:r>
      <w:r>
        <w:rPr>
          <w:rFonts w:hint="eastAsia" w:ascii="仿宋" w:hAnsi="仿宋" w:eastAsia="仿宋" w:cs="仿宋"/>
          <w:spacing w:val="-15"/>
          <w:sz w:val="32"/>
          <w:szCs w:val="32"/>
        </w:rPr>
        <w:t>省、市征收安置法律、法规及其有关政策，向被征收人宣传、解释相关征收安置政策，保障征收人和被征收人的合法利益。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>负责国家建设用地的征地及征收资金管理工作。负责各类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>建设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>项目征地的协调。经相关部门授权，承担土地征收方案、征收资金概算、征地公告、征地补偿安置公告的编制，经送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>审后上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>报及组织发布。负责房屋征收安置、保障性住房建设、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>政策法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规和归口管理范围内的档案整理工作。负责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>征收过程中及各类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保障性住房建设信访案件的初信回复。负责起草归口项目资金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>结算调度方案，办理项目资金结算、汇总，办理项目竣工结算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>和财务结算。共设置全额拨款事业编制50名，在职全额事业</w:t>
      </w:r>
      <w:r>
        <w:rPr>
          <w:rFonts w:hint="eastAsia" w:ascii="仿宋" w:hAnsi="仿宋" w:eastAsia="仿宋" w:cs="仿宋"/>
          <w:spacing w:val="6"/>
          <w:sz w:val="32"/>
          <w:szCs w:val="32"/>
        </w:rPr>
        <w:t>编40人，其中主任1名，副主任3名，正股级职数7名。内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>设机构八个，分别为办公室、征收管理股、安置保障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>股、财务</w:t>
      </w:r>
      <w:r>
        <w:rPr>
          <w:rFonts w:hint="eastAsia" w:ascii="仿宋" w:hAnsi="仿宋" w:eastAsia="仿宋" w:cs="仿宋"/>
          <w:spacing w:val="-24"/>
          <w:sz w:val="32"/>
          <w:szCs w:val="32"/>
        </w:rPr>
        <w:t>统计股、政策法规股、政工人事股、资料审核股、信</w:t>
      </w:r>
      <w:r>
        <w:rPr>
          <w:rFonts w:hint="eastAsia" w:ascii="仿宋" w:hAnsi="仿宋" w:eastAsia="仿宋" w:cs="仿宋"/>
          <w:spacing w:val="-25"/>
          <w:sz w:val="32"/>
          <w:szCs w:val="32"/>
        </w:rPr>
        <w:t>访室等机</w:t>
      </w:r>
      <w:r>
        <w:rPr>
          <w:rFonts w:hint="eastAsia" w:ascii="仿宋" w:hAnsi="仿宋" w:eastAsia="仿宋" w:cs="仿宋"/>
          <w:spacing w:val="-52"/>
          <w:sz w:val="32"/>
          <w:szCs w:val="32"/>
        </w:rPr>
        <w:t>构。</w:t>
      </w:r>
    </w:p>
    <w:p w14:paraId="2AE39758">
      <w:pPr>
        <w:numPr>
          <w:ilvl w:val="0"/>
          <w:numId w:val="0"/>
        </w:numPr>
        <w:spacing w:before="1" w:line="220" w:lineRule="auto"/>
        <w:ind w:left="619" w:leftChars="0"/>
        <w:rPr>
          <w:rFonts w:ascii="黑体" w:hAnsi="黑体" w:eastAsia="黑体" w:cs="黑体"/>
          <w:spacing w:val="-9"/>
          <w:sz w:val="32"/>
          <w:szCs w:val="32"/>
        </w:rPr>
      </w:pPr>
      <w:r>
        <w:rPr>
          <w:rFonts w:hint="eastAsia" w:ascii="黑体" w:hAnsi="黑体" w:eastAsia="黑体" w:cs="黑体"/>
          <w:spacing w:val="-9"/>
          <w:kern w:val="2"/>
          <w:sz w:val="32"/>
          <w:szCs w:val="32"/>
          <w:lang w:val="en-US" w:eastAsia="zh-CN" w:bidi="ar-SA"/>
        </w:rPr>
        <w:t>二、</w:t>
      </w:r>
      <w:r>
        <w:rPr>
          <w:rFonts w:ascii="黑体" w:hAnsi="黑体" w:eastAsia="黑体" w:cs="黑体"/>
          <w:spacing w:val="-9"/>
          <w:sz w:val="32"/>
          <w:szCs w:val="32"/>
        </w:rPr>
        <w:t>一般公共预算支出情况</w:t>
      </w:r>
    </w:p>
    <w:p w14:paraId="187F3A18">
      <w:pPr>
        <w:numPr>
          <w:ilvl w:val="0"/>
          <w:numId w:val="0"/>
        </w:numPr>
        <w:spacing w:before="1" w:line="220" w:lineRule="auto"/>
        <w:ind w:left="619" w:leftChars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"/>
          <w:sz w:val="30"/>
          <w:szCs w:val="30"/>
        </w:rPr>
        <w:t>(一)基本支出情况</w:t>
      </w:r>
    </w:p>
    <w:p w14:paraId="7E693872">
      <w:pPr>
        <w:spacing w:before="195" w:line="346" w:lineRule="auto"/>
        <w:ind w:firstLine="619"/>
        <w:jc w:val="both"/>
        <w:rPr>
          <w:rFonts w:hint="eastAsia" w:ascii="仿宋" w:hAnsi="仿宋" w:eastAsia="仿宋" w:cs="仿宋"/>
          <w:spacing w:val="-23"/>
          <w:sz w:val="32"/>
          <w:szCs w:val="32"/>
        </w:rPr>
      </w:pPr>
      <w:r>
        <w:rPr>
          <w:rFonts w:hint="eastAsia" w:ascii="仿宋" w:hAnsi="仿宋" w:eastAsia="仿宋" w:cs="仿宋"/>
          <w:spacing w:val="-23"/>
          <w:sz w:val="32"/>
          <w:szCs w:val="32"/>
        </w:rPr>
        <w:t>2024年度财政拨款基本支出652.20万元，其中：人员经费573.09万元，占基本支出的87.87%,主要包括基本工资、津贴补贴、奖金、伙食补助费、绩效工资、机关事业单位基本养老保险缴费、职工基本医疗保险缴费、其他社会保障缴费、住房公积金、其他工资福利支出；公用经费79.11万元，占基本支出的12.13%,主要包括办公费、电费、水费、邮电费、物业管理费、维修(护)费、差旅费、公务接待费、劳务费、委托业务费、福利费、其他交通费用、其他商品和服务支出、对个人及家庭补助。</w:t>
      </w:r>
    </w:p>
    <w:p w14:paraId="671D9F91">
      <w:pPr>
        <w:spacing w:before="97" w:line="222" w:lineRule="auto"/>
        <w:ind w:left="57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5"/>
          <w:sz w:val="32"/>
          <w:szCs w:val="32"/>
        </w:rPr>
        <w:t>(二)项目支出情况</w:t>
      </w:r>
    </w:p>
    <w:p w14:paraId="1FF40D3A">
      <w:pPr>
        <w:spacing w:before="195" w:line="346" w:lineRule="auto"/>
        <w:ind w:firstLine="619"/>
        <w:jc w:val="both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" w:hAnsi="仿宋" w:eastAsia="仿宋" w:cs="仿宋"/>
          <w:spacing w:val="-23"/>
          <w:sz w:val="32"/>
          <w:szCs w:val="32"/>
        </w:rPr>
        <w:t>2023年度财政拨款项目支出253.06万元，主要包括业务工作经费、三性人员工资、岳阳楼电商产业发展工作领导小组支出等。</w:t>
      </w:r>
    </w:p>
    <w:p w14:paraId="4D62206C">
      <w:pPr>
        <w:spacing w:before="19" w:line="282" w:lineRule="auto"/>
        <w:ind w:left="570" w:right="3704"/>
        <w:rPr>
          <w:rFonts w:hint="eastAsia" w:ascii="仿宋" w:hAnsi="仿宋" w:eastAsia="仿宋" w:cs="仿宋"/>
          <w:spacing w:val="-23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三、政府性基金预算支出情况</w:t>
      </w:r>
      <w:r>
        <w:rPr>
          <w:rFonts w:ascii="黑体" w:hAnsi="黑体" w:eastAsia="黑体" w:cs="黑体"/>
          <w:spacing w:val="1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无政府性基金预算支出</w:t>
      </w:r>
    </w:p>
    <w:p w14:paraId="01858EEA">
      <w:pPr>
        <w:spacing w:before="237" w:line="288" w:lineRule="auto"/>
        <w:ind w:left="570" w:right="3406"/>
        <w:rPr>
          <w:rFonts w:ascii="仿宋" w:hAnsi="仿宋" w:eastAsia="仿宋" w:cs="仿宋"/>
          <w:sz w:val="33"/>
          <w:szCs w:val="33"/>
        </w:rPr>
      </w:pPr>
      <w:r>
        <w:rPr>
          <w:rFonts w:ascii="黑体" w:hAnsi="黑体" w:eastAsia="黑体" w:cs="黑体"/>
          <w:spacing w:val="-6"/>
          <w:sz w:val="32"/>
          <w:szCs w:val="32"/>
        </w:rPr>
        <w:t>四、国有资本经营预算支出情况</w:t>
      </w:r>
      <w:r>
        <w:rPr>
          <w:rFonts w:ascii="黑体" w:hAnsi="黑体" w:eastAsia="黑体" w:cs="黑体"/>
          <w:spacing w:val="11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无国有资本经营预算支出</w:t>
      </w:r>
    </w:p>
    <w:p w14:paraId="64581C0C">
      <w:pPr>
        <w:spacing w:before="246" w:line="280" w:lineRule="auto"/>
        <w:ind w:left="570" w:right="3386"/>
        <w:rPr>
          <w:rFonts w:ascii="仿宋" w:hAnsi="仿宋" w:eastAsia="仿宋" w:cs="仿宋"/>
          <w:sz w:val="35"/>
          <w:szCs w:val="35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五、社会保险基金预算支出情况</w:t>
      </w:r>
      <w:r>
        <w:rPr>
          <w:rFonts w:ascii="黑体" w:hAnsi="黑体" w:eastAsia="黑体" w:cs="黑体"/>
          <w:spacing w:val="3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无社会保险基金预算支出</w:t>
      </w:r>
    </w:p>
    <w:p w14:paraId="39CDCAEB">
      <w:pPr>
        <w:spacing w:before="135" w:line="353" w:lineRule="auto"/>
        <w:ind w:right="131" w:firstLine="669"/>
        <w:jc w:val="both"/>
        <w:rPr>
          <w:rFonts w:ascii="黑体" w:hAnsi="黑体" w:eastAsia="黑体" w:cs="黑体"/>
          <w:spacing w:val="-2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六、部门整体支出绩效情况</w:t>
      </w:r>
    </w:p>
    <w:p w14:paraId="53B29C8E">
      <w:pPr>
        <w:spacing w:before="135" w:line="353" w:lineRule="auto"/>
        <w:ind w:right="131" w:firstLine="66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3"/>
          <w:sz w:val="32"/>
          <w:szCs w:val="32"/>
        </w:rPr>
        <w:t>2024年，我中心通过加强预算收支管理，不断健全内部管理制度，梳理内部管理流程，部门整体支出管理情况得到了提升。今年，我中心一般公共预算财政拨款905.26万元，资金中涉及的政府采购、经费拨付事项，我中心均严格按照要求进行了集中采购和请示报告，绩效目标完成情况良好，有效的完成了全区国有土地征收及安置相关工作。</w:t>
      </w:r>
    </w:p>
    <w:p w14:paraId="733387A1">
      <w:pPr>
        <w:spacing w:before="32" w:line="222" w:lineRule="auto"/>
        <w:ind w:left="66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七、存在的问题及原因分析</w:t>
      </w:r>
    </w:p>
    <w:p w14:paraId="00618825">
      <w:pPr>
        <w:spacing w:before="135" w:line="353" w:lineRule="auto"/>
        <w:ind w:right="131" w:firstLine="669"/>
        <w:jc w:val="both"/>
        <w:rPr>
          <w:rFonts w:hint="eastAsia" w:ascii="仿宋" w:hAnsi="仿宋" w:eastAsia="仿宋" w:cs="仿宋"/>
          <w:spacing w:val="-23"/>
          <w:sz w:val="32"/>
          <w:szCs w:val="32"/>
        </w:rPr>
      </w:pPr>
      <w:r>
        <w:rPr>
          <w:rFonts w:hint="eastAsia" w:ascii="仿宋" w:hAnsi="仿宋" w:eastAsia="仿宋" w:cs="仿宋"/>
          <w:spacing w:val="-23"/>
          <w:sz w:val="32"/>
          <w:szCs w:val="32"/>
        </w:rPr>
        <w:t>通过对我中心整体支出情况的分析，反映出目前在整体支出的预算编制、执行和管理过程中，仍存在一些问题和不足。预算编制范围不全面，年中有很多新增支出年初无法估计；财务工作人员业务水平仍需提高；财务人员实用性和操作性较强的培训活动比较少，业务交流比较少。</w:t>
      </w:r>
    </w:p>
    <w:p w14:paraId="6C41607B">
      <w:pPr>
        <w:spacing w:before="15" w:line="222" w:lineRule="auto"/>
        <w:ind w:left="66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八、下一步改进措施</w:t>
      </w:r>
    </w:p>
    <w:p w14:paraId="43013FD9">
      <w:pPr>
        <w:spacing w:before="135" w:line="353" w:lineRule="auto"/>
        <w:ind w:right="131" w:firstLine="669"/>
        <w:jc w:val="both"/>
        <w:rPr>
          <w:rFonts w:hint="eastAsia" w:ascii="仿宋" w:hAnsi="仿宋" w:eastAsia="仿宋" w:cs="仿宋"/>
          <w:spacing w:val="-23"/>
          <w:sz w:val="32"/>
          <w:szCs w:val="32"/>
        </w:rPr>
      </w:pPr>
      <w:r>
        <w:rPr>
          <w:rFonts w:hint="eastAsia" w:ascii="仿宋" w:hAnsi="仿宋" w:eastAsia="仿宋" w:cs="仿宋"/>
          <w:spacing w:val="-23"/>
          <w:sz w:val="32"/>
          <w:szCs w:val="32"/>
        </w:rPr>
        <w:t>1、细化预算编制工作。进一步加强预算编制和管理意识，严格按照预算编制的相关制度和要求，本着“勤俭节约、保障运转”的原则进行预算编制；编制范围尽可能的全面、不漏项，进一步提高预算编制的科学性、合理性和可控性。</w:t>
      </w:r>
    </w:p>
    <w:p w14:paraId="1B79FF3B">
      <w:pPr>
        <w:spacing w:before="135" w:line="353" w:lineRule="auto"/>
        <w:ind w:right="131" w:firstLine="669"/>
        <w:jc w:val="both"/>
        <w:rPr>
          <w:rFonts w:hint="eastAsia" w:ascii="仿宋" w:hAnsi="仿宋" w:eastAsia="仿宋" w:cs="仿宋"/>
          <w:spacing w:val="-23"/>
          <w:sz w:val="32"/>
          <w:szCs w:val="32"/>
        </w:rPr>
      </w:pPr>
      <w:r>
        <w:rPr>
          <w:rFonts w:hint="eastAsia" w:ascii="仿宋" w:hAnsi="仿宋" w:eastAsia="仿宋" w:cs="仿宋"/>
          <w:spacing w:val="-23"/>
          <w:sz w:val="32"/>
          <w:szCs w:val="32"/>
        </w:rPr>
        <w:t>2、加强财务管理工作。在费用支付时，按照预算规定的费用项目和用途进行资金的审核，严格按照费用的实际使用用途进行资金支付项目的列报，严格按照实际的费用支出内容进行财务核算，严格控制超支现象发生。</w:t>
      </w:r>
    </w:p>
    <w:p w14:paraId="34A129CF">
      <w:pPr>
        <w:spacing w:before="135" w:line="353" w:lineRule="auto"/>
        <w:ind w:right="131" w:firstLine="669"/>
        <w:jc w:val="both"/>
        <w:rPr>
          <w:rFonts w:hint="eastAsia" w:ascii="仿宋" w:hAnsi="仿宋" w:eastAsia="仿宋" w:cs="仿宋"/>
          <w:spacing w:val="-23"/>
          <w:sz w:val="32"/>
          <w:szCs w:val="32"/>
        </w:rPr>
      </w:pPr>
      <w:r>
        <w:rPr>
          <w:rFonts w:hint="eastAsia" w:ascii="仿宋" w:hAnsi="仿宋" w:eastAsia="仿宋" w:cs="仿宋"/>
          <w:spacing w:val="-23"/>
          <w:sz w:val="32"/>
          <w:szCs w:val="32"/>
        </w:rPr>
        <w:t>3、加强三公经费管理。进一步严控三公经费，严格控制 三公经费的规模和比例，严格三公经费支出的审核流程，杜绝 挪用和挤占其他预算资金行为。</w:t>
      </w:r>
    </w:p>
    <w:p w14:paraId="0F191737">
      <w:pPr>
        <w:spacing w:before="2" w:line="300" w:lineRule="auto"/>
        <w:ind w:left="684" w:right="821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26"/>
          <w:sz w:val="34"/>
          <w:szCs w:val="34"/>
        </w:rPr>
        <w:t>九、部门整体支出绩效自评结果拟应用和公开情况</w:t>
      </w:r>
    </w:p>
    <w:p w14:paraId="26250CF5">
      <w:pPr>
        <w:spacing w:before="223" w:line="221" w:lineRule="auto"/>
        <w:ind w:left="68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z w:val="30"/>
          <w:szCs w:val="30"/>
        </w:rPr>
        <w:t>十、其他需要说明的情况</w:t>
      </w:r>
    </w:p>
    <w:p w14:paraId="5DB9DF5C">
      <w:pPr>
        <w:spacing w:before="315" w:line="225" w:lineRule="auto"/>
        <w:ind w:left="68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无</w:t>
      </w:r>
    </w:p>
    <w:p w14:paraId="71ADA846">
      <w:pPr>
        <w:pStyle w:val="3"/>
        <w:spacing w:line="356" w:lineRule="auto"/>
      </w:pPr>
    </w:p>
    <w:p w14:paraId="13C66362">
      <w:pPr>
        <w:pStyle w:val="3"/>
        <w:spacing w:line="356" w:lineRule="auto"/>
      </w:pPr>
    </w:p>
    <w:p w14:paraId="417E5AD0">
      <w:pPr>
        <w:spacing w:before="126" w:line="222" w:lineRule="auto"/>
        <w:ind w:left="565"/>
        <w:rPr>
          <w:rFonts w:ascii="仿宋" w:hAnsi="仿宋" w:eastAsia="仿宋" w:cs="仿宋"/>
          <w:sz w:val="39"/>
          <w:szCs w:val="39"/>
        </w:rPr>
      </w:pPr>
      <w:r>
        <w:rPr>
          <w:rFonts w:ascii="仿宋" w:hAnsi="仿宋" w:eastAsia="仿宋" w:cs="仿宋"/>
          <w:spacing w:val="-44"/>
          <w:sz w:val="39"/>
          <w:szCs w:val="39"/>
        </w:rPr>
        <w:t>附件：</w:t>
      </w:r>
    </w:p>
    <w:p w14:paraId="26B5C1CF">
      <w:pPr>
        <w:spacing w:before="166" w:line="221" w:lineRule="auto"/>
        <w:ind w:left="1194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2"/>
          <w:sz w:val="35"/>
          <w:szCs w:val="35"/>
        </w:rPr>
        <w:t>1、单</w:t>
      </w:r>
      <w:r>
        <w:rPr>
          <w:rFonts w:ascii="仿宋" w:hAnsi="仿宋" w:eastAsia="仿宋" w:cs="仿宋"/>
          <w:spacing w:val="-4"/>
          <w:sz w:val="35"/>
          <w:szCs w:val="35"/>
        </w:rPr>
        <w:t>位整体支出绩效评价基础数据表</w:t>
      </w:r>
    </w:p>
    <w:p w14:paraId="019937A1">
      <w:pPr>
        <w:spacing w:before="201" w:line="221" w:lineRule="auto"/>
        <w:ind w:left="1194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2"/>
          <w:sz w:val="35"/>
          <w:szCs w:val="35"/>
        </w:rPr>
        <w:t>2、单位整体支出绩效自评表</w:t>
      </w:r>
    </w:p>
    <w:p w14:paraId="4F2A509E">
      <w:pPr>
        <w:spacing w:before="106" w:line="302" w:lineRule="auto"/>
        <w:ind w:left="64" w:right="151" w:firstLine="1130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12"/>
          <w:sz w:val="35"/>
          <w:szCs w:val="35"/>
        </w:rPr>
        <w:t>3、项目支出绩效自评表(每个一级项目一张</w:t>
      </w:r>
      <w:r>
        <w:rPr>
          <w:rFonts w:ascii="仿宋" w:hAnsi="仿宋" w:eastAsia="仿宋" w:cs="仿宋"/>
          <w:spacing w:val="-13"/>
          <w:sz w:val="35"/>
          <w:szCs w:val="35"/>
        </w:rPr>
        <w:t>表)</w:t>
      </w:r>
    </w:p>
    <w:p w14:paraId="1F46E00C">
      <w:pPr>
        <w:spacing w:before="199" w:line="220" w:lineRule="auto"/>
        <w:ind w:left="1194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3"/>
          <w:sz w:val="35"/>
          <w:szCs w:val="35"/>
        </w:rPr>
        <w:t>4、政府性基金预算支出情况表</w:t>
      </w:r>
    </w:p>
    <w:p w14:paraId="2B07E992">
      <w:pPr>
        <w:spacing w:before="145" w:line="222" w:lineRule="auto"/>
        <w:ind w:left="1194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3"/>
          <w:sz w:val="35"/>
          <w:szCs w:val="35"/>
        </w:rPr>
        <w:t>5、国有资本经营预算支出情况表</w:t>
      </w:r>
    </w:p>
    <w:p w14:paraId="5699ED04">
      <w:pPr>
        <w:spacing w:before="238" w:line="221" w:lineRule="auto"/>
        <w:ind w:left="119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" w:hAnsi="仿宋" w:eastAsia="仿宋" w:cs="仿宋"/>
          <w:spacing w:val="-4"/>
          <w:sz w:val="35"/>
          <w:szCs w:val="35"/>
        </w:rPr>
        <w:t>6、社会保险基金预算支出情况</w:t>
      </w:r>
    </w:p>
    <w:sectPr>
      <w:footerReference r:id="rId5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0C1CA8C-410F-45D7-89D0-F0ACC9E42A7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1B6B110-3905-4CEA-94B9-886858A91D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306EB39-809A-43ED-B42A-0346F50DEC2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3E7CEB92-C8EA-4871-A3B5-45DBA9FB7946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5" w:fontKey="{8115D869-1C95-4FF7-89BF-C19C355D076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4CF882BD-3775-4962-925D-75D0AC5F8EF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F014CDC5-71F6-4871-9BBE-3D3FE2FC96D4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2E3DB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30BA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30BA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2FC7D">
    <w:pPr>
      <w:pStyle w:val="3"/>
      <w:spacing w:before="1" w:line="174" w:lineRule="auto"/>
      <w:jc w:val="right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085A0">
                          <w:pPr>
                            <w:pStyle w:val="4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085A0">
                    <w:pPr>
                      <w:pStyle w:val="4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90EC9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ED3C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ED3C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56458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3D4B60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0309B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132DD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4032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1F585D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878D5"/>
    <w:rsid w:val="052D0610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B04A3"/>
    <w:rsid w:val="05E616EC"/>
    <w:rsid w:val="05EC1380"/>
    <w:rsid w:val="061439B5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9D7E4F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3F4318"/>
    <w:rsid w:val="08455D8D"/>
    <w:rsid w:val="084735B5"/>
    <w:rsid w:val="0848472A"/>
    <w:rsid w:val="084D20E7"/>
    <w:rsid w:val="08502EAB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6776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D4AA1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800E8"/>
    <w:rsid w:val="0BEE4F6B"/>
    <w:rsid w:val="0C03261E"/>
    <w:rsid w:val="0C0439FA"/>
    <w:rsid w:val="0C0B17DF"/>
    <w:rsid w:val="0C0F382B"/>
    <w:rsid w:val="0C1110C3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C636E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B7C4C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35CDA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62D4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35B35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FF3EF7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955A49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90FE8"/>
    <w:rsid w:val="151C632A"/>
    <w:rsid w:val="151D053F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C04AB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DE4297"/>
    <w:rsid w:val="16E53AFA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483398"/>
    <w:rsid w:val="19521C94"/>
    <w:rsid w:val="195657BB"/>
    <w:rsid w:val="196B19EB"/>
    <w:rsid w:val="19717C66"/>
    <w:rsid w:val="1984763E"/>
    <w:rsid w:val="198B615B"/>
    <w:rsid w:val="198C1D89"/>
    <w:rsid w:val="198E7C2B"/>
    <w:rsid w:val="199945D5"/>
    <w:rsid w:val="199B5065"/>
    <w:rsid w:val="199F0F71"/>
    <w:rsid w:val="19A81829"/>
    <w:rsid w:val="19A90CE8"/>
    <w:rsid w:val="19AA6528"/>
    <w:rsid w:val="19BD63E6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1349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37230"/>
    <w:rsid w:val="1C74154B"/>
    <w:rsid w:val="1C7F7983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9418F"/>
    <w:rsid w:val="1D6B31E8"/>
    <w:rsid w:val="1D6B7F83"/>
    <w:rsid w:val="1D745F75"/>
    <w:rsid w:val="1D776C3D"/>
    <w:rsid w:val="1D870C08"/>
    <w:rsid w:val="1D8B7F05"/>
    <w:rsid w:val="1D90796E"/>
    <w:rsid w:val="1D95321A"/>
    <w:rsid w:val="1DA80CFE"/>
    <w:rsid w:val="1DB85E5C"/>
    <w:rsid w:val="1DBB71A4"/>
    <w:rsid w:val="1DC46662"/>
    <w:rsid w:val="1DCA5E3A"/>
    <w:rsid w:val="1DCF5405"/>
    <w:rsid w:val="1DD75183"/>
    <w:rsid w:val="1DD97409"/>
    <w:rsid w:val="1DDE2626"/>
    <w:rsid w:val="1DDF66A8"/>
    <w:rsid w:val="1DEC54EC"/>
    <w:rsid w:val="1DF4614E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814E6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5C044F"/>
    <w:rsid w:val="1F692382"/>
    <w:rsid w:val="1F843502"/>
    <w:rsid w:val="1F8815CD"/>
    <w:rsid w:val="1F8D1995"/>
    <w:rsid w:val="1F935BDD"/>
    <w:rsid w:val="1F963600"/>
    <w:rsid w:val="1F9730E6"/>
    <w:rsid w:val="1FA87477"/>
    <w:rsid w:val="1FBC2C9C"/>
    <w:rsid w:val="1FDE0273"/>
    <w:rsid w:val="1FDE31D9"/>
    <w:rsid w:val="1FE90789"/>
    <w:rsid w:val="1FEF73C9"/>
    <w:rsid w:val="1FF26468"/>
    <w:rsid w:val="2000702C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96190"/>
    <w:rsid w:val="210C69CF"/>
    <w:rsid w:val="21107C1A"/>
    <w:rsid w:val="21127D2B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750CC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A61FC4"/>
    <w:rsid w:val="21C12688"/>
    <w:rsid w:val="21C25E7D"/>
    <w:rsid w:val="21CC4855"/>
    <w:rsid w:val="21D00C81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9D6FB8"/>
    <w:rsid w:val="22A94C09"/>
    <w:rsid w:val="22AB58F3"/>
    <w:rsid w:val="22AD616A"/>
    <w:rsid w:val="22BC7FA6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6C6787"/>
    <w:rsid w:val="23830488"/>
    <w:rsid w:val="23932D47"/>
    <w:rsid w:val="23A46F6A"/>
    <w:rsid w:val="23BE4330"/>
    <w:rsid w:val="23BF0A62"/>
    <w:rsid w:val="23C263BB"/>
    <w:rsid w:val="23C63733"/>
    <w:rsid w:val="23D50A64"/>
    <w:rsid w:val="23DC6F4C"/>
    <w:rsid w:val="23DD2202"/>
    <w:rsid w:val="23F70746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39A1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1E60DE"/>
    <w:rsid w:val="255061EE"/>
    <w:rsid w:val="2558779F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02F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43B7F"/>
    <w:rsid w:val="29394AFC"/>
    <w:rsid w:val="294D5371"/>
    <w:rsid w:val="295867A0"/>
    <w:rsid w:val="295A0917"/>
    <w:rsid w:val="295A5964"/>
    <w:rsid w:val="29626133"/>
    <w:rsid w:val="296A2440"/>
    <w:rsid w:val="29702C6A"/>
    <w:rsid w:val="29753F13"/>
    <w:rsid w:val="297D19A3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9FF4754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23A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8A32B4"/>
    <w:rsid w:val="2C993631"/>
    <w:rsid w:val="2C9B7E11"/>
    <w:rsid w:val="2CA40E61"/>
    <w:rsid w:val="2CA4253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147F2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E60D7"/>
    <w:rsid w:val="2DA20908"/>
    <w:rsid w:val="2DB45073"/>
    <w:rsid w:val="2DB713DE"/>
    <w:rsid w:val="2DC72B92"/>
    <w:rsid w:val="2DE44256"/>
    <w:rsid w:val="2DE557EB"/>
    <w:rsid w:val="2DF54A22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817EF"/>
    <w:rsid w:val="301F1E0F"/>
    <w:rsid w:val="302E6295"/>
    <w:rsid w:val="30332040"/>
    <w:rsid w:val="303329F0"/>
    <w:rsid w:val="303818E5"/>
    <w:rsid w:val="303A25F6"/>
    <w:rsid w:val="303F1851"/>
    <w:rsid w:val="303F79AD"/>
    <w:rsid w:val="30467C46"/>
    <w:rsid w:val="30492212"/>
    <w:rsid w:val="304C3A2B"/>
    <w:rsid w:val="30596318"/>
    <w:rsid w:val="30680BB0"/>
    <w:rsid w:val="306F339C"/>
    <w:rsid w:val="30762710"/>
    <w:rsid w:val="30814CF1"/>
    <w:rsid w:val="308E2433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90557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12995"/>
    <w:rsid w:val="31664C04"/>
    <w:rsid w:val="317038BB"/>
    <w:rsid w:val="317632AC"/>
    <w:rsid w:val="317958D0"/>
    <w:rsid w:val="317A5E86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6E42CA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2FD73FC"/>
    <w:rsid w:val="330326BB"/>
    <w:rsid w:val="33085CC5"/>
    <w:rsid w:val="33100DE3"/>
    <w:rsid w:val="33262CBA"/>
    <w:rsid w:val="332901F1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D740F0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36B8D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C32136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23C5D"/>
    <w:rsid w:val="367851C1"/>
    <w:rsid w:val="369510BC"/>
    <w:rsid w:val="36973632"/>
    <w:rsid w:val="36A30194"/>
    <w:rsid w:val="36D21A02"/>
    <w:rsid w:val="36E85056"/>
    <w:rsid w:val="36EC7EB3"/>
    <w:rsid w:val="3708411D"/>
    <w:rsid w:val="370E0FEC"/>
    <w:rsid w:val="37104DEB"/>
    <w:rsid w:val="37166BDC"/>
    <w:rsid w:val="372C24A3"/>
    <w:rsid w:val="372D0977"/>
    <w:rsid w:val="372F66F4"/>
    <w:rsid w:val="37337382"/>
    <w:rsid w:val="373D28D9"/>
    <w:rsid w:val="374D0B4E"/>
    <w:rsid w:val="374D3C1C"/>
    <w:rsid w:val="374D5647"/>
    <w:rsid w:val="374F42A7"/>
    <w:rsid w:val="37506DBE"/>
    <w:rsid w:val="3759338C"/>
    <w:rsid w:val="375A30C5"/>
    <w:rsid w:val="37643EED"/>
    <w:rsid w:val="37654002"/>
    <w:rsid w:val="3770253F"/>
    <w:rsid w:val="377A7524"/>
    <w:rsid w:val="377C0259"/>
    <w:rsid w:val="378620B5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BD566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96809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EA00A2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6680E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AC5E63"/>
    <w:rsid w:val="3BB67BA7"/>
    <w:rsid w:val="3BC205BC"/>
    <w:rsid w:val="3BC61A51"/>
    <w:rsid w:val="3BC74A4B"/>
    <w:rsid w:val="3BCD08A7"/>
    <w:rsid w:val="3BDF089F"/>
    <w:rsid w:val="3BDF1D94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361DB4"/>
    <w:rsid w:val="3C467833"/>
    <w:rsid w:val="3C4D3B02"/>
    <w:rsid w:val="3C553044"/>
    <w:rsid w:val="3C5B1D89"/>
    <w:rsid w:val="3C5C5193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37D04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736C38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6434D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13331"/>
    <w:rsid w:val="3EA64DEB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2348C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17932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55C2A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425C9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4D18"/>
    <w:rsid w:val="428670A3"/>
    <w:rsid w:val="428D1B97"/>
    <w:rsid w:val="42996825"/>
    <w:rsid w:val="429E0F2A"/>
    <w:rsid w:val="42A82444"/>
    <w:rsid w:val="42B5102C"/>
    <w:rsid w:val="42B608A5"/>
    <w:rsid w:val="42BC00C5"/>
    <w:rsid w:val="42BC6C8F"/>
    <w:rsid w:val="42C5446D"/>
    <w:rsid w:val="42CE5FC3"/>
    <w:rsid w:val="42E11334"/>
    <w:rsid w:val="42E94337"/>
    <w:rsid w:val="42F425C9"/>
    <w:rsid w:val="42F777C1"/>
    <w:rsid w:val="42FE6C02"/>
    <w:rsid w:val="43031943"/>
    <w:rsid w:val="431327F1"/>
    <w:rsid w:val="43182DB2"/>
    <w:rsid w:val="431E4B73"/>
    <w:rsid w:val="432D1B1D"/>
    <w:rsid w:val="43486471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12351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8770F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DC3AA0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741AB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373210"/>
    <w:rsid w:val="49416B9A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033BE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1650A7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D93A10"/>
    <w:rsid w:val="4BE10A59"/>
    <w:rsid w:val="4BE123D1"/>
    <w:rsid w:val="4BF90797"/>
    <w:rsid w:val="4BFF725A"/>
    <w:rsid w:val="4C016441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04F42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4F457B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00881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B5867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1FE52B1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16EAD"/>
    <w:rsid w:val="5249154C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C74BB"/>
    <w:rsid w:val="530D6AAB"/>
    <w:rsid w:val="531973FC"/>
    <w:rsid w:val="53387CD2"/>
    <w:rsid w:val="53514ECE"/>
    <w:rsid w:val="5353575F"/>
    <w:rsid w:val="535B2E70"/>
    <w:rsid w:val="535C4E8B"/>
    <w:rsid w:val="535D5E4C"/>
    <w:rsid w:val="536270DB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A771E4"/>
    <w:rsid w:val="53B2707B"/>
    <w:rsid w:val="53B45677"/>
    <w:rsid w:val="53C0579F"/>
    <w:rsid w:val="53D23CC3"/>
    <w:rsid w:val="53DD2466"/>
    <w:rsid w:val="53DE11D6"/>
    <w:rsid w:val="53DF7CBA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B2661"/>
    <w:rsid w:val="548C3C7E"/>
    <w:rsid w:val="54A656E0"/>
    <w:rsid w:val="54AC5134"/>
    <w:rsid w:val="54C505FF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5965DF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D63AB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5B456D"/>
    <w:rsid w:val="576A3055"/>
    <w:rsid w:val="57802A35"/>
    <w:rsid w:val="57815555"/>
    <w:rsid w:val="57882730"/>
    <w:rsid w:val="578C3658"/>
    <w:rsid w:val="57947A7F"/>
    <w:rsid w:val="57AD7E3A"/>
    <w:rsid w:val="57B41ECF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E7742D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F3861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52481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663CF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7D566D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637E3"/>
    <w:rsid w:val="5D8A240A"/>
    <w:rsid w:val="5D8A4019"/>
    <w:rsid w:val="5D9907FA"/>
    <w:rsid w:val="5DBC388C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03BC5"/>
    <w:rsid w:val="5E284971"/>
    <w:rsid w:val="5E2C3CE8"/>
    <w:rsid w:val="5E361890"/>
    <w:rsid w:val="5E391380"/>
    <w:rsid w:val="5E480DBB"/>
    <w:rsid w:val="5E4B0589"/>
    <w:rsid w:val="5E532C32"/>
    <w:rsid w:val="5E6A778C"/>
    <w:rsid w:val="5E6B78B9"/>
    <w:rsid w:val="5E72530D"/>
    <w:rsid w:val="5E7B3471"/>
    <w:rsid w:val="5E811840"/>
    <w:rsid w:val="5E966108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35DCF"/>
    <w:rsid w:val="5F3B5980"/>
    <w:rsid w:val="5F475DFB"/>
    <w:rsid w:val="5F4A6912"/>
    <w:rsid w:val="5F5D3310"/>
    <w:rsid w:val="5F792AFF"/>
    <w:rsid w:val="5F7A7AD4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CD2B9B"/>
    <w:rsid w:val="5FD02E83"/>
    <w:rsid w:val="5FE15D7D"/>
    <w:rsid w:val="5FED681E"/>
    <w:rsid w:val="5FFB751D"/>
    <w:rsid w:val="5FFC1DCE"/>
    <w:rsid w:val="600475A4"/>
    <w:rsid w:val="600B2CBA"/>
    <w:rsid w:val="600F19CA"/>
    <w:rsid w:val="600F2399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8E3005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8E3791"/>
    <w:rsid w:val="619952F0"/>
    <w:rsid w:val="61A33787"/>
    <w:rsid w:val="61A66AB4"/>
    <w:rsid w:val="61B94C34"/>
    <w:rsid w:val="61BC38FA"/>
    <w:rsid w:val="61BE0E4F"/>
    <w:rsid w:val="61C85E7F"/>
    <w:rsid w:val="61CD78CF"/>
    <w:rsid w:val="61D03DA9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8F0475"/>
    <w:rsid w:val="629105C7"/>
    <w:rsid w:val="62A975CA"/>
    <w:rsid w:val="62AB5771"/>
    <w:rsid w:val="62AE05DB"/>
    <w:rsid w:val="62B60A29"/>
    <w:rsid w:val="62BA5EE7"/>
    <w:rsid w:val="62CD209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620A31"/>
    <w:rsid w:val="63710CD7"/>
    <w:rsid w:val="637D427E"/>
    <w:rsid w:val="63861A11"/>
    <w:rsid w:val="638E7A78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14697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A601AC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342D9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30DBD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74A0C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26A5C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5C61DA"/>
    <w:rsid w:val="6A6F04CF"/>
    <w:rsid w:val="6A777087"/>
    <w:rsid w:val="6A807B72"/>
    <w:rsid w:val="6A820574"/>
    <w:rsid w:val="6A8D2838"/>
    <w:rsid w:val="6A9274CB"/>
    <w:rsid w:val="6A99048F"/>
    <w:rsid w:val="6AA077DB"/>
    <w:rsid w:val="6AA22738"/>
    <w:rsid w:val="6AA47C92"/>
    <w:rsid w:val="6AB909BB"/>
    <w:rsid w:val="6ABA0C51"/>
    <w:rsid w:val="6ABC136F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5BB1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1F1AB4"/>
    <w:rsid w:val="6C304BD6"/>
    <w:rsid w:val="6C311D32"/>
    <w:rsid w:val="6C33740F"/>
    <w:rsid w:val="6C377C16"/>
    <w:rsid w:val="6C417EB8"/>
    <w:rsid w:val="6C467142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347C2"/>
    <w:rsid w:val="6DC64BAC"/>
    <w:rsid w:val="6DC91BE5"/>
    <w:rsid w:val="6DDA4BA3"/>
    <w:rsid w:val="6DF44C7C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9C52CB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185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7134F"/>
    <w:rsid w:val="732D5C49"/>
    <w:rsid w:val="733155C8"/>
    <w:rsid w:val="73403A1F"/>
    <w:rsid w:val="73407A23"/>
    <w:rsid w:val="73422D3C"/>
    <w:rsid w:val="735171FE"/>
    <w:rsid w:val="73625723"/>
    <w:rsid w:val="73661E78"/>
    <w:rsid w:val="736E3CD9"/>
    <w:rsid w:val="737007D9"/>
    <w:rsid w:val="738526B4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740F9"/>
    <w:rsid w:val="746C713B"/>
    <w:rsid w:val="747607E0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7D16FB"/>
    <w:rsid w:val="758641A3"/>
    <w:rsid w:val="758A08EA"/>
    <w:rsid w:val="758B283A"/>
    <w:rsid w:val="75BD313A"/>
    <w:rsid w:val="75BF09C7"/>
    <w:rsid w:val="75BF6D3D"/>
    <w:rsid w:val="75C97F23"/>
    <w:rsid w:val="75D0419D"/>
    <w:rsid w:val="75D800EB"/>
    <w:rsid w:val="75DC1EF4"/>
    <w:rsid w:val="75DD7BCA"/>
    <w:rsid w:val="75E17EDC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0E4D00"/>
    <w:rsid w:val="771670C1"/>
    <w:rsid w:val="772C164B"/>
    <w:rsid w:val="772C16E9"/>
    <w:rsid w:val="772E1F8C"/>
    <w:rsid w:val="77316A71"/>
    <w:rsid w:val="773736A8"/>
    <w:rsid w:val="77534E09"/>
    <w:rsid w:val="77536779"/>
    <w:rsid w:val="77683E14"/>
    <w:rsid w:val="77734EA5"/>
    <w:rsid w:val="777E537D"/>
    <w:rsid w:val="777F5BFE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2C7D69"/>
    <w:rsid w:val="793E4F07"/>
    <w:rsid w:val="79455569"/>
    <w:rsid w:val="79470AE2"/>
    <w:rsid w:val="795123A8"/>
    <w:rsid w:val="79524E02"/>
    <w:rsid w:val="79535AC3"/>
    <w:rsid w:val="79620961"/>
    <w:rsid w:val="79815C5D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06B1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27AB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CD289A"/>
    <w:rsid w:val="7CDF4250"/>
    <w:rsid w:val="7D09113D"/>
    <w:rsid w:val="7D0B1257"/>
    <w:rsid w:val="7D157A0E"/>
    <w:rsid w:val="7D1658AD"/>
    <w:rsid w:val="7D1B2E27"/>
    <w:rsid w:val="7D1D4159"/>
    <w:rsid w:val="7D243099"/>
    <w:rsid w:val="7D4071CA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AC0DCF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1146C"/>
    <w:rsid w:val="7E0D4E8F"/>
    <w:rsid w:val="7E107D04"/>
    <w:rsid w:val="7E202441"/>
    <w:rsid w:val="7E214E29"/>
    <w:rsid w:val="7E2E0E57"/>
    <w:rsid w:val="7E304C9A"/>
    <w:rsid w:val="7E5341B1"/>
    <w:rsid w:val="7E5D785B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97F59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1579</Words>
  <Characters>1826</Characters>
  <Lines>0</Lines>
  <Paragraphs>0</Paragraphs>
  <TotalTime>39</TotalTime>
  <ScaleCrop>false</ScaleCrop>
  <LinksUpToDate>false</LinksUpToDate>
  <CharactersWithSpaces>1848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烟雨胡同</cp:lastModifiedBy>
  <dcterms:modified xsi:type="dcterms:W3CDTF">2026-09-04T08:45:13Z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0F5DA79923B8489C972FB1DFAAEC38C2_13</vt:lpwstr>
  </property>
  <property fmtid="{D5CDD505-2E9C-101B-9397-08002B2CF9AE}" pid="4" name="KSOTemplateDocerSaveRecord">
    <vt:lpwstr>eyJoZGlkIjoiZWFkMzQ0MzRlNzcyNjcwMGM5NjNmNDc2MTJiNzBhYzgiLCJ1c2VySWQiOiI0MTIxMDY5NjYifQ==</vt:lpwstr>
  </property>
</Properties>
</file>