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E4798F">
      <w:pPr>
        <w:spacing w:line="700" w:lineRule="exact"/>
        <w:jc w:val="center"/>
        <w:rPr>
          <w:rFonts w:hint="eastAsia" w:ascii="仿宋" w:hAnsi="仿宋" w:eastAsia="仿宋" w:cs="仿宋"/>
          <w:b/>
          <w:bCs/>
          <w:color w:val="000000" w:themeColor="text1"/>
          <w:spacing w:val="2"/>
          <w:sz w:val="44"/>
          <w:szCs w:val="44"/>
          <w:lang w:val="en-US" w:eastAsia="zh-CN"/>
        </w:rPr>
      </w:pPr>
    </w:p>
    <w:p w14:paraId="6FA34021">
      <w:pPr>
        <w:spacing w:line="700" w:lineRule="exact"/>
        <w:jc w:val="center"/>
        <w:rPr>
          <w:rFonts w:hint="eastAsia" w:ascii="仿宋" w:hAnsi="仿宋" w:eastAsia="仿宋" w:cs="仿宋"/>
          <w:b/>
          <w:bCs/>
          <w:color w:val="000000" w:themeColor="text1"/>
          <w:spacing w:val="2"/>
          <w:sz w:val="44"/>
          <w:szCs w:val="44"/>
          <w:lang w:val="en-US" w:eastAsia="zh-CN"/>
        </w:rPr>
      </w:pPr>
    </w:p>
    <w:p w14:paraId="035561F2">
      <w:pPr>
        <w:spacing w:line="700" w:lineRule="exact"/>
        <w:jc w:val="center"/>
        <w:rPr>
          <w:rFonts w:hint="eastAsia" w:ascii="仿宋" w:hAnsi="仿宋" w:eastAsia="仿宋" w:cs="仿宋"/>
          <w:b/>
          <w:bCs/>
          <w:color w:val="000000" w:themeColor="text1"/>
          <w:spacing w:val="2"/>
          <w:sz w:val="44"/>
          <w:szCs w:val="44"/>
          <w:lang w:val="en-US" w:eastAsia="zh-CN"/>
        </w:rPr>
      </w:pPr>
    </w:p>
    <w:p w14:paraId="29E747DE">
      <w:pPr>
        <w:spacing w:line="700" w:lineRule="exact"/>
        <w:jc w:val="center"/>
        <w:rPr>
          <w:rFonts w:hint="eastAsia" w:ascii="仿宋" w:hAnsi="仿宋" w:eastAsia="仿宋" w:cs="仿宋"/>
          <w:b/>
          <w:bCs/>
          <w:color w:val="000000" w:themeColor="text1"/>
          <w:spacing w:val="2"/>
          <w:sz w:val="44"/>
          <w:szCs w:val="44"/>
          <w:lang w:val="en-US" w:eastAsia="zh-CN"/>
        </w:rPr>
      </w:pPr>
    </w:p>
    <w:p w14:paraId="0FEE81C8">
      <w:pPr>
        <w:spacing w:line="700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spacing w:val="2"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2"/>
          <w:sz w:val="44"/>
          <w:szCs w:val="44"/>
          <w:lang w:val="en-US"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2"/>
          <w:sz w:val="44"/>
          <w:szCs w:val="44"/>
        </w:rPr>
        <w:t>年度岳阳市岳阳楼区教育建设服务中心</w:t>
      </w:r>
      <w:r>
        <w:rPr>
          <w:rFonts w:ascii="方正小标宋简体" w:hAnsi="方正小标宋简体" w:eastAsia="方正小标宋简体" w:cs="方正小标宋简体"/>
          <w:color w:val="000000" w:themeColor="text1"/>
          <w:spacing w:val="2"/>
          <w:sz w:val="44"/>
          <w:szCs w:val="44"/>
        </w:rPr>
        <w:t>单位整体支出绩效自评报告</w:t>
      </w:r>
    </w:p>
    <w:p w14:paraId="429458C2">
      <w:pPr>
        <w:jc w:val="left"/>
        <w:rPr>
          <w:rFonts w:ascii="仿宋" w:hAnsi="仿宋" w:eastAsia="仿宋" w:cs="仿宋"/>
          <w:color w:val="000000" w:themeColor="text1"/>
          <w:sz w:val="22"/>
          <w:szCs w:val="22"/>
        </w:rPr>
      </w:pPr>
    </w:p>
    <w:p w14:paraId="3EF12D04">
      <w:pPr>
        <w:jc w:val="left"/>
        <w:rPr>
          <w:rFonts w:ascii="仿宋" w:hAnsi="仿宋" w:eastAsia="仿宋" w:cs="仿宋"/>
          <w:color w:val="000000" w:themeColor="text1"/>
          <w:sz w:val="22"/>
          <w:szCs w:val="22"/>
        </w:rPr>
      </w:pPr>
    </w:p>
    <w:p w14:paraId="797F9DEB">
      <w:pPr>
        <w:jc w:val="left"/>
        <w:rPr>
          <w:rFonts w:ascii="仿宋" w:hAnsi="仿宋" w:eastAsia="仿宋" w:cs="仿宋"/>
          <w:color w:val="000000" w:themeColor="text1"/>
          <w:sz w:val="22"/>
          <w:szCs w:val="22"/>
        </w:rPr>
      </w:pPr>
    </w:p>
    <w:p w14:paraId="2D2B5153">
      <w:pPr>
        <w:jc w:val="left"/>
        <w:rPr>
          <w:rFonts w:ascii="仿宋" w:hAnsi="仿宋" w:eastAsia="仿宋" w:cs="仿宋"/>
          <w:color w:val="000000" w:themeColor="text1"/>
          <w:sz w:val="22"/>
          <w:szCs w:val="22"/>
        </w:rPr>
      </w:pPr>
    </w:p>
    <w:p w14:paraId="25FE4220">
      <w:pPr>
        <w:jc w:val="left"/>
        <w:rPr>
          <w:rFonts w:ascii="仿宋" w:hAnsi="仿宋" w:eastAsia="仿宋" w:cs="仿宋"/>
          <w:color w:val="000000" w:themeColor="text1"/>
          <w:sz w:val="22"/>
          <w:szCs w:val="22"/>
        </w:rPr>
      </w:pPr>
    </w:p>
    <w:p w14:paraId="33D222C8">
      <w:pPr>
        <w:jc w:val="left"/>
        <w:rPr>
          <w:rFonts w:ascii="仿宋" w:hAnsi="仿宋" w:eastAsia="仿宋" w:cs="仿宋"/>
          <w:color w:val="000000" w:themeColor="text1"/>
          <w:sz w:val="22"/>
          <w:szCs w:val="22"/>
        </w:rPr>
      </w:pPr>
    </w:p>
    <w:p w14:paraId="24643B82">
      <w:pPr>
        <w:jc w:val="left"/>
        <w:rPr>
          <w:rFonts w:ascii="仿宋" w:hAnsi="仿宋" w:eastAsia="仿宋" w:cs="仿宋"/>
          <w:color w:val="000000" w:themeColor="text1"/>
          <w:sz w:val="22"/>
          <w:szCs w:val="22"/>
        </w:rPr>
      </w:pPr>
    </w:p>
    <w:p w14:paraId="6A3E954E">
      <w:pPr>
        <w:jc w:val="left"/>
        <w:rPr>
          <w:rFonts w:ascii="仿宋" w:hAnsi="仿宋" w:eastAsia="仿宋" w:cs="仿宋"/>
          <w:color w:val="000000" w:themeColor="text1"/>
          <w:sz w:val="22"/>
          <w:szCs w:val="22"/>
        </w:rPr>
      </w:pPr>
    </w:p>
    <w:p w14:paraId="4716AB1C">
      <w:pPr>
        <w:jc w:val="left"/>
        <w:rPr>
          <w:rFonts w:ascii="仿宋" w:hAnsi="仿宋" w:eastAsia="仿宋" w:cs="仿宋"/>
          <w:color w:val="000000" w:themeColor="text1"/>
          <w:sz w:val="22"/>
          <w:szCs w:val="22"/>
        </w:rPr>
      </w:pPr>
    </w:p>
    <w:p w14:paraId="1D7BE0FA">
      <w:pPr>
        <w:jc w:val="left"/>
        <w:rPr>
          <w:rFonts w:ascii="仿宋" w:hAnsi="仿宋" w:eastAsia="仿宋" w:cs="仿宋"/>
          <w:color w:val="000000" w:themeColor="text1"/>
          <w:sz w:val="22"/>
          <w:szCs w:val="22"/>
        </w:rPr>
      </w:pPr>
    </w:p>
    <w:p w14:paraId="2D02BA21">
      <w:pPr>
        <w:jc w:val="left"/>
        <w:rPr>
          <w:rFonts w:ascii="仿宋" w:hAnsi="仿宋" w:eastAsia="仿宋" w:cs="仿宋"/>
          <w:color w:val="000000" w:themeColor="text1"/>
          <w:sz w:val="22"/>
          <w:szCs w:val="22"/>
        </w:rPr>
      </w:pPr>
    </w:p>
    <w:p w14:paraId="7DBCFE82">
      <w:pPr>
        <w:jc w:val="left"/>
        <w:rPr>
          <w:rFonts w:ascii="仿宋" w:hAnsi="仿宋" w:eastAsia="仿宋" w:cs="仿宋"/>
          <w:color w:val="000000" w:themeColor="text1"/>
          <w:sz w:val="22"/>
          <w:szCs w:val="22"/>
        </w:rPr>
      </w:pPr>
    </w:p>
    <w:p w14:paraId="0E11B567">
      <w:pPr>
        <w:jc w:val="left"/>
        <w:rPr>
          <w:rFonts w:ascii="仿宋" w:hAnsi="仿宋" w:eastAsia="仿宋" w:cs="仿宋"/>
          <w:color w:val="000000" w:themeColor="text1"/>
          <w:sz w:val="22"/>
          <w:szCs w:val="22"/>
        </w:rPr>
      </w:pPr>
    </w:p>
    <w:p w14:paraId="3E7AD97B">
      <w:pPr>
        <w:jc w:val="left"/>
        <w:rPr>
          <w:rFonts w:ascii="仿宋" w:hAnsi="仿宋" w:eastAsia="仿宋" w:cs="仿宋"/>
          <w:color w:val="000000" w:themeColor="text1"/>
          <w:sz w:val="22"/>
          <w:szCs w:val="22"/>
        </w:rPr>
      </w:pPr>
    </w:p>
    <w:p w14:paraId="3A42E062">
      <w:pPr>
        <w:jc w:val="left"/>
        <w:rPr>
          <w:rFonts w:ascii="仿宋" w:hAnsi="仿宋" w:eastAsia="仿宋" w:cs="仿宋"/>
          <w:color w:val="000000" w:themeColor="text1"/>
          <w:sz w:val="22"/>
          <w:szCs w:val="22"/>
        </w:rPr>
      </w:pPr>
    </w:p>
    <w:p w14:paraId="4DE14C3E">
      <w:pPr>
        <w:jc w:val="left"/>
        <w:rPr>
          <w:rFonts w:ascii="仿宋" w:hAnsi="仿宋" w:eastAsia="仿宋" w:cs="仿宋"/>
          <w:color w:val="000000" w:themeColor="text1"/>
          <w:sz w:val="22"/>
          <w:szCs w:val="22"/>
        </w:rPr>
      </w:pPr>
    </w:p>
    <w:p w14:paraId="4DB88604">
      <w:pPr>
        <w:jc w:val="left"/>
        <w:rPr>
          <w:rFonts w:ascii="仿宋" w:hAnsi="仿宋" w:eastAsia="仿宋" w:cs="仿宋"/>
          <w:color w:val="000000" w:themeColor="text1"/>
          <w:sz w:val="22"/>
          <w:szCs w:val="22"/>
        </w:rPr>
      </w:pPr>
    </w:p>
    <w:p w14:paraId="381C30B0">
      <w:pPr>
        <w:jc w:val="left"/>
        <w:rPr>
          <w:rFonts w:ascii="仿宋" w:hAnsi="仿宋" w:eastAsia="仿宋" w:cs="仿宋"/>
          <w:color w:val="000000" w:themeColor="text1"/>
          <w:sz w:val="22"/>
          <w:szCs w:val="22"/>
        </w:rPr>
      </w:pPr>
    </w:p>
    <w:p w14:paraId="318F724E">
      <w:pPr>
        <w:jc w:val="left"/>
        <w:rPr>
          <w:rFonts w:ascii="仿宋" w:hAnsi="仿宋" w:eastAsia="仿宋" w:cs="仿宋"/>
          <w:color w:val="000000" w:themeColor="text1"/>
          <w:sz w:val="22"/>
          <w:szCs w:val="22"/>
        </w:rPr>
      </w:pPr>
    </w:p>
    <w:p w14:paraId="48850E4C">
      <w:pPr>
        <w:jc w:val="left"/>
        <w:rPr>
          <w:rFonts w:ascii="仿宋" w:hAnsi="仿宋" w:eastAsia="仿宋" w:cs="仿宋"/>
          <w:color w:val="000000" w:themeColor="text1"/>
          <w:sz w:val="22"/>
          <w:szCs w:val="22"/>
        </w:rPr>
      </w:pPr>
    </w:p>
    <w:p w14:paraId="042D44DD">
      <w:pPr>
        <w:jc w:val="left"/>
        <w:rPr>
          <w:rFonts w:ascii="仿宋" w:hAnsi="仿宋" w:eastAsia="仿宋" w:cs="仿宋"/>
          <w:color w:val="000000" w:themeColor="text1"/>
          <w:sz w:val="22"/>
          <w:szCs w:val="22"/>
        </w:rPr>
      </w:pPr>
    </w:p>
    <w:p w14:paraId="12446D80">
      <w:pPr>
        <w:jc w:val="left"/>
        <w:rPr>
          <w:rFonts w:ascii="仿宋" w:hAnsi="仿宋" w:eastAsia="仿宋" w:cs="仿宋"/>
          <w:color w:val="000000" w:themeColor="text1"/>
          <w:sz w:val="22"/>
          <w:szCs w:val="22"/>
        </w:rPr>
      </w:pPr>
    </w:p>
    <w:p w14:paraId="477B8052">
      <w:pPr>
        <w:jc w:val="left"/>
        <w:rPr>
          <w:rFonts w:ascii="仿宋" w:hAnsi="仿宋" w:eastAsia="仿宋" w:cs="仿宋"/>
          <w:color w:val="000000" w:themeColor="text1"/>
          <w:sz w:val="22"/>
          <w:szCs w:val="22"/>
        </w:rPr>
      </w:pPr>
    </w:p>
    <w:p w14:paraId="4376EEDD">
      <w:pPr>
        <w:jc w:val="center"/>
        <w:rPr>
          <w:rFonts w:ascii="楷体_GB2312" w:hAnsi="楷体_GB2312" w:eastAsia="楷体_GB2312" w:cs="楷体_GB2312"/>
          <w:color w:val="000000" w:themeColor="text1"/>
          <w:sz w:val="36"/>
          <w:szCs w:val="36"/>
          <w:u w:val="single"/>
        </w:rPr>
      </w:pPr>
      <w:r>
        <w:rPr>
          <w:rFonts w:hint="eastAsia" w:ascii="楷体_GB2312" w:hAnsi="楷体_GB2312" w:eastAsia="楷体_GB2312" w:cs="楷体_GB2312"/>
          <w:color w:val="000000" w:themeColor="text1"/>
          <w:sz w:val="36"/>
          <w:szCs w:val="36"/>
        </w:rPr>
        <w:t>部门(单位)名称：</w:t>
      </w:r>
      <w:r>
        <w:rPr>
          <w:rFonts w:hint="eastAsia" w:ascii="楷体_GB2312" w:hAnsi="楷体_GB2312" w:eastAsia="楷体_GB2312" w:cs="楷体_GB2312"/>
          <w:color w:val="000000" w:themeColor="text1"/>
          <w:sz w:val="36"/>
          <w:szCs w:val="36"/>
          <w:u w:val="single"/>
        </w:rPr>
        <w:t xml:space="preserve">   ( 盖 章 )</w:t>
      </w:r>
    </w:p>
    <w:p w14:paraId="5B4A8333">
      <w:pPr>
        <w:jc w:val="center"/>
        <w:rPr>
          <w:rFonts w:hint="eastAsia" w:ascii="仿宋" w:hAnsi="仿宋" w:eastAsia="仿宋" w:cs="仿宋"/>
          <w:color w:val="000000" w:themeColor="text1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6"/>
          <w:szCs w:val="36"/>
          <w:lang w:val="en-US" w:eastAsia="zh-CN"/>
        </w:rPr>
        <w:t>2025年07月01日</w:t>
      </w:r>
      <w:bookmarkStart w:id="0" w:name="_GoBack"/>
      <w:bookmarkEnd w:id="0"/>
    </w:p>
    <w:p w14:paraId="5B9A73C1">
      <w:pPr>
        <w:jc w:val="left"/>
        <w:rPr>
          <w:rFonts w:ascii="仿宋" w:hAnsi="仿宋" w:eastAsia="仿宋" w:cs="仿宋"/>
          <w:color w:val="000000" w:themeColor="text1"/>
          <w:sz w:val="22"/>
          <w:szCs w:val="22"/>
        </w:rPr>
      </w:pPr>
    </w:p>
    <w:p w14:paraId="339273B4">
      <w:pPr>
        <w:jc w:val="left"/>
        <w:rPr>
          <w:rFonts w:ascii="仿宋" w:hAnsi="仿宋" w:eastAsia="仿宋" w:cs="仿宋"/>
          <w:color w:val="000000" w:themeColor="text1"/>
          <w:sz w:val="22"/>
          <w:szCs w:val="22"/>
        </w:rPr>
      </w:pPr>
    </w:p>
    <w:p w14:paraId="1B241E48">
      <w:pPr>
        <w:jc w:val="left"/>
        <w:rPr>
          <w:rFonts w:ascii="仿宋" w:hAnsi="仿宋" w:eastAsia="仿宋" w:cs="仿宋"/>
          <w:color w:val="000000" w:themeColor="text1"/>
          <w:sz w:val="22"/>
          <w:szCs w:val="22"/>
        </w:rPr>
      </w:pPr>
    </w:p>
    <w:p w14:paraId="7F29AC74">
      <w:pPr>
        <w:jc w:val="left"/>
        <w:rPr>
          <w:rFonts w:ascii="仿宋" w:hAnsi="仿宋" w:eastAsia="仿宋" w:cs="仿宋"/>
          <w:color w:val="000000" w:themeColor="text1"/>
          <w:sz w:val="22"/>
          <w:szCs w:val="22"/>
        </w:rPr>
      </w:pPr>
    </w:p>
    <w:p w14:paraId="039AA75F">
      <w:pPr>
        <w:spacing w:line="700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sz w:val="44"/>
          <w:szCs w:val="44"/>
        </w:rPr>
      </w:pPr>
      <w:r>
        <w:rPr>
          <w:rFonts w:hint="eastAsia" w:ascii="仿宋" w:hAnsi="仿宋" w:eastAsia="仿宋" w:cs="仿宋"/>
          <w:color w:val="000000" w:themeColor="text1"/>
          <w:sz w:val="44"/>
          <w:szCs w:val="44"/>
          <w:lang w:val="en-US"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</w:rPr>
        <w:t>年度岳阳楼区教育建设服务中心</w:t>
      </w:r>
    </w:p>
    <w:p w14:paraId="75957F7B">
      <w:pPr>
        <w:spacing w:line="700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</w:rPr>
        <w:t>单位整体支出绩效自评报告</w:t>
      </w:r>
    </w:p>
    <w:p w14:paraId="1733AEF6">
      <w:pPr>
        <w:jc w:val="left"/>
        <w:rPr>
          <w:rFonts w:ascii="仿宋" w:hAnsi="仿宋" w:eastAsia="仿宋" w:cs="仿宋"/>
          <w:color w:val="000000" w:themeColor="text1"/>
          <w:sz w:val="22"/>
          <w:szCs w:val="22"/>
        </w:rPr>
      </w:pPr>
    </w:p>
    <w:p w14:paraId="6E0827A2">
      <w:pPr>
        <w:jc w:val="left"/>
        <w:rPr>
          <w:rFonts w:ascii="仿宋" w:hAnsi="仿宋" w:eastAsia="仿宋" w:cs="仿宋"/>
          <w:color w:val="000000" w:themeColor="text1"/>
          <w:sz w:val="22"/>
          <w:szCs w:val="22"/>
        </w:rPr>
      </w:pPr>
    </w:p>
    <w:p w14:paraId="3D99141D">
      <w:pPr>
        <w:jc w:val="left"/>
        <w:rPr>
          <w:rFonts w:ascii="仿宋" w:hAnsi="仿宋" w:eastAsia="仿宋" w:cs="仿宋"/>
          <w:color w:val="000000" w:themeColor="text1"/>
          <w:sz w:val="22"/>
          <w:szCs w:val="22"/>
        </w:rPr>
      </w:pPr>
    </w:p>
    <w:p w14:paraId="27A7E28F">
      <w:pPr>
        <w:pStyle w:val="11"/>
        <w:numPr>
          <w:ilvl w:val="0"/>
          <w:numId w:val="1"/>
        </w:numPr>
        <w:ind w:firstLineChars="0"/>
        <w:jc w:val="left"/>
        <w:rPr>
          <w:rFonts w:ascii="黑体" w:hAnsi="黑体" w:eastAsia="黑体" w:cs="黑体"/>
          <w:color w:val="000000" w:themeColor="text1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</w:rPr>
        <w:t>单位基本情况</w:t>
      </w:r>
    </w:p>
    <w:p w14:paraId="154720E7">
      <w:pPr>
        <w:autoSpaceDE w:val="0"/>
        <w:autoSpaceDN w:val="0"/>
        <w:adjustRightInd w:val="0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bCs/>
          <w:sz w:val="28"/>
          <w:szCs w:val="28"/>
        </w:rPr>
        <w:t>、部门职责</w:t>
      </w:r>
    </w:p>
    <w:p w14:paraId="40DC8EEF">
      <w:pPr>
        <w:autoSpaceDE w:val="0"/>
        <w:autoSpaceDN w:val="0"/>
        <w:adjustRightInd w:val="0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（一）履行全区中小学校建设、维修和设施设备添置。</w:t>
      </w:r>
    </w:p>
    <w:p w14:paraId="419010B1">
      <w:pPr>
        <w:autoSpaceDE w:val="0"/>
        <w:autoSpaceDN w:val="0"/>
        <w:adjustRightInd w:val="0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（二）负责学校布局调整和建设规划及办理学校建设项目相关手续。</w:t>
      </w:r>
    </w:p>
    <w:p w14:paraId="07BD7481">
      <w:pPr>
        <w:autoSpaceDE w:val="0"/>
        <w:autoSpaceDN w:val="0"/>
        <w:adjustRightInd w:val="0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（三）负责固定资产财务转交及学校建设债务剥离。</w:t>
      </w:r>
    </w:p>
    <w:p w14:paraId="710A07E3">
      <w:pPr>
        <w:autoSpaceDE w:val="0"/>
        <w:autoSpaceDN w:val="0"/>
        <w:adjustRightInd w:val="0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2、</w:t>
      </w:r>
      <w:r>
        <w:rPr>
          <w:rFonts w:hint="eastAsia" w:ascii="仿宋" w:hAnsi="仿宋" w:eastAsia="仿宋" w:cs="仿宋"/>
          <w:bCs/>
          <w:sz w:val="28"/>
          <w:szCs w:val="28"/>
        </w:rPr>
        <w:t>内设机构设置</w:t>
      </w:r>
    </w:p>
    <w:p w14:paraId="309C1399">
      <w:pPr>
        <w:autoSpaceDE w:val="0"/>
        <w:autoSpaceDN w:val="0"/>
        <w:adjustRightInd w:val="0"/>
        <w:ind w:firstLine="560" w:firstLineChars="200"/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岳阳市岳阳楼区教育建设服务中心</w:t>
      </w:r>
      <w:r>
        <w:rPr>
          <w:rFonts w:hint="eastAsia" w:ascii="仿宋" w:hAnsi="仿宋" w:eastAsia="仿宋" w:cs="仿宋"/>
          <w:bCs/>
          <w:sz w:val="28"/>
          <w:szCs w:val="28"/>
        </w:rPr>
        <w:t>单位内设机构包括：岳阳楼区教育建设服务中心。本部门共有职工1人，其中：在职编制1人；离退休0人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。</w:t>
      </w:r>
    </w:p>
    <w:p w14:paraId="6FD4FBA4">
      <w:pPr>
        <w:ind w:firstLine="640" w:firstLineChars="200"/>
        <w:jc w:val="left"/>
        <w:rPr>
          <w:rFonts w:ascii="黑体" w:hAnsi="黑体" w:eastAsia="黑体" w:cs="黑体"/>
          <w:color w:val="000000" w:themeColor="text1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</w:rPr>
        <w:t>二、一般公共预算支出情况</w:t>
      </w:r>
    </w:p>
    <w:p w14:paraId="2381C373">
      <w:pPr>
        <w:ind w:firstLine="643" w:firstLineChars="200"/>
        <w:jc w:val="left"/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</w:rPr>
        <w:t>(一)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</w:rPr>
        <w:t xml:space="preserve">  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</w:rPr>
        <w:t>基本支出情况：</w:t>
      </w:r>
    </w:p>
    <w:p w14:paraId="771C09C8">
      <w:pPr>
        <w:ind w:firstLine="560" w:firstLineChars="200"/>
        <w:jc w:val="left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基本支出202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bCs/>
          <w:sz w:val="28"/>
          <w:szCs w:val="28"/>
        </w:rPr>
        <w:t>年度总支出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12.36</w:t>
      </w:r>
      <w:r>
        <w:rPr>
          <w:rFonts w:hint="eastAsia" w:ascii="仿宋" w:hAnsi="仿宋" w:eastAsia="仿宋" w:cs="仿宋"/>
          <w:bCs/>
          <w:sz w:val="28"/>
          <w:szCs w:val="28"/>
        </w:rPr>
        <w:t>万元，其中：</w:t>
      </w:r>
    </w:p>
    <w:p w14:paraId="2E8CAD3A">
      <w:pPr>
        <w:autoSpaceDE w:val="0"/>
        <w:autoSpaceDN w:val="0"/>
        <w:adjustRightInd w:val="0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人员经费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11.04</w:t>
      </w:r>
      <w:r>
        <w:rPr>
          <w:rFonts w:hint="eastAsia" w:ascii="仿宋" w:hAnsi="仿宋" w:eastAsia="仿宋" w:cs="仿宋"/>
          <w:bCs/>
          <w:sz w:val="28"/>
          <w:szCs w:val="28"/>
        </w:rPr>
        <w:t>万元：包括基本工资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3.24</w:t>
      </w:r>
      <w:r>
        <w:rPr>
          <w:rFonts w:hint="eastAsia" w:ascii="仿宋" w:hAnsi="仿宋" w:eastAsia="仿宋" w:cs="仿宋"/>
          <w:bCs/>
          <w:sz w:val="28"/>
          <w:szCs w:val="28"/>
        </w:rPr>
        <w:t>万元；津贴补贴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0.44</w:t>
      </w:r>
      <w:r>
        <w:rPr>
          <w:rFonts w:hint="eastAsia" w:ascii="仿宋" w:hAnsi="仿宋" w:eastAsia="仿宋" w:cs="仿宋"/>
          <w:bCs/>
          <w:sz w:val="28"/>
          <w:szCs w:val="28"/>
        </w:rPr>
        <w:t>万元；奖金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2.39</w:t>
      </w:r>
      <w:r>
        <w:rPr>
          <w:rFonts w:hint="eastAsia" w:ascii="仿宋" w:hAnsi="仿宋" w:eastAsia="仿宋" w:cs="仿宋"/>
          <w:bCs/>
          <w:sz w:val="28"/>
          <w:szCs w:val="28"/>
        </w:rPr>
        <w:t>万元；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绩效工资2.84万元；</w:t>
      </w:r>
      <w:r>
        <w:rPr>
          <w:rFonts w:hint="eastAsia" w:ascii="仿宋" w:hAnsi="仿宋" w:eastAsia="仿宋" w:cs="仿宋"/>
          <w:bCs/>
          <w:sz w:val="28"/>
          <w:szCs w:val="28"/>
        </w:rPr>
        <w:t>机关事业单位基本养老保险缴费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0.64</w:t>
      </w:r>
      <w:r>
        <w:rPr>
          <w:rFonts w:hint="eastAsia" w:ascii="仿宋" w:hAnsi="仿宋" w:eastAsia="仿宋" w:cs="仿宋"/>
          <w:bCs/>
          <w:sz w:val="28"/>
          <w:szCs w:val="28"/>
        </w:rPr>
        <w:t>万元；职工基本医疗保险缴费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0.26</w:t>
      </w:r>
      <w:r>
        <w:rPr>
          <w:rFonts w:hint="eastAsia" w:ascii="仿宋" w:hAnsi="仿宋" w:eastAsia="仿宋" w:cs="仿宋"/>
          <w:bCs/>
          <w:sz w:val="28"/>
          <w:szCs w:val="28"/>
        </w:rPr>
        <w:t>万元；其他社会保障缴费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0.09</w:t>
      </w:r>
      <w:r>
        <w:rPr>
          <w:rFonts w:hint="eastAsia" w:ascii="仿宋" w:hAnsi="仿宋" w:eastAsia="仿宋" w:cs="仿宋"/>
          <w:bCs/>
          <w:sz w:val="28"/>
          <w:szCs w:val="28"/>
        </w:rPr>
        <w:t>万元；住房公积金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1.14</w:t>
      </w:r>
      <w:r>
        <w:rPr>
          <w:rFonts w:hint="eastAsia" w:ascii="仿宋" w:hAnsi="仿宋" w:eastAsia="仿宋" w:cs="仿宋"/>
          <w:bCs/>
          <w:sz w:val="28"/>
          <w:szCs w:val="28"/>
        </w:rPr>
        <w:t xml:space="preserve">万元。 </w:t>
      </w:r>
    </w:p>
    <w:p w14:paraId="54D983C0">
      <w:pPr>
        <w:autoSpaceDE w:val="0"/>
        <w:autoSpaceDN w:val="0"/>
        <w:adjustRightInd w:val="0"/>
        <w:ind w:firstLine="560" w:firstLineChars="200"/>
        <w:rPr>
          <w:rFonts w:hint="eastAsia" w:ascii="仿宋" w:hAnsi="仿宋" w:eastAsia="仿宋" w:cs="仿宋"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公用经费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1.32</w:t>
      </w:r>
      <w:r>
        <w:rPr>
          <w:rFonts w:hint="eastAsia" w:ascii="仿宋" w:hAnsi="仿宋" w:eastAsia="仿宋" w:cs="仿宋"/>
          <w:bCs/>
          <w:sz w:val="28"/>
          <w:szCs w:val="28"/>
        </w:rPr>
        <w:t>万元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包括办公费1.32万元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。</w:t>
      </w:r>
    </w:p>
    <w:p w14:paraId="595BC040">
      <w:pPr>
        <w:numPr>
          <w:ilvl w:val="0"/>
          <w:numId w:val="2"/>
        </w:numPr>
        <w:autoSpaceDE w:val="0"/>
        <w:autoSpaceDN w:val="0"/>
        <w:adjustRightInd w:val="0"/>
        <w:ind w:firstLine="643" w:firstLineChars="200"/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</w:rPr>
        <w:t>项目支出情况：</w:t>
      </w:r>
    </w:p>
    <w:p w14:paraId="18DE2655">
      <w:pPr>
        <w:numPr>
          <w:ilvl w:val="0"/>
          <w:numId w:val="0"/>
        </w:numPr>
        <w:autoSpaceDE w:val="0"/>
        <w:autoSpaceDN w:val="0"/>
        <w:adjustRightInd w:val="0"/>
        <w:ind w:firstLine="560" w:firstLineChars="200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</w:rPr>
        <w:t>202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</w:rPr>
        <w:t>年财政一般公共预算拨款项目支出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2"/>
          <w:sz w:val="24"/>
          <w:lang w:val="en-US" w:eastAsia="zh-CN"/>
        </w:rPr>
        <w:t>6667.08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</w:rPr>
        <w:t>万元，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</w:rPr>
        <w:t>主要为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</w:rPr>
        <w:t>全区教育系统的项目建设、维修改造和设施设备的添置工作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</w:rPr>
        <w:t>所必需的相关支出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</w:rPr>
        <w:t>。</w:t>
      </w:r>
    </w:p>
    <w:p w14:paraId="5369B675">
      <w:pPr>
        <w:numPr>
          <w:ilvl w:val="0"/>
          <w:numId w:val="3"/>
        </w:numPr>
        <w:ind w:firstLine="640" w:firstLineChars="200"/>
        <w:jc w:val="left"/>
        <w:rPr>
          <w:rFonts w:ascii="黑体" w:hAnsi="黑体" w:eastAsia="黑体" w:cs="黑体"/>
          <w:color w:val="000000" w:themeColor="text1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</w:rPr>
        <w:t>政府性基金预算支出情况</w:t>
      </w:r>
    </w:p>
    <w:p w14:paraId="2FB9925B">
      <w:pPr>
        <w:spacing w:line="560" w:lineRule="exact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本单位202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bCs/>
          <w:sz w:val="28"/>
          <w:szCs w:val="28"/>
        </w:rPr>
        <w:t>年度政府性基金预算支出0万元。</w:t>
      </w:r>
    </w:p>
    <w:p w14:paraId="40D89490">
      <w:pPr>
        <w:numPr>
          <w:ilvl w:val="0"/>
          <w:numId w:val="3"/>
        </w:numPr>
        <w:ind w:firstLine="640" w:firstLineChars="200"/>
        <w:jc w:val="left"/>
        <w:rPr>
          <w:rFonts w:ascii="黑体" w:hAnsi="黑体" w:eastAsia="黑体" w:cs="黑体"/>
          <w:color w:val="000000" w:themeColor="text1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</w:rPr>
        <w:t>国有资本经营预算支出情况</w:t>
      </w:r>
    </w:p>
    <w:p w14:paraId="560029D5">
      <w:pPr>
        <w:spacing w:line="560" w:lineRule="exact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本单位202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bCs/>
          <w:sz w:val="28"/>
          <w:szCs w:val="28"/>
        </w:rPr>
        <w:t>年度国有资本经营预算支出0万元。</w:t>
      </w:r>
    </w:p>
    <w:p w14:paraId="358B067F">
      <w:pPr>
        <w:numPr>
          <w:ilvl w:val="0"/>
          <w:numId w:val="3"/>
        </w:numPr>
        <w:ind w:firstLine="640" w:firstLineChars="200"/>
        <w:jc w:val="left"/>
        <w:rPr>
          <w:rFonts w:ascii="黑体" w:hAnsi="黑体" w:eastAsia="黑体" w:cs="黑体"/>
          <w:color w:val="000000" w:themeColor="text1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</w:rPr>
        <w:t>社会保险基金预算支出情况</w:t>
      </w:r>
    </w:p>
    <w:p w14:paraId="3A9C6FDA">
      <w:pPr>
        <w:spacing w:line="560" w:lineRule="exact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本单位202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bCs/>
          <w:sz w:val="28"/>
          <w:szCs w:val="28"/>
        </w:rPr>
        <w:t>年度社会保险基金预算支出0万元。</w:t>
      </w:r>
    </w:p>
    <w:p w14:paraId="2F8DB1A4">
      <w:pPr>
        <w:ind w:firstLine="640" w:firstLineChars="200"/>
        <w:jc w:val="left"/>
        <w:rPr>
          <w:rFonts w:ascii="黑体" w:hAnsi="黑体" w:eastAsia="黑体" w:cs="黑体"/>
          <w:color w:val="000000" w:themeColor="text1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</w:rPr>
        <w:t>六、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</w:rPr>
        <w:t>单位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</w:rPr>
        <w:t>整体支出绩效情况</w:t>
      </w:r>
    </w:p>
    <w:p w14:paraId="3E5E1D93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1、</w:t>
      </w:r>
      <w:r>
        <w:rPr>
          <w:rFonts w:hint="eastAsia" w:ascii="仿宋" w:hAnsi="仿宋" w:eastAsia="仿宋" w:cs="仿宋"/>
          <w:bCs/>
          <w:sz w:val="28"/>
          <w:szCs w:val="28"/>
        </w:rPr>
        <w:t>加强指导，抓项目管理制度的执行力。</w:t>
      </w:r>
      <w:r>
        <w:rPr>
          <w:rFonts w:hint="eastAsia" w:ascii="仿宋" w:hAnsi="仿宋" w:eastAsia="仿宋" w:cs="仿宋"/>
          <w:bCs/>
          <w:sz w:val="28"/>
          <w:szCs w:val="28"/>
          <w:lang w:val="zh-CN"/>
        </w:rPr>
        <w:t>学校作为项目建设的主体单位，</w:t>
      </w:r>
      <w:r>
        <w:rPr>
          <w:rFonts w:hint="eastAsia" w:ascii="仿宋" w:hAnsi="仿宋" w:eastAsia="仿宋" w:cs="仿宋"/>
          <w:bCs/>
          <w:sz w:val="28"/>
          <w:szCs w:val="28"/>
        </w:rPr>
        <w:t>对项目管理的流程不熟悉，为了规范项目实施程序，我们不放过每一次与学校交流、沟通的机会，讲解规章制度和操作流程。从建设方案制定，到工程现场签证和工程结算验收，我们都尽力、用心在指导监管。使学校项目实施在管理上做到有章可循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。</w:t>
      </w:r>
    </w:p>
    <w:p w14:paraId="5B4B855B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2、</w:t>
      </w:r>
      <w:r>
        <w:rPr>
          <w:rFonts w:hint="eastAsia" w:ascii="仿宋" w:hAnsi="仿宋" w:eastAsia="仿宋" w:cs="仿宋"/>
          <w:bCs/>
          <w:sz w:val="28"/>
          <w:szCs w:val="28"/>
        </w:rPr>
        <w:t>严格管控，抓项目计划实施的</w:t>
      </w:r>
      <w:r>
        <w:rPr>
          <w:rFonts w:hint="eastAsia" w:ascii="仿宋" w:hAnsi="仿宋" w:eastAsia="仿宋" w:cs="仿宋"/>
          <w:bCs/>
          <w:sz w:val="28"/>
          <w:szCs w:val="28"/>
          <w:lang w:val="zh-CN"/>
        </w:rPr>
        <w:t>精准度。</w:t>
      </w:r>
      <w:r>
        <w:rPr>
          <w:rFonts w:hint="eastAsia" w:ascii="仿宋" w:hAnsi="仿宋" w:eastAsia="仿宋" w:cs="仿宋"/>
          <w:bCs/>
          <w:sz w:val="28"/>
          <w:szCs w:val="28"/>
        </w:rPr>
        <w:t>严格按照“无预算不列支，有预算不超支”的基本原则实施项目。不搞锦上添花，杜绝重复建设</w:t>
      </w:r>
    </w:p>
    <w:p w14:paraId="02C379F5">
      <w:pPr>
        <w:spacing w:line="560" w:lineRule="exact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3、</w:t>
      </w:r>
      <w:r>
        <w:rPr>
          <w:rFonts w:hint="eastAsia" w:ascii="仿宋" w:hAnsi="仿宋" w:eastAsia="仿宋" w:cs="仿宋"/>
          <w:bCs/>
          <w:sz w:val="28"/>
          <w:szCs w:val="28"/>
        </w:rPr>
        <w:t>根据对项目绩效评价指标体系各项评分指标的分析，楼区教育建设服务中心在项目决策、项目管理方面表现良好。在项目绩效方面，中心完成了年度工作计划各项工作，达到了预定目标要求。根据对社会公众和服务对象学校调查，取得了良好的社会效益。</w:t>
      </w:r>
    </w:p>
    <w:p w14:paraId="50A7BDF8">
      <w:pPr>
        <w:ind w:firstLine="640" w:firstLineChars="200"/>
        <w:jc w:val="left"/>
        <w:rPr>
          <w:rFonts w:ascii="黑体" w:hAnsi="黑体" w:eastAsia="黑体" w:cs="黑体"/>
          <w:color w:val="000000" w:themeColor="text1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</w:rPr>
        <w:t>七、存在的问题及原因分析</w:t>
      </w:r>
    </w:p>
    <w:p w14:paraId="7017BAB3">
      <w:pPr>
        <w:ind w:firstLine="560" w:firstLineChars="200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年初预算绩效目标不明确，绩效指标细化和量化不精准。</w:t>
      </w:r>
    </w:p>
    <w:p w14:paraId="0FC3E236">
      <w:pPr>
        <w:numPr>
          <w:ilvl w:val="0"/>
          <w:numId w:val="4"/>
        </w:numPr>
        <w:ind w:firstLine="640" w:firstLineChars="200"/>
        <w:jc w:val="left"/>
        <w:rPr>
          <w:rFonts w:ascii="黑体" w:hAnsi="黑体" w:eastAsia="黑体" w:cs="黑体"/>
          <w:color w:val="000000" w:themeColor="text1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</w:rPr>
        <w:t>下一步改进措施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</w:rPr>
        <w:t>工作建议</w:t>
      </w:r>
    </w:p>
    <w:p w14:paraId="5BE6A95B">
      <w:pPr>
        <w:ind w:firstLine="560" w:firstLineChars="200"/>
        <w:jc w:val="left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细化预算指标，提高预算科学性。预算编制前根据年度内单位可预见的工作任务，确定单位年度预算目标，细化预算指标，科学合理编制部门预算，推进预算编制科学化、准确化。年度预算编制后，根据实际情况，定期做好预算执行分析，掌握预算执行进度，纠正偏差，为下一次科学、准确地编制部门预算积累经验。</w:t>
      </w:r>
    </w:p>
    <w:p w14:paraId="50E576B0">
      <w:pPr>
        <w:ind w:firstLine="640" w:firstLineChars="200"/>
        <w:jc w:val="left"/>
        <w:rPr>
          <w:rFonts w:ascii="黑体" w:hAnsi="黑体" w:eastAsia="黑体" w:cs="黑体"/>
          <w:color w:val="000000" w:themeColor="text1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</w:rPr>
        <w:t>九、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</w:rPr>
        <w:t>单位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</w:rPr>
        <w:t>整体支出绩效自评结果拟应用和公开情况</w:t>
      </w:r>
    </w:p>
    <w:p w14:paraId="2376E51A">
      <w:pPr>
        <w:ind w:firstLine="560" w:firstLineChars="200"/>
        <w:jc w:val="left"/>
        <w:rPr>
          <w:rFonts w:ascii="仿宋_GB2312" w:hAnsi="仿宋_GB2312" w:eastAsia="仿宋_GB2312" w:cs="仿宋_GB2312"/>
          <w:color w:val="000000" w:themeColor="text1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</w:rPr>
        <w:t>建立了与部门预算相结合的结果应用机制，强化评价结果在部门预算编制和执行中的应用。实现绩效评价结果在部门预算编制和执行中的应用，实现绩效评价与部门预算的有机结合，促进财政资金的合理分配与有效使用。同时将评价结果按照政府信息公开的方式进行公开，加强社会公众对财政资金使用效益的监督。</w:t>
      </w:r>
    </w:p>
    <w:p w14:paraId="7BDE6918">
      <w:pPr>
        <w:ind w:firstLine="640" w:firstLineChars="200"/>
        <w:jc w:val="left"/>
        <w:rPr>
          <w:rFonts w:hint="eastAsia" w:ascii="黑体" w:hAnsi="黑体" w:eastAsia="黑体" w:cs="黑体"/>
          <w:color w:val="000000" w:themeColor="text1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</w:rPr>
        <w:t>十、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</w:rPr>
        <w:t>其他需要说明的情况</w:t>
      </w:r>
    </w:p>
    <w:p w14:paraId="711ACA8C">
      <w:pPr>
        <w:ind w:firstLine="560" w:firstLineChars="200"/>
        <w:jc w:val="left"/>
        <w:rPr>
          <w:rFonts w:ascii="仿宋_GB2312" w:hAnsi="仿宋_GB2312" w:eastAsia="仿宋_GB2312" w:cs="仿宋_GB2312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无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</w:rPr>
        <w:t>。</w:t>
      </w:r>
    </w:p>
    <w:p w14:paraId="355EF88E">
      <w:pPr>
        <w:jc w:val="left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en-US"/>
        </w:rPr>
      </w:pPr>
    </w:p>
    <w:p w14:paraId="673A08EF">
      <w:pPr>
        <w:pStyle w:val="2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en-US"/>
        </w:rPr>
      </w:pPr>
    </w:p>
    <w:p w14:paraId="56990217">
      <w:pPr>
        <w:pStyle w:val="2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en-US"/>
        </w:rPr>
      </w:pPr>
    </w:p>
    <w:p w14:paraId="1F0D2FB4">
      <w:pPr>
        <w:jc w:val="left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en-US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en-US"/>
        </w:rPr>
        <w:t>附件：</w:t>
      </w:r>
    </w:p>
    <w:p w14:paraId="0183E15B">
      <w:pPr>
        <w:ind w:firstLine="56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en-US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en-US"/>
        </w:rPr>
        <w:t>1、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en-US"/>
        </w:rPr>
        <w:t>整体支出绩效评价基础数据表</w:t>
      </w:r>
    </w:p>
    <w:p w14:paraId="1D9782F3">
      <w:pPr>
        <w:ind w:firstLine="56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en-US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en-US"/>
        </w:rPr>
        <w:t>2、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en-US"/>
        </w:rPr>
        <w:t>整体支出绩效自评表</w:t>
      </w:r>
    </w:p>
    <w:p w14:paraId="046FC92A">
      <w:pPr>
        <w:ind w:firstLine="56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en-US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en-US"/>
        </w:rPr>
        <w:t>3、项目支出绩效自评表</w:t>
      </w:r>
    </w:p>
    <w:p w14:paraId="23817137">
      <w:pPr>
        <w:ind w:firstLine="56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en-US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en-US"/>
        </w:rPr>
        <w:t>4、政府性基金预算支出情况表</w:t>
      </w:r>
    </w:p>
    <w:p w14:paraId="1D6E9D2A">
      <w:pPr>
        <w:ind w:firstLine="56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en-US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en-US"/>
        </w:rPr>
        <w:t>5、国有资本经营预算支出情况表</w:t>
      </w:r>
    </w:p>
    <w:p w14:paraId="4BDAE5E5">
      <w:pPr>
        <w:ind w:firstLine="56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en-US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en-US"/>
        </w:rPr>
        <w:t>6、社会保险基金预算支出情况</w:t>
      </w:r>
    </w:p>
    <w:p w14:paraId="426277AB">
      <w:pPr>
        <w:rPr>
          <w:rFonts w:hint="eastAsia" w:ascii="黑体" w:hAnsi="黑体" w:eastAsia="黑体" w:cs="黑体"/>
          <w:color w:val="000000" w:themeColor="text1"/>
          <w:spacing w:val="10"/>
          <w:sz w:val="32"/>
          <w:szCs w:val="32"/>
        </w:rPr>
      </w:pPr>
    </w:p>
    <w:p w14:paraId="7E2C88F2">
      <w:pPr>
        <w:rPr>
          <w:rFonts w:hint="eastAsia" w:ascii="黑体" w:hAnsi="黑体" w:eastAsia="黑体" w:cs="黑体"/>
          <w:color w:val="000000" w:themeColor="text1"/>
          <w:spacing w:val="10"/>
          <w:sz w:val="32"/>
          <w:szCs w:val="32"/>
        </w:rPr>
      </w:pPr>
    </w:p>
    <w:p w14:paraId="3359E312">
      <w:pPr>
        <w:rPr>
          <w:rFonts w:hint="eastAsia" w:ascii="黑体" w:hAnsi="黑体" w:eastAsia="黑体" w:cs="黑体"/>
          <w:color w:val="000000" w:themeColor="text1"/>
          <w:spacing w:val="10"/>
          <w:sz w:val="32"/>
          <w:szCs w:val="32"/>
        </w:rPr>
      </w:pPr>
    </w:p>
    <w:p w14:paraId="209AEEB3">
      <w:pPr>
        <w:rPr>
          <w:rFonts w:ascii="黑体" w:hAnsi="黑体" w:eastAsia="黑体" w:cs="黑体"/>
          <w:color w:val="000000" w:themeColor="text1"/>
          <w:spacing w:val="10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pacing w:val="10"/>
          <w:sz w:val="32"/>
          <w:szCs w:val="32"/>
        </w:rPr>
        <w:t>附件1</w:t>
      </w:r>
    </w:p>
    <w:p w14:paraId="5C30020E">
      <w:pPr>
        <w:spacing w:line="700" w:lineRule="exact"/>
        <w:jc w:val="right"/>
        <w:rPr>
          <w:rFonts w:ascii="方正小标宋简体" w:hAnsi="方正小标宋简体" w:eastAsia="方正小标宋简体" w:cs="方正小标宋简体"/>
          <w:color w:val="000000" w:themeColor="text1"/>
          <w:spacing w:val="2"/>
          <w:sz w:val="44"/>
          <w:szCs w:val="44"/>
        </w:rPr>
      </w:pPr>
      <w:r>
        <w:rPr>
          <w:rFonts w:hint="eastAsia" w:ascii="仿宋" w:hAnsi="仿宋" w:eastAsia="仿宋" w:cs="仿宋"/>
          <w:color w:val="000000" w:themeColor="text1"/>
          <w:spacing w:val="2"/>
          <w:sz w:val="42"/>
          <w:szCs w:val="42"/>
        </w:rPr>
        <w:t>202</w:t>
      </w:r>
      <w:r>
        <w:rPr>
          <w:rFonts w:hint="eastAsia" w:ascii="仿宋" w:hAnsi="仿宋" w:eastAsia="仿宋" w:cs="仿宋"/>
          <w:color w:val="000000" w:themeColor="text1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2"/>
          <w:sz w:val="42"/>
          <w:szCs w:val="42"/>
        </w:rPr>
        <w:t>年度预算单位整体支出绩效评价基础数据表</w:t>
      </w:r>
    </w:p>
    <w:p w14:paraId="0AF94E9E">
      <w:pPr>
        <w:spacing w:line="115" w:lineRule="exact"/>
        <w:rPr>
          <w:color w:val="000000" w:themeColor="text1"/>
        </w:rPr>
      </w:pPr>
    </w:p>
    <w:tbl>
      <w:tblPr>
        <w:tblStyle w:val="9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3758D0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vAlign w:val="center"/>
          </w:tcPr>
          <w:p w14:paraId="7A8AA54B">
            <w:pPr>
              <w:spacing w:before="33" w:line="198" w:lineRule="auto"/>
              <w:ind w:right="118"/>
              <w:jc w:val="center"/>
              <w:rPr>
                <w:rFonts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预算单位名称</w:t>
            </w:r>
          </w:p>
        </w:tc>
        <w:tc>
          <w:tcPr>
            <w:tcW w:w="5819" w:type="dxa"/>
            <w:gridSpan w:val="6"/>
          </w:tcPr>
          <w:p w14:paraId="4A67AC59">
            <w:pPr>
              <w:spacing w:before="103" w:line="219" w:lineRule="auto"/>
              <w:ind w:left="708"/>
              <w:rPr>
                <w:rFonts w:asciiTheme="majorEastAsia" w:hAnsiTheme="majorEastAsia" w:eastAsiaTheme="majorEastAsia" w:cstheme="majorEastAsia"/>
                <w:color w:val="000000" w:themeColor="text1"/>
                <w:spacing w:val="-2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0"/>
                <w:szCs w:val="20"/>
              </w:rPr>
              <w:t>岳阳市岳阳楼区教育建设服务中心</w:t>
            </w:r>
          </w:p>
        </w:tc>
      </w:tr>
      <w:tr w14:paraId="1DE886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</w:tcPr>
          <w:p w14:paraId="3ABC9A3F">
            <w:pPr>
              <w:spacing w:before="262" w:line="219" w:lineRule="auto"/>
              <w:ind w:left="575"/>
              <w:jc w:val="left"/>
              <w:rPr>
                <w:rFonts w:asciiTheme="majorEastAsia" w:hAnsiTheme="majorEastAsia" w:eastAsiaTheme="majorEastAsia" w:cstheme="majorEastAsia"/>
                <w:color w:val="000000" w:themeColor="text1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</w:rPr>
              <w:t>财政供养人员情况(人)</w:t>
            </w:r>
          </w:p>
        </w:tc>
        <w:tc>
          <w:tcPr>
            <w:tcW w:w="1815" w:type="dxa"/>
            <w:gridSpan w:val="2"/>
          </w:tcPr>
          <w:p w14:paraId="557A8822">
            <w:pPr>
              <w:spacing w:before="103" w:line="219" w:lineRule="auto"/>
              <w:jc w:val="center"/>
              <w:rPr>
                <w:rFonts w:asciiTheme="majorEastAsia" w:hAnsiTheme="majorEastAsia" w:eastAsiaTheme="majorEastAsia" w:cstheme="majorEastAsia"/>
                <w:color w:val="000000" w:themeColor="text1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3"/>
                <w:sz w:val="24"/>
              </w:rPr>
              <w:t>编制数</w:t>
            </w:r>
          </w:p>
        </w:tc>
        <w:tc>
          <w:tcPr>
            <w:tcW w:w="2325" w:type="dxa"/>
            <w:gridSpan w:val="2"/>
          </w:tcPr>
          <w:p w14:paraId="55661AF7">
            <w:pPr>
              <w:spacing w:before="83" w:line="219" w:lineRule="auto"/>
              <w:jc w:val="center"/>
              <w:rPr>
                <w:rFonts w:asciiTheme="majorEastAsia" w:hAnsiTheme="majorEastAsia" w:eastAsiaTheme="majorEastAsia" w:cstheme="majorEastAsia"/>
                <w:color w:val="000000" w:themeColor="text1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lang w:val="en-US" w:eastAsia="zh-CN"/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</w:rPr>
              <w:t>年实际在职人数</w:t>
            </w:r>
          </w:p>
        </w:tc>
        <w:tc>
          <w:tcPr>
            <w:tcW w:w="1679" w:type="dxa"/>
            <w:gridSpan w:val="2"/>
          </w:tcPr>
          <w:p w14:paraId="1AC65B57">
            <w:pPr>
              <w:spacing w:before="103" w:line="219" w:lineRule="auto"/>
              <w:ind w:left="708"/>
              <w:rPr>
                <w:rFonts w:asciiTheme="majorEastAsia" w:hAnsiTheme="majorEastAsia" w:eastAsiaTheme="majorEastAsia" w:cstheme="majorEastAsia"/>
                <w:color w:val="000000" w:themeColor="text1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</w:rPr>
              <w:t>控制率</w:t>
            </w:r>
          </w:p>
        </w:tc>
      </w:tr>
      <w:tr w14:paraId="784216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850" w:type="dxa"/>
            <w:vMerge w:val="continue"/>
            <w:tcBorders>
              <w:top w:val="nil"/>
            </w:tcBorders>
          </w:tcPr>
          <w:p w14:paraId="51A14917">
            <w:pPr>
              <w:jc w:val="left"/>
              <w:rPr>
                <w:rFonts w:asciiTheme="majorEastAsia" w:hAnsiTheme="majorEastAsia" w:eastAsiaTheme="majorEastAsia" w:cstheme="majorEastAsia"/>
                <w:color w:val="000000" w:themeColor="text1"/>
                <w:sz w:val="24"/>
              </w:rPr>
            </w:pPr>
          </w:p>
        </w:tc>
        <w:tc>
          <w:tcPr>
            <w:tcW w:w="1815" w:type="dxa"/>
            <w:gridSpan w:val="2"/>
          </w:tcPr>
          <w:p w14:paraId="640C911C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lang w:val="en-US" w:eastAsia="zh-CN"/>
              </w:rPr>
              <w:t>1</w:t>
            </w:r>
          </w:p>
        </w:tc>
        <w:tc>
          <w:tcPr>
            <w:tcW w:w="2325" w:type="dxa"/>
            <w:gridSpan w:val="2"/>
          </w:tcPr>
          <w:p w14:paraId="19A604A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lang w:val="en-US" w:eastAsia="zh-CN"/>
              </w:rPr>
              <w:t>1</w:t>
            </w:r>
          </w:p>
        </w:tc>
        <w:tc>
          <w:tcPr>
            <w:tcW w:w="1679" w:type="dxa"/>
            <w:gridSpan w:val="2"/>
          </w:tcPr>
          <w:p w14:paraId="066CDE68">
            <w:pPr>
              <w:jc w:val="center"/>
              <w:rPr>
                <w:rFonts w:asciiTheme="majorEastAsia" w:hAnsiTheme="majorEastAsia" w:eastAsiaTheme="majorEastAsia" w:cstheme="majorEastAsia"/>
                <w:color w:val="000000" w:themeColor="text1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</w:rPr>
              <w:t>100%</w:t>
            </w:r>
          </w:p>
        </w:tc>
      </w:tr>
      <w:tr w14:paraId="3F5861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</w:tcPr>
          <w:p w14:paraId="381A407A">
            <w:pPr>
              <w:spacing w:before="140" w:line="202" w:lineRule="auto"/>
              <w:ind w:left="684"/>
              <w:jc w:val="left"/>
              <w:rPr>
                <w:rFonts w:asciiTheme="majorEastAsia" w:hAnsiTheme="majorEastAsia" w:eastAsiaTheme="majorEastAsia" w:cstheme="majorEastAsia"/>
                <w:color w:val="000000" w:themeColor="text1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4"/>
                <w:sz w:val="24"/>
              </w:rPr>
              <w:t>经费控制情况(万元)</w:t>
            </w:r>
          </w:p>
        </w:tc>
        <w:tc>
          <w:tcPr>
            <w:tcW w:w="1815" w:type="dxa"/>
            <w:gridSpan w:val="2"/>
          </w:tcPr>
          <w:p w14:paraId="3AC11660">
            <w:pPr>
              <w:spacing w:before="119" w:line="219" w:lineRule="auto"/>
              <w:jc w:val="center"/>
              <w:rPr>
                <w:rFonts w:asciiTheme="majorEastAsia" w:hAnsiTheme="majorEastAsia" w:eastAsiaTheme="majorEastAsia" w:cstheme="majorEastAsia"/>
                <w:color w:val="000000" w:themeColor="text1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lang w:val="en-US" w:eastAsia="zh-CN"/>
              </w:rPr>
              <w:t>3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</w:rPr>
              <w:t>年决算数</w:t>
            </w:r>
          </w:p>
        </w:tc>
        <w:tc>
          <w:tcPr>
            <w:tcW w:w="2325" w:type="dxa"/>
            <w:gridSpan w:val="2"/>
          </w:tcPr>
          <w:p w14:paraId="3E4C32A5">
            <w:pPr>
              <w:spacing w:before="119" w:line="219" w:lineRule="auto"/>
              <w:jc w:val="center"/>
              <w:rPr>
                <w:rFonts w:asciiTheme="majorEastAsia" w:hAnsiTheme="majorEastAsia" w:eastAsiaTheme="majorEastAsia" w:cstheme="majorEastAsia"/>
                <w:color w:val="000000" w:themeColor="text1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lang w:val="en-US" w:eastAsia="zh-CN"/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</w:rPr>
              <w:t>年预算数</w:t>
            </w:r>
          </w:p>
        </w:tc>
        <w:tc>
          <w:tcPr>
            <w:tcW w:w="1679" w:type="dxa"/>
            <w:gridSpan w:val="2"/>
          </w:tcPr>
          <w:p w14:paraId="462D8752">
            <w:pPr>
              <w:spacing w:before="76" w:line="219" w:lineRule="auto"/>
              <w:jc w:val="center"/>
              <w:rPr>
                <w:rFonts w:asciiTheme="majorEastAsia" w:hAnsiTheme="majorEastAsia" w:eastAsiaTheme="majorEastAsia" w:cstheme="majorEastAsia"/>
                <w:color w:val="000000" w:themeColor="text1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4"/>
                <w:sz w:val="24"/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4"/>
                <w:sz w:val="24"/>
                <w:lang w:val="en-US" w:eastAsia="zh-CN"/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4"/>
                <w:sz w:val="24"/>
              </w:rPr>
              <w:t>年决算数</w:t>
            </w:r>
          </w:p>
        </w:tc>
      </w:tr>
      <w:tr w14:paraId="1B5F97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</w:tcPr>
          <w:p w14:paraId="67E2E93D">
            <w:pPr>
              <w:spacing w:before="141" w:line="202" w:lineRule="auto"/>
              <w:ind w:left="114"/>
              <w:jc w:val="left"/>
              <w:rPr>
                <w:rFonts w:asciiTheme="majorEastAsia" w:hAnsiTheme="majorEastAsia" w:eastAsiaTheme="majorEastAsia" w:cstheme="majorEastAsia"/>
                <w:color w:val="000000" w:themeColor="text1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</w:rPr>
              <w:t>三公经费</w:t>
            </w:r>
          </w:p>
        </w:tc>
        <w:tc>
          <w:tcPr>
            <w:tcW w:w="1815" w:type="dxa"/>
            <w:gridSpan w:val="2"/>
            <w:vAlign w:val="top"/>
          </w:tcPr>
          <w:p w14:paraId="24D94D72">
            <w:pPr>
              <w:jc w:val="right"/>
              <w:rPr>
                <w:rFonts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lang w:val="en-US" w:eastAsia="zh-CN"/>
              </w:rPr>
              <w:t>0.0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</w:rPr>
              <w:t>0</w:t>
            </w:r>
          </w:p>
        </w:tc>
        <w:tc>
          <w:tcPr>
            <w:tcW w:w="2325" w:type="dxa"/>
            <w:gridSpan w:val="2"/>
          </w:tcPr>
          <w:p w14:paraId="103164DE">
            <w:pPr>
              <w:jc w:val="right"/>
              <w:rPr>
                <w:rFonts w:asciiTheme="majorEastAsia" w:hAnsiTheme="majorEastAsia" w:eastAsiaTheme="majorEastAsia" w:cstheme="majorEastAsia"/>
                <w:color w:val="000000" w:themeColor="text1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lang w:val="en-US" w:eastAsia="zh-CN"/>
              </w:rPr>
              <w:t>0.0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</w:rPr>
              <w:t>0</w:t>
            </w:r>
          </w:p>
        </w:tc>
        <w:tc>
          <w:tcPr>
            <w:tcW w:w="1679" w:type="dxa"/>
            <w:gridSpan w:val="2"/>
          </w:tcPr>
          <w:p w14:paraId="233EDE9C">
            <w:pPr>
              <w:jc w:val="right"/>
              <w:rPr>
                <w:rFonts w:asciiTheme="majorEastAsia" w:hAnsiTheme="majorEastAsia" w:eastAsiaTheme="majorEastAsia" w:cstheme="majorEastAsia"/>
                <w:color w:val="000000" w:themeColor="text1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lang w:val="en-US" w:eastAsia="zh-CN"/>
              </w:rPr>
              <w:t>0.0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</w:rPr>
              <w:t>0</w:t>
            </w:r>
          </w:p>
        </w:tc>
      </w:tr>
      <w:tr w14:paraId="5CDBBF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</w:tcPr>
          <w:p w14:paraId="208E096D">
            <w:pPr>
              <w:spacing w:before="149" w:line="193" w:lineRule="auto"/>
              <w:ind w:left="414"/>
              <w:jc w:val="left"/>
              <w:rPr>
                <w:rFonts w:asciiTheme="majorEastAsia" w:hAnsiTheme="majorEastAsia" w:eastAsiaTheme="majorEastAsia" w:cstheme="majorEastAsia"/>
                <w:color w:val="000000" w:themeColor="text1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</w:rPr>
              <w:t>1、公务用车购置和维护经费</w:t>
            </w:r>
          </w:p>
        </w:tc>
        <w:tc>
          <w:tcPr>
            <w:tcW w:w="1815" w:type="dxa"/>
            <w:gridSpan w:val="2"/>
            <w:vAlign w:val="top"/>
          </w:tcPr>
          <w:p w14:paraId="6BDC7219">
            <w:pPr>
              <w:jc w:val="right"/>
              <w:rPr>
                <w:rFonts w:asciiTheme="majorEastAsia" w:hAnsiTheme="majorEastAsia" w:eastAsiaTheme="majorEastAsia" w:cstheme="majorEastAsia"/>
                <w:color w:val="000000" w:themeColor="text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</w:tcPr>
          <w:p w14:paraId="36695E46">
            <w:pPr>
              <w:jc w:val="right"/>
              <w:rPr>
                <w:rFonts w:asciiTheme="majorEastAsia" w:hAnsiTheme="majorEastAsia" w:eastAsiaTheme="majorEastAsia" w:cstheme="majorEastAsia"/>
                <w:color w:val="000000" w:themeColor="text1"/>
              </w:rPr>
            </w:pPr>
          </w:p>
        </w:tc>
        <w:tc>
          <w:tcPr>
            <w:tcW w:w="1679" w:type="dxa"/>
            <w:gridSpan w:val="2"/>
          </w:tcPr>
          <w:p w14:paraId="419F7760">
            <w:pPr>
              <w:jc w:val="right"/>
              <w:rPr>
                <w:rFonts w:asciiTheme="majorEastAsia" w:hAnsiTheme="majorEastAsia" w:eastAsiaTheme="majorEastAsia" w:cstheme="majorEastAsia"/>
                <w:color w:val="000000" w:themeColor="text1"/>
              </w:rPr>
            </w:pPr>
          </w:p>
        </w:tc>
      </w:tr>
      <w:tr w14:paraId="26A030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</w:tcPr>
          <w:p w14:paraId="0E08FBD4">
            <w:pPr>
              <w:spacing w:before="81" w:line="219" w:lineRule="auto"/>
              <w:ind w:left="814"/>
              <w:jc w:val="left"/>
              <w:rPr>
                <w:rFonts w:asciiTheme="majorEastAsia" w:hAnsiTheme="majorEastAsia" w:eastAsiaTheme="majorEastAsia" w:cstheme="majorEastAsia"/>
                <w:color w:val="000000" w:themeColor="text1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</w:rPr>
              <w:t>其中：公车购置</w:t>
            </w:r>
          </w:p>
        </w:tc>
        <w:tc>
          <w:tcPr>
            <w:tcW w:w="1815" w:type="dxa"/>
            <w:gridSpan w:val="2"/>
            <w:vAlign w:val="top"/>
          </w:tcPr>
          <w:p w14:paraId="1CBE52FE">
            <w:pPr>
              <w:jc w:val="right"/>
              <w:rPr>
                <w:rFonts w:asciiTheme="majorEastAsia" w:hAnsiTheme="majorEastAsia" w:eastAsiaTheme="majorEastAsia" w:cstheme="majorEastAsia"/>
                <w:color w:val="000000" w:themeColor="text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</w:tcPr>
          <w:p w14:paraId="427A5571">
            <w:pPr>
              <w:jc w:val="right"/>
              <w:rPr>
                <w:rFonts w:asciiTheme="majorEastAsia" w:hAnsiTheme="majorEastAsia" w:eastAsiaTheme="majorEastAsia" w:cstheme="majorEastAsia"/>
                <w:color w:val="000000" w:themeColor="text1"/>
              </w:rPr>
            </w:pPr>
          </w:p>
        </w:tc>
        <w:tc>
          <w:tcPr>
            <w:tcW w:w="1679" w:type="dxa"/>
            <w:gridSpan w:val="2"/>
          </w:tcPr>
          <w:p w14:paraId="536AE92A">
            <w:pPr>
              <w:jc w:val="right"/>
              <w:rPr>
                <w:rFonts w:asciiTheme="majorEastAsia" w:hAnsiTheme="majorEastAsia" w:eastAsiaTheme="majorEastAsia" w:cstheme="majorEastAsia"/>
                <w:color w:val="000000" w:themeColor="text1"/>
              </w:rPr>
            </w:pPr>
          </w:p>
        </w:tc>
      </w:tr>
      <w:tr w14:paraId="79F8B0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</w:tcPr>
          <w:p w14:paraId="6848F54B">
            <w:pPr>
              <w:spacing w:before="91" w:line="219" w:lineRule="auto"/>
              <w:ind w:left="1424"/>
              <w:jc w:val="left"/>
              <w:rPr>
                <w:rFonts w:asciiTheme="majorEastAsia" w:hAnsiTheme="majorEastAsia" w:eastAsiaTheme="majorEastAsia" w:cstheme="majorEastAsia"/>
                <w:color w:val="000000" w:themeColor="text1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公车运行维护</w:t>
            </w:r>
          </w:p>
        </w:tc>
        <w:tc>
          <w:tcPr>
            <w:tcW w:w="1815" w:type="dxa"/>
            <w:gridSpan w:val="2"/>
            <w:vAlign w:val="top"/>
          </w:tcPr>
          <w:p w14:paraId="579B0750">
            <w:pPr>
              <w:jc w:val="right"/>
              <w:rPr>
                <w:rFonts w:asciiTheme="majorEastAsia" w:hAnsiTheme="majorEastAsia" w:eastAsiaTheme="majorEastAsia" w:cstheme="majorEastAsia"/>
                <w:color w:val="000000" w:themeColor="text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</w:tcPr>
          <w:p w14:paraId="43C16757">
            <w:pPr>
              <w:jc w:val="right"/>
              <w:rPr>
                <w:rFonts w:asciiTheme="majorEastAsia" w:hAnsiTheme="majorEastAsia" w:eastAsiaTheme="majorEastAsia" w:cstheme="majorEastAsia"/>
                <w:color w:val="000000" w:themeColor="text1"/>
              </w:rPr>
            </w:pPr>
          </w:p>
        </w:tc>
        <w:tc>
          <w:tcPr>
            <w:tcW w:w="1679" w:type="dxa"/>
            <w:gridSpan w:val="2"/>
          </w:tcPr>
          <w:p w14:paraId="0BE95515">
            <w:pPr>
              <w:jc w:val="right"/>
              <w:rPr>
                <w:rFonts w:asciiTheme="majorEastAsia" w:hAnsiTheme="majorEastAsia" w:eastAsiaTheme="majorEastAsia" w:cstheme="majorEastAsia"/>
                <w:color w:val="000000" w:themeColor="text1"/>
              </w:rPr>
            </w:pPr>
          </w:p>
        </w:tc>
      </w:tr>
      <w:tr w14:paraId="340BC1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</w:tcPr>
          <w:p w14:paraId="6928D058">
            <w:pPr>
              <w:spacing w:before="81" w:line="220" w:lineRule="auto"/>
              <w:ind w:left="384"/>
              <w:jc w:val="left"/>
              <w:rPr>
                <w:rFonts w:asciiTheme="majorEastAsia" w:hAnsiTheme="majorEastAsia" w:eastAsiaTheme="majorEastAsia" w:cstheme="majorEastAsia"/>
                <w:color w:val="000000" w:themeColor="text1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2、出国经费</w:t>
            </w:r>
          </w:p>
        </w:tc>
        <w:tc>
          <w:tcPr>
            <w:tcW w:w="1815" w:type="dxa"/>
            <w:gridSpan w:val="2"/>
            <w:vAlign w:val="top"/>
          </w:tcPr>
          <w:p w14:paraId="4AEC102B">
            <w:pPr>
              <w:jc w:val="right"/>
              <w:rPr>
                <w:rFonts w:asciiTheme="majorEastAsia" w:hAnsiTheme="majorEastAsia" w:eastAsiaTheme="majorEastAsia" w:cstheme="majorEastAsia"/>
                <w:color w:val="000000" w:themeColor="text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</w:tcPr>
          <w:p w14:paraId="305E4345">
            <w:pPr>
              <w:jc w:val="right"/>
              <w:rPr>
                <w:rFonts w:asciiTheme="majorEastAsia" w:hAnsiTheme="majorEastAsia" w:eastAsiaTheme="majorEastAsia" w:cstheme="majorEastAsia"/>
                <w:color w:val="000000" w:themeColor="text1"/>
              </w:rPr>
            </w:pPr>
          </w:p>
        </w:tc>
        <w:tc>
          <w:tcPr>
            <w:tcW w:w="1679" w:type="dxa"/>
            <w:gridSpan w:val="2"/>
          </w:tcPr>
          <w:p w14:paraId="33923C58">
            <w:pPr>
              <w:jc w:val="right"/>
              <w:rPr>
                <w:rFonts w:asciiTheme="majorEastAsia" w:hAnsiTheme="majorEastAsia" w:eastAsiaTheme="majorEastAsia" w:cstheme="majorEastAsia"/>
                <w:color w:val="000000" w:themeColor="text1"/>
              </w:rPr>
            </w:pPr>
          </w:p>
        </w:tc>
      </w:tr>
      <w:tr w14:paraId="32B935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</w:tcPr>
          <w:p w14:paraId="6ECDB426">
            <w:pPr>
              <w:spacing w:before="82" w:line="219" w:lineRule="auto"/>
              <w:ind w:left="384"/>
              <w:jc w:val="left"/>
              <w:rPr>
                <w:rFonts w:asciiTheme="majorEastAsia" w:hAnsiTheme="majorEastAsia" w:eastAsiaTheme="majorEastAsia" w:cstheme="majorEastAsia"/>
                <w:color w:val="000000" w:themeColor="text1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</w:rPr>
              <w:t>3、公务接待</w:t>
            </w:r>
          </w:p>
        </w:tc>
        <w:tc>
          <w:tcPr>
            <w:tcW w:w="1815" w:type="dxa"/>
            <w:gridSpan w:val="2"/>
            <w:vAlign w:val="top"/>
          </w:tcPr>
          <w:p w14:paraId="6CCFE5AF">
            <w:pPr>
              <w:jc w:val="right"/>
              <w:rPr>
                <w:rFonts w:asciiTheme="majorEastAsia" w:hAnsiTheme="majorEastAsia" w:eastAsiaTheme="majorEastAsia" w:cstheme="majorEastAsia"/>
                <w:color w:val="000000" w:themeColor="text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</w:tcPr>
          <w:p w14:paraId="54C494A0">
            <w:pPr>
              <w:jc w:val="right"/>
              <w:rPr>
                <w:rFonts w:asciiTheme="majorEastAsia" w:hAnsiTheme="majorEastAsia" w:eastAsiaTheme="majorEastAsia" w:cstheme="majorEastAsia"/>
                <w:color w:val="000000" w:themeColor="text1"/>
              </w:rPr>
            </w:pPr>
          </w:p>
        </w:tc>
        <w:tc>
          <w:tcPr>
            <w:tcW w:w="1679" w:type="dxa"/>
            <w:gridSpan w:val="2"/>
          </w:tcPr>
          <w:p w14:paraId="439FC674">
            <w:pPr>
              <w:jc w:val="right"/>
              <w:rPr>
                <w:rFonts w:asciiTheme="majorEastAsia" w:hAnsiTheme="majorEastAsia" w:eastAsiaTheme="majorEastAsia" w:cstheme="majorEastAsia"/>
                <w:color w:val="000000" w:themeColor="text1"/>
              </w:rPr>
            </w:pPr>
          </w:p>
        </w:tc>
      </w:tr>
      <w:tr w14:paraId="5A69ED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</w:tcPr>
          <w:p w14:paraId="13E2457B">
            <w:pPr>
              <w:spacing w:before="143" w:line="200" w:lineRule="auto"/>
              <w:ind w:left="84"/>
              <w:jc w:val="left"/>
              <w:rPr>
                <w:rFonts w:asciiTheme="majorEastAsia" w:hAnsiTheme="majorEastAsia" w:eastAsiaTheme="majorEastAsia" w:cstheme="majorEastAsia"/>
                <w:color w:val="000000" w:themeColor="text1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9"/>
                <w:sz w:val="24"/>
              </w:rPr>
              <w:t>项目支出：</w:t>
            </w:r>
          </w:p>
        </w:tc>
        <w:tc>
          <w:tcPr>
            <w:tcW w:w="1815" w:type="dxa"/>
            <w:gridSpan w:val="2"/>
            <w:vAlign w:val="top"/>
          </w:tcPr>
          <w:p w14:paraId="76D3FD7B">
            <w:pPr>
              <w:jc w:val="right"/>
              <w:rPr>
                <w:rFonts w:asciiTheme="majorEastAsia" w:hAnsiTheme="majorEastAsia" w:eastAsiaTheme="majorEastAsia" w:cstheme="majorEastAsia"/>
                <w:color w:val="000000" w:themeColor="text1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highlight w:val="none"/>
              </w:rPr>
              <w:t>11911.8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</w:rPr>
              <w:t>7</w:t>
            </w:r>
          </w:p>
        </w:tc>
        <w:tc>
          <w:tcPr>
            <w:tcW w:w="2325" w:type="dxa"/>
            <w:gridSpan w:val="2"/>
          </w:tcPr>
          <w:p w14:paraId="4C540753">
            <w:pPr>
              <w:jc w:val="right"/>
              <w:rPr>
                <w:rFonts w:hint="default" w:asciiTheme="majorEastAsia" w:hAnsiTheme="majorEastAsia" w:eastAsiaTheme="majorEastAsia" w:cstheme="majorEastAsia"/>
                <w:color w:val="000000" w:themeColor="text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lang w:val="en-US" w:eastAsia="zh-CN"/>
              </w:rPr>
              <w:t>0.00</w:t>
            </w:r>
          </w:p>
        </w:tc>
        <w:tc>
          <w:tcPr>
            <w:tcW w:w="1679" w:type="dxa"/>
            <w:gridSpan w:val="2"/>
          </w:tcPr>
          <w:p w14:paraId="7F1FE68B">
            <w:pPr>
              <w:jc w:val="right"/>
              <w:rPr>
                <w:rFonts w:hint="default" w:asciiTheme="majorEastAsia" w:hAnsiTheme="majorEastAsia" w:eastAsiaTheme="majorEastAsia" w:cstheme="majorEastAsia"/>
                <w:color w:val="000000" w:themeColor="text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lang w:val="en-US" w:eastAsia="zh-CN"/>
              </w:rPr>
              <w:t>6667.08</w:t>
            </w:r>
          </w:p>
        </w:tc>
      </w:tr>
      <w:tr w14:paraId="23CF6E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</w:tcPr>
          <w:p w14:paraId="0147765F">
            <w:pPr>
              <w:spacing w:before="133" w:line="200" w:lineRule="auto"/>
              <w:ind w:left="384"/>
              <w:jc w:val="left"/>
              <w:rPr>
                <w:rFonts w:asciiTheme="majorEastAsia" w:hAnsiTheme="majorEastAsia" w:eastAsiaTheme="majorEastAsia" w:cstheme="majorEastAsia"/>
                <w:color w:val="000000" w:themeColor="text1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</w:rPr>
              <w:t>1、业务工作经费</w:t>
            </w:r>
          </w:p>
        </w:tc>
        <w:tc>
          <w:tcPr>
            <w:tcW w:w="1815" w:type="dxa"/>
            <w:gridSpan w:val="2"/>
            <w:vAlign w:val="top"/>
          </w:tcPr>
          <w:p w14:paraId="7DA559E3">
            <w:pPr>
              <w:jc w:val="right"/>
              <w:rPr>
                <w:rFonts w:asciiTheme="majorEastAsia" w:hAnsiTheme="majorEastAsia" w:eastAsiaTheme="majorEastAsia" w:cstheme="majorEastAsia"/>
                <w:color w:val="000000" w:themeColor="text1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lang w:val="en-US" w:eastAsia="zh-CN"/>
              </w:rPr>
              <w:t>8066.17</w:t>
            </w:r>
          </w:p>
        </w:tc>
        <w:tc>
          <w:tcPr>
            <w:tcW w:w="2325" w:type="dxa"/>
            <w:gridSpan w:val="2"/>
          </w:tcPr>
          <w:p w14:paraId="710ACCAB">
            <w:pPr>
              <w:jc w:val="right"/>
              <w:rPr>
                <w:rFonts w:hint="eastAsia" w:asciiTheme="majorEastAsia" w:hAnsiTheme="majorEastAsia" w:eastAsiaTheme="majorEastAsia" w:cstheme="majorEastAsia"/>
                <w:color w:val="000000" w:themeColor="text1"/>
                <w:lang w:val="en-US" w:eastAsia="zh-CN"/>
              </w:rPr>
            </w:pPr>
          </w:p>
        </w:tc>
        <w:tc>
          <w:tcPr>
            <w:tcW w:w="1679" w:type="dxa"/>
            <w:gridSpan w:val="2"/>
          </w:tcPr>
          <w:p w14:paraId="202F7178">
            <w:pPr>
              <w:jc w:val="right"/>
              <w:rPr>
                <w:rFonts w:hint="default" w:asciiTheme="majorEastAsia" w:hAnsiTheme="majorEastAsia" w:eastAsiaTheme="majorEastAsia" w:cstheme="majorEastAsia"/>
                <w:color w:val="000000" w:themeColor="text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lang w:val="en-US" w:eastAsia="zh-CN"/>
              </w:rPr>
              <w:t>6667.08</w:t>
            </w:r>
          </w:p>
        </w:tc>
      </w:tr>
      <w:tr w14:paraId="6B6E22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</w:tcPr>
          <w:p w14:paraId="3EA0740B">
            <w:pPr>
              <w:spacing w:before="143" w:line="209" w:lineRule="auto"/>
              <w:ind w:left="384"/>
              <w:jc w:val="left"/>
              <w:rPr>
                <w:rFonts w:asciiTheme="majorEastAsia" w:hAnsiTheme="majorEastAsia" w:eastAsiaTheme="majorEastAsia" w:cstheme="majorEastAsia"/>
                <w:color w:val="000000" w:themeColor="text1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</w:rPr>
              <w:t>2、运行维护经费</w:t>
            </w:r>
          </w:p>
        </w:tc>
        <w:tc>
          <w:tcPr>
            <w:tcW w:w="1815" w:type="dxa"/>
            <w:gridSpan w:val="2"/>
            <w:vAlign w:val="top"/>
          </w:tcPr>
          <w:p w14:paraId="5F6B955D">
            <w:pPr>
              <w:jc w:val="right"/>
              <w:rPr>
                <w:rFonts w:asciiTheme="majorEastAsia" w:hAnsiTheme="majorEastAsia" w:eastAsiaTheme="majorEastAsia" w:cstheme="majorEastAsia"/>
                <w:color w:val="000000" w:themeColor="text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</w:tcPr>
          <w:p w14:paraId="769489A9">
            <w:pPr>
              <w:jc w:val="right"/>
              <w:rPr>
                <w:rFonts w:asciiTheme="majorEastAsia" w:hAnsiTheme="majorEastAsia" w:eastAsiaTheme="majorEastAsia" w:cstheme="majorEastAsia"/>
                <w:color w:val="000000" w:themeColor="text1"/>
              </w:rPr>
            </w:pPr>
          </w:p>
        </w:tc>
        <w:tc>
          <w:tcPr>
            <w:tcW w:w="1679" w:type="dxa"/>
            <w:gridSpan w:val="2"/>
          </w:tcPr>
          <w:p w14:paraId="4A99DD5F">
            <w:pPr>
              <w:jc w:val="right"/>
              <w:rPr>
                <w:rFonts w:asciiTheme="majorEastAsia" w:hAnsiTheme="majorEastAsia" w:eastAsiaTheme="majorEastAsia" w:cstheme="majorEastAsia"/>
                <w:color w:val="000000" w:themeColor="text1"/>
              </w:rPr>
            </w:pPr>
          </w:p>
        </w:tc>
      </w:tr>
      <w:tr w14:paraId="329DD7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</w:tcPr>
          <w:p w14:paraId="124A14EB">
            <w:pPr>
              <w:jc w:val="left"/>
              <w:rPr>
                <w:rFonts w:asciiTheme="majorEastAsia" w:hAnsiTheme="majorEastAsia" w:eastAsiaTheme="majorEastAsia" w:cstheme="majorEastAsia"/>
                <w:color w:val="000000" w:themeColor="text1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</w:rPr>
              <w:t>......</w:t>
            </w:r>
          </w:p>
        </w:tc>
        <w:tc>
          <w:tcPr>
            <w:tcW w:w="1815" w:type="dxa"/>
            <w:gridSpan w:val="2"/>
            <w:vAlign w:val="top"/>
          </w:tcPr>
          <w:p w14:paraId="6CEC6570">
            <w:pPr>
              <w:jc w:val="right"/>
              <w:rPr>
                <w:rFonts w:asciiTheme="majorEastAsia" w:hAnsiTheme="majorEastAsia" w:eastAsiaTheme="majorEastAsia" w:cstheme="majorEastAsia"/>
                <w:color w:val="000000" w:themeColor="text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</w:tcPr>
          <w:p w14:paraId="7801E580">
            <w:pPr>
              <w:jc w:val="right"/>
              <w:rPr>
                <w:rFonts w:asciiTheme="majorEastAsia" w:hAnsiTheme="majorEastAsia" w:eastAsiaTheme="majorEastAsia" w:cstheme="majorEastAsia"/>
                <w:color w:val="000000" w:themeColor="text1"/>
              </w:rPr>
            </w:pPr>
          </w:p>
        </w:tc>
        <w:tc>
          <w:tcPr>
            <w:tcW w:w="1679" w:type="dxa"/>
            <w:gridSpan w:val="2"/>
          </w:tcPr>
          <w:p w14:paraId="084DCDBA">
            <w:pPr>
              <w:jc w:val="right"/>
              <w:rPr>
                <w:rFonts w:asciiTheme="majorEastAsia" w:hAnsiTheme="majorEastAsia" w:eastAsiaTheme="majorEastAsia" w:cstheme="majorEastAsia"/>
                <w:color w:val="000000" w:themeColor="text1"/>
              </w:rPr>
            </w:pPr>
          </w:p>
        </w:tc>
      </w:tr>
      <w:tr w14:paraId="4E294E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</w:tcPr>
          <w:p w14:paraId="11073882">
            <w:pPr>
              <w:spacing w:before="93" w:line="219" w:lineRule="auto"/>
              <w:ind w:firstLine="488" w:firstLineChars="200"/>
              <w:jc w:val="left"/>
              <w:rPr>
                <w:rFonts w:asciiTheme="majorEastAsia" w:hAnsiTheme="majorEastAsia" w:eastAsiaTheme="majorEastAsia" w:cstheme="majorEastAsia"/>
                <w:color w:val="000000" w:themeColor="text1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3、区级专项资金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Cs w:val="21"/>
              </w:rPr>
              <w:t>(一个专项一行)</w:t>
            </w:r>
          </w:p>
        </w:tc>
        <w:tc>
          <w:tcPr>
            <w:tcW w:w="1815" w:type="dxa"/>
            <w:gridSpan w:val="2"/>
            <w:vAlign w:val="top"/>
          </w:tcPr>
          <w:p w14:paraId="64DFA212">
            <w:pPr>
              <w:jc w:val="right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lang w:val="en-US" w:eastAsia="zh-CN"/>
              </w:rPr>
              <w:t>3845.70</w:t>
            </w:r>
          </w:p>
        </w:tc>
        <w:tc>
          <w:tcPr>
            <w:tcW w:w="2325" w:type="dxa"/>
            <w:gridSpan w:val="2"/>
          </w:tcPr>
          <w:p w14:paraId="2E09D02E">
            <w:pPr>
              <w:jc w:val="right"/>
              <w:rPr>
                <w:rFonts w:asciiTheme="majorEastAsia" w:hAnsiTheme="majorEastAsia" w:eastAsiaTheme="majorEastAsia" w:cstheme="majorEastAsia"/>
                <w:color w:val="000000" w:themeColor="text1"/>
              </w:rPr>
            </w:pPr>
          </w:p>
        </w:tc>
        <w:tc>
          <w:tcPr>
            <w:tcW w:w="1679" w:type="dxa"/>
            <w:gridSpan w:val="2"/>
          </w:tcPr>
          <w:p w14:paraId="530638EF">
            <w:pPr>
              <w:jc w:val="right"/>
              <w:rPr>
                <w:rFonts w:hint="default" w:asciiTheme="majorEastAsia" w:hAnsiTheme="majorEastAsia" w:eastAsiaTheme="majorEastAsia" w:cstheme="majorEastAsia"/>
                <w:color w:val="000000" w:themeColor="text1"/>
                <w:lang w:val="en-US" w:eastAsia="zh-CN"/>
              </w:rPr>
            </w:pPr>
          </w:p>
        </w:tc>
      </w:tr>
      <w:tr w14:paraId="3757A1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</w:tcPr>
          <w:p w14:paraId="28AC1F32">
            <w:pPr>
              <w:jc w:val="left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lang w:val="en-US" w:eastAsia="zh-CN"/>
              </w:rPr>
              <w:t>岳阳市南湖小学教学楼建设及配套工程</w:t>
            </w:r>
          </w:p>
        </w:tc>
        <w:tc>
          <w:tcPr>
            <w:tcW w:w="1815" w:type="dxa"/>
            <w:gridSpan w:val="2"/>
            <w:vAlign w:val="top"/>
          </w:tcPr>
          <w:p w14:paraId="595A4765">
            <w:pPr>
              <w:jc w:val="right"/>
              <w:rPr>
                <w:rFonts w:hint="default" w:asciiTheme="majorEastAsia" w:hAnsiTheme="majorEastAsia" w:eastAsiaTheme="majorEastAsia" w:cstheme="majorEastAsia"/>
                <w:color w:val="000000" w:themeColor="text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lang w:val="en-US" w:eastAsia="zh-CN"/>
              </w:rPr>
              <w:t>2000.00</w:t>
            </w:r>
          </w:p>
        </w:tc>
        <w:tc>
          <w:tcPr>
            <w:tcW w:w="2325" w:type="dxa"/>
            <w:gridSpan w:val="2"/>
          </w:tcPr>
          <w:p w14:paraId="3A8BC13D">
            <w:pPr>
              <w:jc w:val="right"/>
              <w:rPr>
                <w:rFonts w:asciiTheme="majorEastAsia" w:hAnsiTheme="majorEastAsia" w:eastAsiaTheme="majorEastAsia" w:cstheme="majorEastAsia"/>
                <w:color w:val="000000" w:themeColor="text1"/>
              </w:rPr>
            </w:pPr>
          </w:p>
        </w:tc>
        <w:tc>
          <w:tcPr>
            <w:tcW w:w="1679" w:type="dxa"/>
            <w:gridSpan w:val="2"/>
          </w:tcPr>
          <w:p w14:paraId="5887AE68">
            <w:pPr>
              <w:jc w:val="right"/>
              <w:rPr>
                <w:rFonts w:hint="default"/>
                <w:lang w:val="en-US" w:eastAsia="zh-CN"/>
              </w:rPr>
            </w:pPr>
          </w:p>
        </w:tc>
      </w:tr>
      <w:tr w14:paraId="6C4F3D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</w:tcPr>
          <w:p w14:paraId="305A625B">
            <w:pPr>
              <w:jc w:val="left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lang w:val="en-US" w:eastAsia="zh-CN"/>
              </w:rPr>
              <w:t>岳阳市第十中学教学楼工程</w:t>
            </w:r>
          </w:p>
        </w:tc>
        <w:tc>
          <w:tcPr>
            <w:tcW w:w="1815" w:type="dxa"/>
            <w:gridSpan w:val="2"/>
            <w:vAlign w:val="top"/>
          </w:tcPr>
          <w:p w14:paraId="2B0CD50F">
            <w:pPr>
              <w:jc w:val="right"/>
              <w:rPr>
                <w:rFonts w:hint="default" w:asciiTheme="majorEastAsia" w:hAnsiTheme="majorEastAsia" w:eastAsiaTheme="majorEastAsia" w:cstheme="majorEastAsia"/>
                <w:color w:val="000000" w:themeColor="text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lang w:val="en-US" w:eastAsia="zh-CN"/>
              </w:rPr>
              <w:t>350.00</w:t>
            </w:r>
          </w:p>
        </w:tc>
        <w:tc>
          <w:tcPr>
            <w:tcW w:w="2325" w:type="dxa"/>
            <w:gridSpan w:val="2"/>
          </w:tcPr>
          <w:p w14:paraId="2401FA48">
            <w:pPr>
              <w:jc w:val="right"/>
              <w:rPr>
                <w:rFonts w:asciiTheme="majorEastAsia" w:hAnsiTheme="majorEastAsia" w:eastAsiaTheme="majorEastAsia" w:cstheme="majorEastAsia"/>
                <w:color w:val="000000" w:themeColor="text1"/>
              </w:rPr>
            </w:pPr>
          </w:p>
        </w:tc>
        <w:tc>
          <w:tcPr>
            <w:tcW w:w="1679" w:type="dxa"/>
            <w:gridSpan w:val="2"/>
          </w:tcPr>
          <w:p w14:paraId="3C2285FD">
            <w:pPr>
              <w:jc w:val="right"/>
              <w:rPr>
                <w:rFonts w:hint="default"/>
                <w:lang w:val="en-US" w:eastAsia="zh-CN"/>
              </w:rPr>
            </w:pPr>
          </w:p>
        </w:tc>
      </w:tr>
      <w:tr w14:paraId="304FBD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</w:tcPr>
          <w:p w14:paraId="4B75C01B">
            <w:pPr>
              <w:jc w:val="left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lang w:val="en-US" w:eastAsia="zh-CN"/>
              </w:rPr>
              <w:t>岳阳市外国语学校新建实验综合楼工程</w:t>
            </w:r>
          </w:p>
        </w:tc>
        <w:tc>
          <w:tcPr>
            <w:tcW w:w="1815" w:type="dxa"/>
            <w:gridSpan w:val="2"/>
            <w:vAlign w:val="top"/>
          </w:tcPr>
          <w:p w14:paraId="4403C1A6">
            <w:pPr>
              <w:jc w:val="right"/>
              <w:rPr>
                <w:rFonts w:hint="default" w:asciiTheme="majorEastAsia" w:hAnsiTheme="majorEastAsia" w:eastAsiaTheme="majorEastAsia" w:cstheme="majorEastAsia"/>
                <w:color w:val="000000" w:themeColor="text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lang w:val="en-US" w:eastAsia="zh-CN"/>
              </w:rPr>
              <w:t>1495.70</w:t>
            </w:r>
          </w:p>
        </w:tc>
        <w:tc>
          <w:tcPr>
            <w:tcW w:w="2325" w:type="dxa"/>
            <w:gridSpan w:val="2"/>
          </w:tcPr>
          <w:p w14:paraId="29B02692">
            <w:pPr>
              <w:jc w:val="right"/>
              <w:rPr>
                <w:rFonts w:asciiTheme="majorEastAsia" w:hAnsiTheme="majorEastAsia" w:eastAsiaTheme="majorEastAsia" w:cstheme="majorEastAsia"/>
                <w:color w:val="000000" w:themeColor="text1"/>
              </w:rPr>
            </w:pPr>
          </w:p>
        </w:tc>
        <w:tc>
          <w:tcPr>
            <w:tcW w:w="1679" w:type="dxa"/>
            <w:gridSpan w:val="2"/>
          </w:tcPr>
          <w:p w14:paraId="7325EABC">
            <w:pPr>
              <w:jc w:val="right"/>
              <w:rPr>
                <w:rFonts w:hint="default"/>
                <w:lang w:val="en-US" w:eastAsia="zh-CN"/>
              </w:rPr>
            </w:pPr>
          </w:p>
        </w:tc>
      </w:tr>
      <w:tr w14:paraId="27624B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</w:tcPr>
          <w:p w14:paraId="295AF5B9">
            <w:pPr>
              <w:spacing w:before="85" w:line="220" w:lineRule="auto"/>
              <w:ind w:firstLine="492" w:firstLineChars="200"/>
              <w:jc w:val="left"/>
              <w:rPr>
                <w:rFonts w:asciiTheme="majorEastAsia" w:hAnsiTheme="majorEastAsia" w:eastAsiaTheme="majorEastAsia" w:cstheme="majorEastAsia"/>
                <w:color w:val="000000" w:themeColor="text1"/>
                <w:spacing w:val="3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</w:rPr>
              <w:t>4、上级转移支付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Cs w:val="21"/>
              </w:rPr>
              <w:t>(一个专项一行）</w:t>
            </w:r>
          </w:p>
        </w:tc>
        <w:tc>
          <w:tcPr>
            <w:tcW w:w="1815" w:type="dxa"/>
            <w:gridSpan w:val="2"/>
            <w:vAlign w:val="top"/>
          </w:tcPr>
          <w:p w14:paraId="28CE3470">
            <w:pPr>
              <w:jc w:val="right"/>
              <w:rPr>
                <w:rFonts w:asciiTheme="majorEastAsia" w:hAnsiTheme="majorEastAsia" w:eastAsiaTheme="majorEastAsia" w:cstheme="majorEastAsia"/>
                <w:color w:val="000000" w:themeColor="text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</w:tcPr>
          <w:p w14:paraId="50B55B28">
            <w:pPr>
              <w:jc w:val="right"/>
              <w:rPr>
                <w:rFonts w:asciiTheme="majorEastAsia" w:hAnsiTheme="majorEastAsia" w:eastAsiaTheme="majorEastAsia" w:cstheme="majorEastAsia"/>
                <w:color w:val="000000" w:themeColor="text1"/>
              </w:rPr>
            </w:pPr>
          </w:p>
        </w:tc>
        <w:tc>
          <w:tcPr>
            <w:tcW w:w="1679" w:type="dxa"/>
            <w:gridSpan w:val="2"/>
          </w:tcPr>
          <w:p w14:paraId="4DC7FD5F">
            <w:pPr>
              <w:jc w:val="right"/>
              <w:rPr>
                <w:rFonts w:asciiTheme="majorEastAsia" w:hAnsiTheme="majorEastAsia" w:eastAsiaTheme="majorEastAsia" w:cstheme="majorEastAsia"/>
                <w:color w:val="000000" w:themeColor="text1"/>
              </w:rPr>
            </w:pPr>
          </w:p>
        </w:tc>
      </w:tr>
      <w:tr w14:paraId="758FD3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</w:tcPr>
          <w:p w14:paraId="7F7B5289">
            <w:pPr>
              <w:spacing w:before="85" w:line="220" w:lineRule="auto"/>
              <w:ind w:left="94"/>
              <w:jc w:val="left"/>
              <w:rPr>
                <w:rFonts w:asciiTheme="majorEastAsia" w:hAnsiTheme="majorEastAsia" w:eastAsiaTheme="majorEastAsia" w:cstheme="majorEastAsia"/>
                <w:color w:val="000000" w:themeColor="text1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</w:rPr>
              <w:t>公用经费</w:t>
            </w:r>
          </w:p>
        </w:tc>
        <w:tc>
          <w:tcPr>
            <w:tcW w:w="1815" w:type="dxa"/>
            <w:gridSpan w:val="2"/>
            <w:vAlign w:val="top"/>
          </w:tcPr>
          <w:p w14:paraId="5DEE3128">
            <w:pPr>
              <w:jc w:val="right"/>
              <w:rPr>
                <w:rFonts w:asciiTheme="majorEastAsia" w:hAnsiTheme="majorEastAsia" w:eastAsiaTheme="majorEastAsia" w:cstheme="majorEastAsia"/>
                <w:color w:val="000000" w:themeColor="text1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lang w:val="en-US" w:eastAsia="zh-CN"/>
              </w:rPr>
              <w:t>0.0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</w:rPr>
              <w:t>0</w:t>
            </w:r>
          </w:p>
        </w:tc>
        <w:tc>
          <w:tcPr>
            <w:tcW w:w="2325" w:type="dxa"/>
            <w:gridSpan w:val="2"/>
          </w:tcPr>
          <w:p w14:paraId="526550F8">
            <w:pPr>
              <w:jc w:val="right"/>
              <w:rPr>
                <w:rFonts w:hint="default" w:asciiTheme="majorEastAsia" w:hAnsiTheme="majorEastAsia" w:eastAsiaTheme="majorEastAsia" w:cstheme="majorEastAsia"/>
                <w:color w:val="000000" w:themeColor="text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lang w:val="en-US" w:eastAsia="zh-CN"/>
              </w:rPr>
              <w:t>1.80</w:t>
            </w:r>
          </w:p>
        </w:tc>
        <w:tc>
          <w:tcPr>
            <w:tcW w:w="1679" w:type="dxa"/>
            <w:gridSpan w:val="2"/>
          </w:tcPr>
          <w:p w14:paraId="1F77E251">
            <w:pPr>
              <w:jc w:val="right"/>
              <w:rPr>
                <w:rFonts w:hint="default" w:asciiTheme="majorEastAsia" w:hAnsiTheme="majorEastAsia" w:eastAsiaTheme="majorEastAsia" w:cstheme="majorEastAsia"/>
                <w:color w:val="000000" w:themeColor="text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lang w:val="en-US" w:eastAsia="zh-CN"/>
              </w:rPr>
              <w:t>1.32</w:t>
            </w:r>
          </w:p>
        </w:tc>
      </w:tr>
      <w:tr w14:paraId="1ED950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</w:tcPr>
          <w:p w14:paraId="2E21287B">
            <w:pPr>
              <w:spacing w:before="85" w:line="219" w:lineRule="auto"/>
              <w:ind w:left="384"/>
              <w:jc w:val="left"/>
              <w:rPr>
                <w:rFonts w:asciiTheme="majorEastAsia" w:hAnsiTheme="majorEastAsia" w:eastAsiaTheme="majorEastAsia" w:cstheme="majorEastAsia"/>
                <w:color w:val="000000" w:themeColor="text1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</w:rPr>
              <w:t>其中：办公经费</w:t>
            </w:r>
          </w:p>
        </w:tc>
        <w:tc>
          <w:tcPr>
            <w:tcW w:w="1815" w:type="dxa"/>
            <w:gridSpan w:val="2"/>
            <w:vAlign w:val="top"/>
          </w:tcPr>
          <w:p w14:paraId="0280DCC5">
            <w:pPr>
              <w:jc w:val="right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lang w:val="en-US" w:eastAsia="zh-CN"/>
              </w:rPr>
              <w:t>0.00</w:t>
            </w:r>
          </w:p>
        </w:tc>
        <w:tc>
          <w:tcPr>
            <w:tcW w:w="2325" w:type="dxa"/>
            <w:gridSpan w:val="2"/>
          </w:tcPr>
          <w:p w14:paraId="312B4495">
            <w:pPr>
              <w:jc w:val="right"/>
              <w:rPr>
                <w:rFonts w:hint="default" w:asciiTheme="majorEastAsia" w:hAnsiTheme="majorEastAsia" w:eastAsiaTheme="majorEastAsia" w:cstheme="majorEastAsia"/>
                <w:color w:val="000000" w:themeColor="text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lang w:val="en-US" w:eastAsia="zh-CN"/>
              </w:rPr>
              <w:t>1.80</w:t>
            </w:r>
          </w:p>
        </w:tc>
        <w:tc>
          <w:tcPr>
            <w:tcW w:w="1679" w:type="dxa"/>
            <w:gridSpan w:val="2"/>
          </w:tcPr>
          <w:p w14:paraId="583DFAD1">
            <w:pPr>
              <w:jc w:val="right"/>
              <w:rPr>
                <w:rFonts w:hint="default" w:asciiTheme="majorEastAsia" w:hAnsiTheme="majorEastAsia" w:eastAsiaTheme="majorEastAsia" w:cstheme="majorEastAsia"/>
                <w:color w:val="000000" w:themeColor="text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lang w:val="en-US" w:eastAsia="zh-CN"/>
              </w:rPr>
              <w:t>1.32</w:t>
            </w:r>
          </w:p>
        </w:tc>
      </w:tr>
      <w:tr w14:paraId="346CC5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</w:tcPr>
          <w:p w14:paraId="012574EF">
            <w:pPr>
              <w:spacing w:before="135" w:line="198" w:lineRule="auto"/>
              <w:ind w:left="1114"/>
              <w:jc w:val="left"/>
              <w:rPr>
                <w:rFonts w:asciiTheme="majorEastAsia" w:hAnsiTheme="majorEastAsia" w:eastAsiaTheme="majorEastAsia" w:cstheme="majorEastAsia"/>
                <w:color w:val="000000" w:themeColor="text1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</w:rPr>
              <w:t>水费、电费、差旅费</w:t>
            </w:r>
          </w:p>
        </w:tc>
        <w:tc>
          <w:tcPr>
            <w:tcW w:w="1815" w:type="dxa"/>
            <w:gridSpan w:val="2"/>
            <w:vAlign w:val="top"/>
          </w:tcPr>
          <w:p w14:paraId="25DCC526">
            <w:pPr>
              <w:jc w:val="right"/>
              <w:rPr>
                <w:rFonts w:asciiTheme="majorEastAsia" w:hAnsiTheme="majorEastAsia" w:eastAsiaTheme="majorEastAsia" w:cstheme="majorEastAsia"/>
                <w:color w:val="000000" w:themeColor="text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</w:tcPr>
          <w:p w14:paraId="0EC5FD2D">
            <w:pPr>
              <w:jc w:val="right"/>
              <w:rPr>
                <w:rFonts w:asciiTheme="majorEastAsia" w:hAnsiTheme="majorEastAsia" w:eastAsiaTheme="majorEastAsia" w:cstheme="majorEastAsia"/>
                <w:color w:val="000000" w:themeColor="text1"/>
              </w:rPr>
            </w:pPr>
          </w:p>
        </w:tc>
        <w:tc>
          <w:tcPr>
            <w:tcW w:w="1679" w:type="dxa"/>
            <w:gridSpan w:val="2"/>
          </w:tcPr>
          <w:p w14:paraId="62F13099">
            <w:pPr>
              <w:jc w:val="right"/>
              <w:rPr>
                <w:rFonts w:asciiTheme="majorEastAsia" w:hAnsiTheme="majorEastAsia" w:eastAsiaTheme="majorEastAsia" w:cstheme="majorEastAsia"/>
                <w:color w:val="000000" w:themeColor="text1"/>
              </w:rPr>
            </w:pPr>
          </w:p>
        </w:tc>
      </w:tr>
      <w:tr w14:paraId="28AE1C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</w:tcPr>
          <w:p w14:paraId="2DD61DEA">
            <w:pPr>
              <w:spacing w:before="144" w:line="198" w:lineRule="auto"/>
              <w:ind w:left="1124"/>
              <w:jc w:val="left"/>
              <w:rPr>
                <w:rFonts w:asciiTheme="majorEastAsia" w:hAnsiTheme="majorEastAsia" w:eastAsiaTheme="majorEastAsia" w:cstheme="majorEastAsia"/>
                <w:color w:val="000000" w:themeColor="text1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</w:rPr>
              <w:t>会议费、培训费</w:t>
            </w:r>
          </w:p>
        </w:tc>
        <w:tc>
          <w:tcPr>
            <w:tcW w:w="1815" w:type="dxa"/>
            <w:gridSpan w:val="2"/>
            <w:vAlign w:val="top"/>
          </w:tcPr>
          <w:p w14:paraId="10FDD1FE">
            <w:pPr>
              <w:rPr>
                <w:rFonts w:asciiTheme="majorEastAsia" w:hAnsiTheme="majorEastAsia" w:eastAsiaTheme="majorEastAsia" w:cstheme="majorEastAsia"/>
                <w:color w:val="000000" w:themeColor="text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</w:tcPr>
          <w:p w14:paraId="41E35070">
            <w:pPr>
              <w:rPr>
                <w:rFonts w:asciiTheme="majorEastAsia" w:hAnsiTheme="majorEastAsia" w:eastAsiaTheme="majorEastAsia" w:cstheme="majorEastAsia"/>
                <w:color w:val="000000" w:themeColor="text1"/>
              </w:rPr>
            </w:pPr>
          </w:p>
        </w:tc>
        <w:tc>
          <w:tcPr>
            <w:tcW w:w="1679" w:type="dxa"/>
            <w:gridSpan w:val="2"/>
          </w:tcPr>
          <w:p w14:paraId="5C41A084">
            <w:pPr>
              <w:rPr>
                <w:rFonts w:asciiTheme="majorEastAsia" w:hAnsiTheme="majorEastAsia" w:eastAsiaTheme="majorEastAsia" w:cstheme="majorEastAsia"/>
                <w:color w:val="000000" w:themeColor="text1"/>
              </w:rPr>
            </w:pPr>
          </w:p>
        </w:tc>
      </w:tr>
      <w:tr w14:paraId="41F8C5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</w:tcPr>
          <w:p w14:paraId="6B0D84D3">
            <w:pPr>
              <w:spacing w:before="145" w:line="189" w:lineRule="auto"/>
              <w:ind w:left="104"/>
              <w:jc w:val="left"/>
              <w:rPr>
                <w:rFonts w:asciiTheme="majorEastAsia" w:hAnsiTheme="majorEastAsia" w:eastAsiaTheme="majorEastAsia" w:cstheme="majorEastAsia"/>
                <w:color w:val="000000" w:themeColor="text1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</w:rPr>
              <w:t>政府采购金额</w:t>
            </w:r>
          </w:p>
        </w:tc>
        <w:tc>
          <w:tcPr>
            <w:tcW w:w="1815" w:type="dxa"/>
            <w:gridSpan w:val="2"/>
            <w:vAlign w:val="top"/>
          </w:tcPr>
          <w:p w14:paraId="22642614">
            <w:pPr>
              <w:jc w:val="right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lang w:val="en-US" w:eastAsia="zh-CN"/>
              </w:rPr>
              <w:t>0.00</w:t>
            </w:r>
          </w:p>
        </w:tc>
        <w:tc>
          <w:tcPr>
            <w:tcW w:w="2325" w:type="dxa"/>
            <w:gridSpan w:val="2"/>
          </w:tcPr>
          <w:p w14:paraId="1335BFF1">
            <w:pPr>
              <w:jc w:val="right"/>
              <w:rPr>
                <w:rFonts w:hint="eastAsia" w:asciiTheme="majorEastAsia" w:hAnsiTheme="majorEastAsia" w:eastAsiaTheme="majorEastAsia" w:cstheme="majorEastAsia"/>
                <w:color w:val="000000" w:themeColor="text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lang w:val="en-US" w:eastAsia="zh-CN"/>
              </w:rPr>
              <w:t>0.00</w:t>
            </w:r>
          </w:p>
        </w:tc>
        <w:tc>
          <w:tcPr>
            <w:tcW w:w="1679" w:type="dxa"/>
            <w:gridSpan w:val="2"/>
          </w:tcPr>
          <w:p w14:paraId="77B853D8">
            <w:pPr>
              <w:jc w:val="right"/>
              <w:rPr>
                <w:rFonts w:hint="default" w:asciiTheme="majorEastAsia" w:hAnsiTheme="majorEastAsia" w:eastAsiaTheme="majorEastAsia" w:cstheme="majorEastAsia"/>
                <w:color w:val="000000" w:themeColor="text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lang w:val="en-US" w:eastAsia="zh-CN"/>
              </w:rPr>
              <w:t>0.00</w:t>
            </w:r>
          </w:p>
        </w:tc>
      </w:tr>
      <w:tr w14:paraId="5CFF2E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3850" w:type="dxa"/>
          </w:tcPr>
          <w:p w14:paraId="6D17D0F4">
            <w:pPr>
              <w:spacing w:before="145" w:line="198" w:lineRule="auto"/>
              <w:ind w:left="114"/>
              <w:jc w:val="left"/>
              <w:rPr>
                <w:rFonts w:asciiTheme="majorEastAsia" w:hAnsiTheme="majorEastAsia" w:eastAsiaTheme="majorEastAsia" w:cstheme="majorEastAsia"/>
                <w:color w:val="000000" w:themeColor="text1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</w:rPr>
              <w:t>部门基本支出预算调整</w:t>
            </w:r>
          </w:p>
        </w:tc>
        <w:tc>
          <w:tcPr>
            <w:tcW w:w="1815" w:type="dxa"/>
            <w:gridSpan w:val="2"/>
            <w:vAlign w:val="top"/>
          </w:tcPr>
          <w:p w14:paraId="3DE0FD9D">
            <w:pPr>
              <w:rPr>
                <w:rFonts w:asciiTheme="majorEastAsia" w:hAnsiTheme="majorEastAsia" w:eastAsiaTheme="majorEastAsia" w:cstheme="majorEastAsia"/>
                <w:color w:val="000000" w:themeColor="text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</w:tcPr>
          <w:p w14:paraId="3ED53960">
            <w:pPr>
              <w:rPr>
                <w:rFonts w:asciiTheme="majorEastAsia" w:hAnsiTheme="majorEastAsia" w:eastAsiaTheme="majorEastAsia" w:cstheme="majorEastAsia"/>
                <w:color w:val="000000" w:themeColor="text1"/>
              </w:rPr>
            </w:pPr>
          </w:p>
        </w:tc>
        <w:tc>
          <w:tcPr>
            <w:tcW w:w="1679" w:type="dxa"/>
            <w:gridSpan w:val="2"/>
          </w:tcPr>
          <w:p w14:paraId="3D2E9BB4">
            <w:pPr>
              <w:rPr>
                <w:rFonts w:asciiTheme="majorEastAsia" w:hAnsiTheme="majorEastAsia" w:eastAsiaTheme="majorEastAsia" w:cstheme="majorEastAsia"/>
                <w:color w:val="000000" w:themeColor="text1"/>
              </w:rPr>
            </w:pPr>
          </w:p>
        </w:tc>
      </w:tr>
      <w:tr w14:paraId="53C2FF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vAlign w:val="center"/>
          </w:tcPr>
          <w:p w14:paraId="6E16CD3F">
            <w:pPr>
              <w:spacing w:before="65" w:line="390" w:lineRule="exact"/>
              <w:jc w:val="center"/>
              <w:rPr>
                <w:rFonts w:asciiTheme="majorEastAsia" w:hAnsiTheme="majorEastAsia" w:eastAsiaTheme="majorEastAsia" w:cstheme="majorEastAsia"/>
                <w:color w:val="000000" w:themeColor="text1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position w:val="14"/>
                <w:sz w:val="24"/>
              </w:rPr>
              <w:t>楼堂馆所控制情况</w:t>
            </w:r>
          </w:p>
          <w:p w14:paraId="495DFF07">
            <w:pPr>
              <w:spacing w:line="219" w:lineRule="auto"/>
              <w:jc w:val="center"/>
              <w:rPr>
                <w:rFonts w:asciiTheme="majorEastAsia" w:hAnsiTheme="majorEastAsia" w:eastAsiaTheme="majorEastAsia" w:cstheme="majorEastAsia"/>
                <w:color w:val="000000" w:themeColor="text1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</w:rPr>
              <w:t>(202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lang w:val="en-US" w:eastAsia="zh-CN"/>
              </w:rPr>
              <w:t>3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</w:rPr>
              <w:t>年完工项目)</w:t>
            </w:r>
          </w:p>
        </w:tc>
        <w:tc>
          <w:tcPr>
            <w:tcW w:w="825" w:type="dxa"/>
            <w:vAlign w:val="center"/>
          </w:tcPr>
          <w:p w14:paraId="1217DAC5">
            <w:pPr>
              <w:spacing w:line="240" w:lineRule="exact"/>
              <w:jc w:val="center"/>
              <w:rPr>
                <w:rFonts w:asciiTheme="majorEastAsia" w:hAnsiTheme="majorEastAsia" w:eastAsiaTheme="majorEastAsia" w:cstheme="majorEastAsia"/>
                <w:color w:val="000000" w:themeColor="text1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0"/>
                <w:szCs w:val="20"/>
              </w:rPr>
              <w:t>批复规模</w:t>
            </w:r>
          </w:p>
          <w:p w14:paraId="44FB4A59">
            <w:pPr>
              <w:spacing w:line="240" w:lineRule="exact"/>
              <w:jc w:val="center"/>
              <w:rPr>
                <w:rFonts w:asciiTheme="majorEastAsia" w:hAnsiTheme="majorEastAsia" w:eastAsiaTheme="majorEastAsia" w:cstheme="majorEastAsia"/>
                <w:color w:val="000000" w:themeColor="text1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0"/>
                <w:szCs w:val="20"/>
              </w:rPr>
              <w:t>(m²)</w:t>
            </w:r>
          </w:p>
        </w:tc>
        <w:tc>
          <w:tcPr>
            <w:tcW w:w="990" w:type="dxa"/>
            <w:vAlign w:val="center"/>
          </w:tcPr>
          <w:p w14:paraId="72D4DC78">
            <w:pPr>
              <w:spacing w:line="240" w:lineRule="exact"/>
              <w:jc w:val="center"/>
              <w:rPr>
                <w:rFonts w:asciiTheme="majorEastAsia" w:hAnsiTheme="majorEastAsia" w:eastAsiaTheme="majorEastAsia" w:cstheme="majorEastAsia"/>
                <w:color w:val="000000" w:themeColor="text1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0"/>
                <w:szCs w:val="20"/>
              </w:rPr>
              <w:t>实际规</w:t>
            </w:r>
          </w:p>
          <w:p w14:paraId="5B1DD8BC">
            <w:pPr>
              <w:spacing w:line="240" w:lineRule="exact"/>
              <w:jc w:val="center"/>
              <w:rPr>
                <w:rFonts w:asciiTheme="majorEastAsia" w:hAnsiTheme="majorEastAsia" w:eastAsiaTheme="majorEastAsia" w:cstheme="majorEastAsia"/>
                <w:color w:val="000000" w:themeColor="text1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0"/>
                <w:szCs w:val="20"/>
              </w:rPr>
              <w:t>模(m²)</w:t>
            </w:r>
          </w:p>
        </w:tc>
        <w:tc>
          <w:tcPr>
            <w:tcW w:w="1140" w:type="dxa"/>
            <w:vAlign w:val="center"/>
          </w:tcPr>
          <w:p w14:paraId="3F7A8F63">
            <w:pPr>
              <w:spacing w:line="240" w:lineRule="exact"/>
              <w:jc w:val="center"/>
              <w:rPr>
                <w:rFonts w:asciiTheme="majorEastAsia" w:hAnsiTheme="majorEastAsia" w:eastAsiaTheme="majorEastAsia" w:cstheme="majorEastAsia"/>
                <w:color w:val="000000" w:themeColor="text1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0"/>
                <w:szCs w:val="20"/>
              </w:rPr>
              <w:t>规模控制率</w:t>
            </w:r>
          </w:p>
        </w:tc>
        <w:tc>
          <w:tcPr>
            <w:tcW w:w="1185" w:type="dxa"/>
            <w:vAlign w:val="center"/>
          </w:tcPr>
          <w:p w14:paraId="0F49B6B6">
            <w:pPr>
              <w:spacing w:line="240" w:lineRule="exact"/>
              <w:jc w:val="center"/>
              <w:rPr>
                <w:rFonts w:asciiTheme="majorEastAsia" w:hAnsiTheme="majorEastAsia" w:eastAsiaTheme="majorEastAsia" w:cstheme="majorEastAsia"/>
                <w:color w:val="000000" w:themeColor="text1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0"/>
                <w:szCs w:val="20"/>
              </w:rPr>
              <w:t>预算投资</w:t>
            </w:r>
          </w:p>
          <w:p w14:paraId="254E8361">
            <w:pPr>
              <w:spacing w:line="240" w:lineRule="exact"/>
              <w:jc w:val="center"/>
              <w:rPr>
                <w:rFonts w:asciiTheme="majorEastAsia" w:hAnsiTheme="majorEastAsia" w:eastAsiaTheme="majorEastAsia" w:cstheme="majorEastAsia"/>
                <w:color w:val="000000" w:themeColor="text1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0"/>
                <w:szCs w:val="20"/>
              </w:rPr>
              <w:t>(万元)</w:t>
            </w:r>
          </w:p>
        </w:tc>
        <w:tc>
          <w:tcPr>
            <w:tcW w:w="810" w:type="dxa"/>
            <w:vAlign w:val="center"/>
          </w:tcPr>
          <w:p w14:paraId="1B2719D9">
            <w:pPr>
              <w:spacing w:line="240" w:lineRule="exact"/>
              <w:jc w:val="center"/>
              <w:rPr>
                <w:rFonts w:asciiTheme="majorEastAsia" w:hAnsiTheme="majorEastAsia" w:eastAsiaTheme="majorEastAsia" w:cstheme="majorEastAsia"/>
                <w:color w:val="000000" w:themeColor="text1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0"/>
                <w:szCs w:val="20"/>
              </w:rPr>
              <w:t>实际</w:t>
            </w:r>
          </w:p>
          <w:p w14:paraId="5BBCE791">
            <w:pPr>
              <w:spacing w:line="240" w:lineRule="exact"/>
              <w:jc w:val="center"/>
              <w:rPr>
                <w:rFonts w:asciiTheme="majorEastAsia" w:hAnsiTheme="majorEastAsia" w:eastAsiaTheme="majorEastAsia" w:cstheme="majorEastAsia"/>
                <w:color w:val="000000" w:themeColor="text1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0"/>
                <w:szCs w:val="20"/>
              </w:rPr>
              <w:t>投资</w:t>
            </w:r>
          </w:p>
          <w:p w14:paraId="0BD2DAFE">
            <w:pPr>
              <w:spacing w:line="240" w:lineRule="exact"/>
              <w:jc w:val="center"/>
              <w:rPr>
                <w:rFonts w:asciiTheme="majorEastAsia" w:hAnsiTheme="majorEastAsia" w:eastAsiaTheme="majorEastAsia" w:cstheme="majorEastAsia"/>
                <w:color w:val="000000" w:themeColor="text1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0"/>
                <w:szCs w:val="20"/>
              </w:rPr>
              <w:t>(万元)</w:t>
            </w:r>
          </w:p>
        </w:tc>
        <w:tc>
          <w:tcPr>
            <w:tcW w:w="869" w:type="dxa"/>
            <w:vAlign w:val="center"/>
          </w:tcPr>
          <w:p w14:paraId="5CA71A3A">
            <w:pPr>
              <w:spacing w:line="240" w:lineRule="exact"/>
              <w:jc w:val="center"/>
              <w:rPr>
                <w:rFonts w:asciiTheme="majorEastAsia" w:hAnsiTheme="majorEastAsia" w:eastAsiaTheme="majorEastAsia" w:cstheme="majorEastAsia"/>
                <w:color w:val="000000" w:themeColor="text1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0"/>
                <w:szCs w:val="20"/>
              </w:rPr>
              <w:t>投资概</w:t>
            </w:r>
          </w:p>
          <w:p w14:paraId="48DBF3A3">
            <w:pPr>
              <w:spacing w:line="240" w:lineRule="exact"/>
              <w:jc w:val="center"/>
              <w:rPr>
                <w:rFonts w:asciiTheme="majorEastAsia" w:hAnsiTheme="majorEastAsia" w:eastAsiaTheme="majorEastAsia" w:cstheme="majorEastAsia"/>
                <w:color w:val="000000" w:themeColor="text1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0"/>
                <w:szCs w:val="20"/>
              </w:rPr>
              <w:t>算控制</w:t>
            </w:r>
          </w:p>
          <w:p w14:paraId="48CB3174">
            <w:pPr>
              <w:spacing w:line="240" w:lineRule="exact"/>
              <w:jc w:val="center"/>
              <w:rPr>
                <w:rFonts w:asciiTheme="majorEastAsia" w:hAnsiTheme="majorEastAsia" w:eastAsiaTheme="majorEastAsia" w:cstheme="majorEastAsia"/>
                <w:color w:val="000000" w:themeColor="text1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0"/>
                <w:szCs w:val="20"/>
              </w:rPr>
              <w:t>率</w:t>
            </w:r>
          </w:p>
        </w:tc>
      </w:tr>
      <w:tr w14:paraId="7015DC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3850" w:type="dxa"/>
            <w:vMerge w:val="continue"/>
            <w:tcBorders>
              <w:top w:val="nil"/>
            </w:tcBorders>
          </w:tcPr>
          <w:p w14:paraId="1DC43DF7">
            <w:pPr>
              <w:jc w:val="left"/>
              <w:rPr>
                <w:rFonts w:asciiTheme="majorEastAsia" w:hAnsiTheme="majorEastAsia" w:eastAsiaTheme="majorEastAsia" w:cstheme="majorEastAsia"/>
                <w:color w:val="000000" w:themeColor="text1"/>
                <w:sz w:val="24"/>
              </w:rPr>
            </w:pPr>
          </w:p>
        </w:tc>
        <w:tc>
          <w:tcPr>
            <w:tcW w:w="825" w:type="dxa"/>
          </w:tcPr>
          <w:p w14:paraId="7FBF161B">
            <w:pPr>
              <w:rPr>
                <w:rFonts w:asciiTheme="majorEastAsia" w:hAnsiTheme="majorEastAsia" w:eastAsiaTheme="majorEastAsia" w:cstheme="majorEastAsia"/>
                <w:color w:val="000000" w:themeColor="text1"/>
              </w:rPr>
            </w:pPr>
          </w:p>
        </w:tc>
        <w:tc>
          <w:tcPr>
            <w:tcW w:w="990" w:type="dxa"/>
          </w:tcPr>
          <w:p w14:paraId="32078BE3">
            <w:pPr>
              <w:rPr>
                <w:rFonts w:asciiTheme="majorEastAsia" w:hAnsiTheme="majorEastAsia" w:eastAsiaTheme="majorEastAsia" w:cstheme="majorEastAsia"/>
                <w:color w:val="000000" w:themeColor="text1"/>
              </w:rPr>
            </w:pPr>
          </w:p>
        </w:tc>
        <w:tc>
          <w:tcPr>
            <w:tcW w:w="1140" w:type="dxa"/>
          </w:tcPr>
          <w:p w14:paraId="64F0B8F0">
            <w:pPr>
              <w:rPr>
                <w:rFonts w:asciiTheme="majorEastAsia" w:hAnsiTheme="majorEastAsia" w:eastAsiaTheme="majorEastAsia" w:cstheme="majorEastAsia"/>
                <w:color w:val="000000" w:themeColor="text1"/>
              </w:rPr>
            </w:pPr>
          </w:p>
        </w:tc>
        <w:tc>
          <w:tcPr>
            <w:tcW w:w="1185" w:type="dxa"/>
          </w:tcPr>
          <w:p w14:paraId="304C99DB">
            <w:pPr>
              <w:rPr>
                <w:rFonts w:asciiTheme="majorEastAsia" w:hAnsiTheme="majorEastAsia" w:eastAsiaTheme="majorEastAsia" w:cstheme="majorEastAsia"/>
                <w:color w:val="000000" w:themeColor="text1"/>
              </w:rPr>
            </w:pPr>
          </w:p>
        </w:tc>
        <w:tc>
          <w:tcPr>
            <w:tcW w:w="810" w:type="dxa"/>
          </w:tcPr>
          <w:p w14:paraId="44288A73">
            <w:pPr>
              <w:rPr>
                <w:rFonts w:asciiTheme="majorEastAsia" w:hAnsiTheme="majorEastAsia" w:eastAsiaTheme="majorEastAsia" w:cstheme="majorEastAsia"/>
                <w:color w:val="000000" w:themeColor="text1"/>
              </w:rPr>
            </w:pPr>
          </w:p>
        </w:tc>
        <w:tc>
          <w:tcPr>
            <w:tcW w:w="869" w:type="dxa"/>
          </w:tcPr>
          <w:p w14:paraId="3852CE4E">
            <w:pPr>
              <w:rPr>
                <w:rFonts w:asciiTheme="majorEastAsia" w:hAnsiTheme="majorEastAsia" w:eastAsiaTheme="majorEastAsia" w:cstheme="majorEastAsia"/>
                <w:color w:val="000000" w:themeColor="text1"/>
              </w:rPr>
            </w:pPr>
          </w:p>
        </w:tc>
      </w:tr>
      <w:tr w14:paraId="3B08F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</w:tcPr>
          <w:p w14:paraId="6D7E125C">
            <w:pPr>
              <w:jc w:val="center"/>
              <w:rPr>
                <w:rFonts w:asciiTheme="majorEastAsia" w:hAnsiTheme="majorEastAsia" w:eastAsiaTheme="majorEastAsia" w:cstheme="majorEastAsia"/>
                <w:color w:val="000000" w:themeColor="text1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</w:rPr>
              <w:t>厉行节约保障措施</w:t>
            </w:r>
          </w:p>
        </w:tc>
        <w:tc>
          <w:tcPr>
            <w:tcW w:w="5819" w:type="dxa"/>
            <w:gridSpan w:val="6"/>
          </w:tcPr>
          <w:p w14:paraId="77492F0A">
            <w:pPr>
              <w:jc w:val="center"/>
              <w:rPr>
                <w:rFonts w:asciiTheme="majorEastAsia" w:hAnsiTheme="majorEastAsia" w:eastAsiaTheme="majorEastAsia" w:cstheme="majorEastAsia"/>
                <w:color w:val="000000" w:themeColor="text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</w:rPr>
              <w:t>坚持开展宣传教育、建全工作机制、建章立制、监督检查、加强管理</w:t>
            </w:r>
          </w:p>
        </w:tc>
      </w:tr>
    </w:tbl>
    <w:p w14:paraId="2C92B184">
      <w:pPr>
        <w:jc w:val="left"/>
        <w:rPr>
          <w:rFonts w:hint="default" w:asciiTheme="majorEastAsia" w:hAnsiTheme="majorEastAsia" w:eastAsiaTheme="majorEastAsia" w:cstheme="majorEastAsia"/>
          <w:color w:val="000000" w:themeColor="text1"/>
          <w:sz w:val="23"/>
          <w:szCs w:val="23"/>
          <w:lang w:val="en-US" w:eastAsia="zh-CN"/>
        </w:rPr>
        <w:sectPr>
          <w:footerReference r:id="rId3" w:type="default"/>
          <w:pgSz w:w="11906" w:h="16838"/>
          <w:pgMar w:top="1134" w:right="1417" w:bottom="1134" w:left="1134" w:header="851" w:footer="992" w:gutter="0"/>
          <w:cols w:space="0" w:num="1"/>
          <w:docGrid w:type="lines" w:linePitch="312" w:charSpace="0"/>
        </w:sect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3"/>
          <w:szCs w:val="23"/>
        </w:rPr>
        <w:t xml:space="preserve">填表人：毛一波 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3"/>
          <w:szCs w:val="23"/>
          <w:lang w:val="en-US" w:eastAsia="zh-CN"/>
        </w:rPr>
        <w:t xml:space="preserve">  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3"/>
          <w:szCs w:val="23"/>
        </w:rPr>
        <w:t xml:space="preserve">联系电话：18873005256 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3"/>
          <w:szCs w:val="23"/>
          <w:lang w:val="en-US" w:eastAsia="zh-CN"/>
        </w:rPr>
        <w:t xml:space="preserve">  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3"/>
          <w:szCs w:val="23"/>
        </w:rPr>
        <w:t>单位负责人签字：    填报日期：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3"/>
          <w:szCs w:val="23"/>
          <w:lang w:val="en-US" w:eastAsia="zh-CN"/>
        </w:rPr>
        <w:t>2025.07.01</w:t>
      </w:r>
    </w:p>
    <w:p w14:paraId="0FECC89D">
      <w:pPr>
        <w:rPr>
          <w:rFonts w:ascii="黑体" w:hAnsi="黑体" w:eastAsia="黑体" w:cs="黑体"/>
          <w:color w:val="000000" w:themeColor="text1"/>
          <w:spacing w:val="10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pacing w:val="10"/>
          <w:sz w:val="32"/>
          <w:szCs w:val="32"/>
        </w:rPr>
        <w:t>附件2</w:t>
      </w:r>
    </w:p>
    <w:p w14:paraId="53934114"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pacing w:val="2"/>
          <w:sz w:val="42"/>
          <w:szCs w:val="42"/>
        </w:rPr>
      </w:pPr>
      <w:r>
        <w:rPr>
          <w:rFonts w:hint="eastAsia" w:ascii="仿宋" w:hAnsi="仿宋" w:eastAsia="仿宋" w:cs="仿宋"/>
          <w:color w:val="000000" w:themeColor="text1"/>
          <w:spacing w:val="2"/>
          <w:sz w:val="42"/>
          <w:szCs w:val="42"/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pacing w:val="2"/>
          <w:sz w:val="42"/>
          <w:szCs w:val="42"/>
          <w:lang w:val="en-US"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2"/>
          <w:sz w:val="42"/>
          <w:szCs w:val="42"/>
        </w:rPr>
        <w:t>年度预算单位整体支出绩效自评表</w:t>
      </w:r>
    </w:p>
    <w:p w14:paraId="492CCE04">
      <w:pPr>
        <w:spacing w:line="168" w:lineRule="exact"/>
        <w:rPr>
          <w:color w:val="000000" w:themeColor="text1"/>
        </w:rPr>
      </w:pPr>
    </w:p>
    <w:tbl>
      <w:tblPr>
        <w:tblStyle w:val="9"/>
        <w:tblW w:w="983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8"/>
        <w:gridCol w:w="895"/>
        <w:gridCol w:w="1029"/>
        <w:gridCol w:w="1405"/>
        <w:gridCol w:w="1183"/>
        <w:gridCol w:w="1259"/>
        <w:gridCol w:w="719"/>
        <w:gridCol w:w="974"/>
        <w:gridCol w:w="1103"/>
      </w:tblGrid>
      <w:tr w14:paraId="4418B4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1268" w:type="dxa"/>
          </w:tcPr>
          <w:p w14:paraId="4D4AB9DF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预算单位名称</w:t>
            </w:r>
          </w:p>
        </w:tc>
        <w:tc>
          <w:tcPr>
            <w:tcW w:w="8567" w:type="dxa"/>
            <w:gridSpan w:val="8"/>
          </w:tcPr>
          <w:p w14:paraId="4B5F27E8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  <w:p w14:paraId="4E1A315C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岳阳市岳阳楼区教育建设服务中心</w:t>
            </w:r>
          </w:p>
        </w:tc>
      </w:tr>
      <w:tr w14:paraId="423EFF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268" w:type="dxa"/>
            <w:vMerge w:val="restart"/>
            <w:tcBorders>
              <w:bottom w:val="nil"/>
            </w:tcBorders>
          </w:tcPr>
          <w:p w14:paraId="0D6EF417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  <w:p w14:paraId="567A314E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年度预</w:t>
            </w:r>
          </w:p>
          <w:p w14:paraId="0D70D081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算申请</w:t>
            </w:r>
          </w:p>
          <w:p w14:paraId="3D89F598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(万元)</w:t>
            </w:r>
          </w:p>
        </w:tc>
        <w:tc>
          <w:tcPr>
            <w:tcW w:w="1924" w:type="dxa"/>
            <w:gridSpan w:val="2"/>
            <w:vAlign w:val="center"/>
          </w:tcPr>
          <w:p w14:paraId="67CD5346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</w:tc>
        <w:tc>
          <w:tcPr>
            <w:tcW w:w="1405" w:type="dxa"/>
            <w:vAlign w:val="center"/>
          </w:tcPr>
          <w:p w14:paraId="1ED7BA05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年初预算数</w:t>
            </w:r>
          </w:p>
        </w:tc>
        <w:tc>
          <w:tcPr>
            <w:tcW w:w="1183" w:type="dxa"/>
            <w:vAlign w:val="center"/>
          </w:tcPr>
          <w:p w14:paraId="299A26DD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全年预算数</w:t>
            </w:r>
          </w:p>
        </w:tc>
        <w:tc>
          <w:tcPr>
            <w:tcW w:w="1259" w:type="dxa"/>
            <w:vAlign w:val="center"/>
          </w:tcPr>
          <w:p w14:paraId="5ED49526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全年执行数</w:t>
            </w:r>
          </w:p>
        </w:tc>
        <w:tc>
          <w:tcPr>
            <w:tcW w:w="719" w:type="dxa"/>
            <w:vAlign w:val="center"/>
          </w:tcPr>
          <w:p w14:paraId="0C339591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分值</w:t>
            </w:r>
          </w:p>
        </w:tc>
        <w:tc>
          <w:tcPr>
            <w:tcW w:w="974" w:type="dxa"/>
            <w:vAlign w:val="center"/>
          </w:tcPr>
          <w:p w14:paraId="5683EEAD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执行率</w:t>
            </w:r>
          </w:p>
        </w:tc>
        <w:tc>
          <w:tcPr>
            <w:tcW w:w="1103" w:type="dxa"/>
            <w:vAlign w:val="center"/>
          </w:tcPr>
          <w:p w14:paraId="6C3E0C98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得分</w:t>
            </w:r>
          </w:p>
        </w:tc>
      </w:tr>
      <w:tr w14:paraId="57CCF3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268" w:type="dxa"/>
            <w:vMerge w:val="continue"/>
            <w:tcBorders>
              <w:top w:val="nil"/>
              <w:bottom w:val="nil"/>
            </w:tcBorders>
          </w:tcPr>
          <w:p w14:paraId="0E54B181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</w:tc>
        <w:tc>
          <w:tcPr>
            <w:tcW w:w="1924" w:type="dxa"/>
            <w:gridSpan w:val="2"/>
            <w:vAlign w:val="center"/>
          </w:tcPr>
          <w:p w14:paraId="4C9DAE62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年度资金总额</w:t>
            </w:r>
          </w:p>
        </w:tc>
        <w:tc>
          <w:tcPr>
            <w:tcW w:w="1405" w:type="dxa"/>
            <w:vAlign w:val="center"/>
          </w:tcPr>
          <w:p w14:paraId="4994F0C4">
            <w:pPr>
              <w:spacing w:before="33" w:line="198" w:lineRule="auto"/>
              <w:ind w:right="118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val="en-US" w:eastAsia="zh-CN"/>
              </w:rPr>
              <w:t>16.43</w:t>
            </w:r>
          </w:p>
        </w:tc>
        <w:tc>
          <w:tcPr>
            <w:tcW w:w="1183" w:type="dxa"/>
            <w:vAlign w:val="center"/>
          </w:tcPr>
          <w:p w14:paraId="28C639E0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7109.79</w:t>
            </w:r>
          </w:p>
        </w:tc>
        <w:tc>
          <w:tcPr>
            <w:tcW w:w="1259" w:type="dxa"/>
            <w:vAlign w:val="center"/>
          </w:tcPr>
          <w:p w14:paraId="65695BC5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6679.44</w:t>
            </w:r>
          </w:p>
        </w:tc>
        <w:tc>
          <w:tcPr>
            <w:tcW w:w="719" w:type="dxa"/>
            <w:vAlign w:val="center"/>
          </w:tcPr>
          <w:p w14:paraId="1B6E8CAF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10</w:t>
            </w:r>
          </w:p>
        </w:tc>
        <w:tc>
          <w:tcPr>
            <w:tcW w:w="974" w:type="dxa"/>
            <w:vAlign w:val="center"/>
          </w:tcPr>
          <w:p w14:paraId="29B730B1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val="en-US" w:eastAsia="zh-CN"/>
              </w:rPr>
              <w:t>93.95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%</w:t>
            </w:r>
          </w:p>
        </w:tc>
        <w:tc>
          <w:tcPr>
            <w:tcW w:w="1103" w:type="dxa"/>
            <w:vAlign w:val="center"/>
          </w:tcPr>
          <w:p w14:paraId="07C98E33">
            <w:pPr>
              <w:spacing w:before="33" w:line="198" w:lineRule="auto"/>
              <w:ind w:right="118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val="en-US" w:eastAsia="zh-CN"/>
              </w:rPr>
              <w:t>9.4</w:t>
            </w:r>
          </w:p>
        </w:tc>
      </w:tr>
      <w:tr w14:paraId="058352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1268" w:type="dxa"/>
            <w:vMerge w:val="continue"/>
            <w:tcBorders>
              <w:top w:val="nil"/>
              <w:bottom w:val="nil"/>
            </w:tcBorders>
          </w:tcPr>
          <w:p w14:paraId="612ADEBA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</w:tc>
        <w:tc>
          <w:tcPr>
            <w:tcW w:w="4512" w:type="dxa"/>
            <w:gridSpan w:val="4"/>
            <w:vAlign w:val="center"/>
          </w:tcPr>
          <w:p w14:paraId="16A74F04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按收入性质分：</w:t>
            </w:r>
          </w:p>
        </w:tc>
        <w:tc>
          <w:tcPr>
            <w:tcW w:w="4055" w:type="dxa"/>
            <w:gridSpan w:val="4"/>
            <w:vAlign w:val="center"/>
          </w:tcPr>
          <w:p w14:paraId="188EBC15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按支出性质分：</w:t>
            </w:r>
          </w:p>
        </w:tc>
      </w:tr>
      <w:tr w14:paraId="0317EB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1268" w:type="dxa"/>
            <w:vMerge w:val="continue"/>
            <w:tcBorders>
              <w:top w:val="nil"/>
              <w:bottom w:val="nil"/>
            </w:tcBorders>
          </w:tcPr>
          <w:p w14:paraId="4E25F434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</w:tc>
        <w:tc>
          <w:tcPr>
            <w:tcW w:w="4512" w:type="dxa"/>
            <w:gridSpan w:val="4"/>
            <w:vAlign w:val="center"/>
          </w:tcPr>
          <w:p w14:paraId="2966A34C">
            <w:pPr>
              <w:spacing w:before="33" w:line="198" w:lineRule="auto"/>
              <w:ind w:right="118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其中：一般公共预算：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val="en-US" w:eastAsia="zh-CN"/>
              </w:rPr>
              <w:t>6679.44</w:t>
            </w:r>
          </w:p>
        </w:tc>
        <w:tc>
          <w:tcPr>
            <w:tcW w:w="4055" w:type="dxa"/>
            <w:gridSpan w:val="4"/>
            <w:vAlign w:val="center"/>
          </w:tcPr>
          <w:p w14:paraId="5732A591">
            <w:pPr>
              <w:spacing w:before="33" w:line="198" w:lineRule="auto"/>
              <w:ind w:right="118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其中：基本支出：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val="en-US" w:eastAsia="zh-CN"/>
              </w:rPr>
              <w:t>12.36</w:t>
            </w:r>
          </w:p>
        </w:tc>
      </w:tr>
      <w:tr w14:paraId="6F79A2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268" w:type="dxa"/>
            <w:vMerge w:val="continue"/>
            <w:tcBorders>
              <w:top w:val="nil"/>
              <w:bottom w:val="nil"/>
            </w:tcBorders>
          </w:tcPr>
          <w:p w14:paraId="6B6B6C78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</w:tc>
        <w:tc>
          <w:tcPr>
            <w:tcW w:w="4512" w:type="dxa"/>
            <w:gridSpan w:val="4"/>
            <w:vAlign w:val="center"/>
          </w:tcPr>
          <w:p w14:paraId="449235B9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政府性基金拨款：</w:t>
            </w:r>
          </w:p>
        </w:tc>
        <w:tc>
          <w:tcPr>
            <w:tcW w:w="4055" w:type="dxa"/>
            <w:gridSpan w:val="4"/>
            <w:vAlign w:val="center"/>
          </w:tcPr>
          <w:p w14:paraId="2D3AEDD2">
            <w:pPr>
              <w:spacing w:before="33" w:line="198" w:lineRule="auto"/>
              <w:ind w:right="118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项目支出：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val="en-US" w:eastAsia="zh-CN"/>
              </w:rPr>
              <w:t>6667.08</w:t>
            </w:r>
          </w:p>
        </w:tc>
      </w:tr>
      <w:tr w14:paraId="3AF34F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268" w:type="dxa"/>
            <w:vMerge w:val="continue"/>
            <w:tcBorders>
              <w:top w:val="nil"/>
              <w:bottom w:val="nil"/>
            </w:tcBorders>
          </w:tcPr>
          <w:p w14:paraId="1B9924BE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</w:tc>
        <w:tc>
          <w:tcPr>
            <w:tcW w:w="4512" w:type="dxa"/>
            <w:gridSpan w:val="4"/>
            <w:vAlign w:val="center"/>
          </w:tcPr>
          <w:p w14:paraId="79301438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纳入专户管理的非税收入拨款：</w:t>
            </w:r>
          </w:p>
        </w:tc>
        <w:tc>
          <w:tcPr>
            <w:tcW w:w="4055" w:type="dxa"/>
            <w:gridSpan w:val="4"/>
            <w:vAlign w:val="center"/>
          </w:tcPr>
          <w:p w14:paraId="1F264C86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</w:tc>
      </w:tr>
      <w:tr w14:paraId="21C451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268" w:type="dxa"/>
            <w:vMerge w:val="continue"/>
            <w:tcBorders>
              <w:top w:val="nil"/>
            </w:tcBorders>
          </w:tcPr>
          <w:p w14:paraId="2D586E11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</w:tc>
        <w:tc>
          <w:tcPr>
            <w:tcW w:w="4512" w:type="dxa"/>
            <w:gridSpan w:val="4"/>
            <w:vAlign w:val="center"/>
          </w:tcPr>
          <w:p w14:paraId="286643B4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其他资金：</w:t>
            </w:r>
          </w:p>
        </w:tc>
        <w:tc>
          <w:tcPr>
            <w:tcW w:w="4055" w:type="dxa"/>
            <w:gridSpan w:val="4"/>
            <w:vAlign w:val="center"/>
          </w:tcPr>
          <w:p w14:paraId="2C09B884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</w:tc>
      </w:tr>
      <w:tr w14:paraId="0A0198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268" w:type="dxa"/>
            <w:vMerge w:val="restart"/>
            <w:tcBorders>
              <w:bottom w:val="nil"/>
            </w:tcBorders>
          </w:tcPr>
          <w:p w14:paraId="63272A44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年度总体 目 标</w:t>
            </w:r>
          </w:p>
        </w:tc>
        <w:tc>
          <w:tcPr>
            <w:tcW w:w="4512" w:type="dxa"/>
            <w:gridSpan w:val="4"/>
            <w:vAlign w:val="center"/>
          </w:tcPr>
          <w:p w14:paraId="0C5C21BF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预期目标</w:t>
            </w:r>
          </w:p>
        </w:tc>
        <w:tc>
          <w:tcPr>
            <w:tcW w:w="4055" w:type="dxa"/>
            <w:gridSpan w:val="4"/>
            <w:vAlign w:val="center"/>
          </w:tcPr>
          <w:p w14:paraId="779EE6FE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实际完成情况</w:t>
            </w:r>
          </w:p>
        </w:tc>
      </w:tr>
      <w:tr w14:paraId="3E37F7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268" w:type="dxa"/>
            <w:vMerge w:val="continue"/>
            <w:tcBorders>
              <w:top w:val="nil"/>
            </w:tcBorders>
          </w:tcPr>
          <w:p w14:paraId="77E78A93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</w:tc>
        <w:tc>
          <w:tcPr>
            <w:tcW w:w="4512" w:type="dxa"/>
            <w:gridSpan w:val="4"/>
            <w:vAlign w:val="center"/>
          </w:tcPr>
          <w:p w14:paraId="4519BF8C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负责全区教育系统的项目建设、维修改造和设施设备的添置工作；负责办理或参与相关项目的招标和政府采购工作；参与学校布局调整和建设规划，办理教育建设项目的相关手续。</w:t>
            </w:r>
          </w:p>
        </w:tc>
        <w:tc>
          <w:tcPr>
            <w:tcW w:w="4055" w:type="dxa"/>
            <w:gridSpan w:val="4"/>
            <w:vAlign w:val="center"/>
          </w:tcPr>
          <w:p w14:paraId="7BB2B0AA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楼区教育建设服务中心在项目决策、项目管理方面表现良好。在项目绩效方面，中心完成了年度工作计划各项工作，达到了预定目标要求。根据对社会公众和服务对象学校调查，取得了良好的社会效益。</w:t>
            </w:r>
          </w:p>
        </w:tc>
      </w:tr>
      <w:tr w14:paraId="7EDE77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1268" w:type="dxa"/>
            <w:tcBorders>
              <w:bottom w:val="nil"/>
            </w:tcBorders>
            <w:textDirection w:val="tbRlV"/>
          </w:tcPr>
          <w:p w14:paraId="44C1E227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  <w:p w14:paraId="5B719652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绩效指标</w:t>
            </w:r>
          </w:p>
        </w:tc>
        <w:tc>
          <w:tcPr>
            <w:tcW w:w="895" w:type="dxa"/>
            <w:vAlign w:val="center"/>
          </w:tcPr>
          <w:p w14:paraId="1988609F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一级指标</w:t>
            </w:r>
          </w:p>
        </w:tc>
        <w:tc>
          <w:tcPr>
            <w:tcW w:w="1029" w:type="dxa"/>
            <w:vAlign w:val="center"/>
          </w:tcPr>
          <w:p w14:paraId="076DF707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二级指标</w:t>
            </w:r>
          </w:p>
        </w:tc>
        <w:tc>
          <w:tcPr>
            <w:tcW w:w="1405" w:type="dxa"/>
            <w:vAlign w:val="center"/>
          </w:tcPr>
          <w:p w14:paraId="7B40F097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三级指标</w:t>
            </w:r>
          </w:p>
        </w:tc>
        <w:tc>
          <w:tcPr>
            <w:tcW w:w="1183" w:type="dxa"/>
            <w:vAlign w:val="center"/>
          </w:tcPr>
          <w:p w14:paraId="32BCA9D2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年度指标值</w:t>
            </w:r>
          </w:p>
        </w:tc>
        <w:tc>
          <w:tcPr>
            <w:tcW w:w="1259" w:type="dxa"/>
            <w:vAlign w:val="center"/>
          </w:tcPr>
          <w:p w14:paraId="6216FF62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实际完成值</w:t>
            </w:r>
          </w:p>
        </w:tc>
        <w:tc>
          <w:tcPr>
            <w:tcW w:w="719" w:type="dxa"/>
            <w:vAlign w:val="center"/>
          </w:tcPr>
          <w:p w14:paraId="08B6B41C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分值</w:t>
            </w:r>
          </w:p>
        </w:tc>
        <w:tc>
          <w:tcPr>
            <w:tcW w:w="974" w:type="dxa"/>
            <w:vAlign w:val="center"/>
          </w:tcPr>
          <w:p w14:paraId="442EE017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得分</w:t>
            </w:r>
          </w:p>
        </w:tc>
        <w:tc>
          <w:tcPr>
            <w:tcW w:w="1103" w:type="dxa"/>
            <w:vAlign w:val="center"/>
          </w:tcPr>
          <w:p w14:paraId="0FD316DB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偏差原因分析</w:t>
            </w:r>
          </w:p>
          <w:p w14:paraId="3647A038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及改进措施</w:t>
            </w:r>
          </w:p>
        </w:tc>
      </w:tr>
      <w:tr w14:paraId="537921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1268" w:type="dxa"/>
            <w:vMerge w:val="restart"/>
            <w:tcBorders>
              <w:top w:val="nil"/>
            </w:tcBorders>
            <w:textDirection w:val="tbRlV"/>
          </w:tcPr>
          <w:p w14:paraId="48EDA0C4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</w:tc>
        <w:tc>
          <w:tcPr>
            <w:tcW w:w="895" w:type="dxa"/>
            <w:vMerge w:val="restart"/>
            <w:tcBorders>
              <w:bottom w:val="nil"/>
            </w:tcBorders>
            <w:vAlign w:val="center"/>
          </w:tcPr>
          <w:p w14:paraId="3E768D15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  <w:p w14:paraId="0F3E5D56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  <w:p w14:paraId="1F361468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  <w:p w14:paraId="5F42B68F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  <w:p w14:paraId="0D75BCFC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产出指标</w:t>
            </w:r>
          </w:p>
          <w:p w14:paraId="27047181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(50分)</w:t>
            </w:r>
          </w:p>
        </w:tc>
        <w:tc>
          <w:tcPr>
            <w:tcW w:w="1029" w:type="dxa"/>
            <w:vMerge w:val="restart"/>
            <w:tcBorders>
              <w:bottom w:val="nil"/>
            </w:tcBorders>
            <w:vAlign w:val="center"/>
          </w:tcPr>
          <w:p w14:paraId="324D3159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数量指标</w:t>
            </w:r>
          </w:p>
        </w:tc>
        <w:tc>
          <w:tcPr>
            <w:tcW w:w="1405" w:type="dxa"/>
            <w:vAlign w:val="center"/>
          </w:tcPr>
          <w:p w14:paraId="0BB3C300">
            <w:pPr>
              <w:spacing w:before="33" w:line="198" w:lineRule="auto"/>
              <w:ind w:right="118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val="en-US" w:eastAsia="zh-CN"/>
              </w:rPr>
              <w:t>参与教育建设项目招标率</w:t>
            </w:r>
          </w:p>
        </w:tc>
        <w:tc>
          <w:tcPr>
            <w:tcW w:w="1183" w:type="dxa"/>
            <w:vAlign w:val="center"/>
          </w:tcPr>
          <w:p w14:paraId="01E84510">
            <w:pPr>
              <w:spacing w:before="33" w:line="198" w:lineRule="auto"/>
              <w:ind w:right="118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val="en-US" w:eastAsia="zh-CN"/>
              </w:rPr>
              <w:t>≥100%</w:t>
            </w:r>
          </w:p>
        </w:tc>
        <w:tc>
          <w:tcPr>
            <w:tcW w:w="1259" w:type="dxa"/>
            <w:vAlign w:val="center"/>
          </w:tcPr>
          <w:p w14:paraId="2FF7219B">
            <w:pPr>
              <w:spacing w:before="33" w:line="198" w:lineRule="auto"/>
              <w:ind w:right="118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val="en-US" w:eastAsia="zh-CN"/>
              </w:rPr>
              <w:t>100%</w:t>
            </w:r>
          </w:p>
        </w:tc>
        <w:tc>
          <w:tcPr>
            <w:tcW w:w="719" w:type="dxa"/>
            <w:vAlign w:val="center"/>
          </w:tcPr>
          <w:p w14:paraId="29EDEBCF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10</w:t>
            </w:r>
          </w:p>
        </w:tc>
        <w:tc>
          <w:tcPr>
            <w:tcW w:w="974" w:type="dxa"/>
            <w:vAlign w:val="center"/>
          </w:tcPr>
          <w:p w14:paraId="4E0B1F45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10</w:t>
            </w:r>
          </w:p>
        </w:tc>
        <w:tc>
          <w:tcPr>
            <w:tcW w:w="1103" w:type="dxa"/>
            <w:vAlign w:val="center"/>
          </w:tcPr>
          <w:p w14:paraId="0BC8822A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</w:tc>
      </w:tr>
      <w:tr w14:paraId="6A4127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268" w:type="dxa"/>
            <w:vMerge w:val="continue"/>
            <w:tcBorders>
              <w:top w:val="nil"/>
              <w:bottom w:val="nil"/>
            </w:tcBorders>
            <w:textDirection w:val="tbRlV"/>
          </w:tcPr>
          <w:p w14:paraId="337B20E7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</w:tc>
        <w:tc>
          <w:tcPr>
            <w:tcW w:w="895" w:type="dxa"/>
            <w:vMerge w:val="continue"/>
            <w:tcBorders>
              <w:top w:val="nil"/>
              <w:bottom w:val="nil"/>
            </w:tcBorders>
            <w:vAlign w:val="center"/>
          </w:tcPr>
          <w:p w14:paraId="235AD6CF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</w:tc>
        <w:tc>
          <w:tcPr>
            <w:tcW w:w="1029" w:type="dxa"/>
            <w:vMerge w:val="continue"/>
            <w:tcBorders>
              <w:top w:val="nil"/>
              <w:bottom w:val="nil"/>
            </w:tcBorders>
            <w:vAlign w:val="center"/>
          </w:tcPr>
          <w:p w14:paraId="61BBD465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</w:tc>
        <w:tc>
          <w:tcPr>
            <w:tcW w:w="1405" w:type="dxa"/>
            <w:vAlign w:val="center"/>
          </w:tcPr>
          <w:p w14:paraId="3D8619F9">
            <w:pPr>
              <w:spacing w:before="33" w:line="198" w:lineRule="auto"/>
              <w:ind w:right="118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val="en-US" w:eastAsia="zh-CN"/>
              </w:rPr>
              <w:t>中小学校改造项目数</w:t>
            </w:r>
          </w:p>
        </w:tc>
        <w:tc>
          <w:tcPr>
            <w:tcW w:w="1183" w:type="dxa"/>
            <w:vAlign w:val="center"/>
          </w:tcPr>
          <w:p w14:paraId="6AF6758B">
            <w:pPr>
              <w:spacing w:before="33" w:line="198" w:lineRule="auto"/>
              <w:ind w:right="118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val="en-US" w:eastAsia="zh-CN"/>
              </w:rPr>
              <w:t>≥50个</w:t>
            </w:r>
          </w:p>
        </w:tc>
        <w:tc>
          <w:tcPr>
            <w:tcW w:w="1259" w:type="dxa"/>
            <w:vAlign w:val="center"/>
          </w:tcPr>
          <w:p w14:paraId="2108282C">
            <w:pPr>
              <w:spacing w:before="33" w:line="198" w:lineRule="auto"/>
              <w:ind w:right="118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val="en-US" w:eastAsia="zh-CN"/>
              </w:rPr>
              <w:t>73个</w:t>
            </w:r>
          </w:p>
        </w:tc>
        <w:tc>
          <w:tcPr>
            <w:tcW w:w="719" w:type="dxa"/>
            <w:vAlign w:val="center"/>
          </w:tcPr>
          <w:p w14:paraId="5810D660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10</w:t>
            </w:r>
          </w:p>
        </w:tc>
        <w:tc>
          <w:tcPr>
            <w:tcW w:w="974" w:type="dxa"/>
            <w:vAlign w:val="center"/>
          </w:tcPr>
          <w:p w14:paraId="3777CB09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10</w:t>
            </w:r>
          </w:p>
        </w:tc>
        <w:tc>
          <w:tcPr>
            <w:tcW w:w="1103" w:type="dxa"/>
            <w:vAlign w:val="center"/>
          </w:tcPr>
          <w:p w14:paraId="528AA925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</w:tc>
      </w:tr>
      <w:tr w14:paraId="557A53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268" w:type="dxa"/>
            <w:vMerge w:val="continue"/>
            <w:tcBorders>
              <w:top w:val="nil"/>
              <w:bottom w:val="nil"/>
            </w:tcBorders>
            <w:textDirection w:val="tbRlV"/>
          </w:tcPr>
          <w:p w14:paraId="32D4A0A1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</w:tc>
        <w:tc>
          <w:tcPr>
            <w:tcW w:w="895" w:type="dxa"/>
            <w:vMerge w:val="continue"/>
            <w:tcBorders>
              <w:top w:val="nil"/>
              <w:bottom w:val="nil"/>
            </w:tcBorders>
            <w:vAlign w:val="center"/>
          </w:tcPr>
          <w:p w14:paraId="11FFD52F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</w:tc>
        <w:tc>
          <w:tcPr>
            <w:tcW w:w="1029" w:type="dxa"/>
            <w:vMerge w:val="restart"/>
            <w:tcBorders>
              <w:bottom w:val="nil"/>
            </w:tcBorders>
            <w:vAlign w:val="center"/>
          </w:tcPr>
          <w:p w14:paraId="335FE770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highlight w:val="none"/>
              </w:rPr>
              <w:t>质量指标</w:t>
            </w:r>
          </w:p>
        </w:tc>
        <w:tc>
          <w:tcPr>
            <w:tcW w:w="1405" w:type="dxa"/>
            <w:vAlign w:val="center"/>
          </w:tcPr>
          <w:p w14:paraId="4D66DC6D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设计要求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val="en-US" w:eastAsia="zh-CN"/>
              </w:rPr>
              <w:t>达标率</w:t>
            </w:r>
          </w:p>
        </w:tc>
        <w:tc>
          <w:tcPr>
            <w:tcW w:w="1183" w:type="dxa"/>
            <w:vAlign w:val="center"/>
          </w:tcPr>
          <w:p w14:paraId="25BC5B60">
            <w:pPr>
              <w:spacing w:before="33" w:line="198" w:lineRule="auto"/>
              <w:ind w:right="118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val="en-US" w:eastAsia="zh-CN"/>
              </w:rPr>
              <w:t>≥100%</w:t>
            </w:r>
          </w:p>
        </w:tc>
        <w:tc>
          <w:tcPr>
            <w:tcW w:w="1259" w:type="dxa"/>
            <w:vAlign w:val="center"/>
          </w:tcPr>
          <w:p w14:paraId="46672139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100%</w:t>
            </w:r>
          </w:p>
        </w:tc>
        <w:tc>
          <w:tcPr>
            <w:tcW w:w="719" w:type="dxa"/>
            <w:vAlign w:val="center"/>
          </w:tcPr>
          <w:p w14:paraId="2140CBE9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5</w:t>
            </w:r>
          </w:p>
        </w:tc>
        <w:tc>
          <w:tcPr>
            <w:tcW w:w="974" w:type="dxa"/>
            <w:vAlign w:val="center"/>
          </w:tcPr>
          <w:p w14:paraId="1240B7F2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5</w:t>
            </w:r>
          </w:p>
        </w:tc>
        <w:tc>
          <w:tcPr>
            <w:tcW w:w="1103" w:type="dxa"/>
            <w:vAlign w:val="center"/>
          </w:tcPr>
          <w:p w14:paraId="411AF604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</w:tc>
      </w:tr>
      <w:tr w14:paraId="1BBF56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68" w:type="dxa"/>
            <w:vMerge w:val="continue"/>
            <w:tcBorders>
              <w:top w:val="nil"/>
              <w:bottom w:val="nil"/>
            </w:tcBorders>
            <w:textDirection w:val="tbRlV"/>
          </w:tcPr>
          <w:p w14:paraId="4C97DE11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</w:tc>
        <w:tc>
          <w:tcPr>
            <w:tcW w:w="895" w:type="dxa"/>
            <w:vMerge w:val="continue"/>
            <w:tcBorders>
              <w:top w:val="nil"/>
              <w:bottom w:val="nil"/>
            </w:tcBorders>
            <w:vAlign w:val="center"/>
          </w:tcPr>
          <w:p w14:paraId="6F7F9862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</w:tc>
        <w:tc>
          <w:tcPr>
            <w:tcW w:w="1029" w:type="dxa"/>
            <w:vMerge w:val="continue"/>
            <w:tcBorders>
              <w:top w:val="nil"/>
              <w:bottom w:val="nil"/>
            </w:tcBorders>
            <w:vAlign w:val="center"/>
          </w:tcPr>
          <w:p w14:paraId="402050CA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</w:tc>
        <w:tc>
          <w:tcPr>
            <w:tcW w:w="1405" w:type="dxa"/>
            <w:vAlign w:val="center"/>
          </w:tcPr>
          <w:p w14:paraId="27D6B26E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维修改造安全事故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val="en-US" w:eastAsia="zh-CN"/>
              </w:rPr>
              <w:t>率</w:t>
            </w:r>
          </w:p>
        </w:tc>
        <w:tc>
          <w:tcPr>
            <w:tcW w:w="1183" w:type="dxa"/>
            <w:vAlign w:val="center"/>
          </w:tcPr>
          <w:p w14:paraId="725181C6">
            <w:pPr>
              <w:spacing w:before="33" w:line="198" w:lineRule="auto"/>
              <w:ind w:right="118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val="en-US" w:eastAsia="zh-CN"/>
              </w:rPr>
              <w:t>无事故</w:t>
            </w:r>
          </w:p>
        </w:tc>
        <w:tc>
          <w:tcPr>
            <w:tcW w:w="1259" w:type="dxa"/>
            <w:vAlign w:val="center"/>
          </w:tcPr>
          <w:p w14:paraId="49D82247">
            <w:pPr>
              <w:spacing w:before="33" w:line="198" w:lineRule="auto"/>
              <w:ind w:right="118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val="en-US" w:eastAsia="zh-CN"/>
              </w:rPr>
              <w:t>无事故</w:t>
            </w:r>
          </w:p>
        </w:tc>
        <w:tc>
          <w:tcPr>
            <w:tcW w:w="719" w:type="dxa"/>
            <w:vAlign w:val="center"/>
          </w:tcPr>
          <w:p w14:paraId="07423D53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5</w:t>
            </w:r>
          </w:p>
        </w:tc>
        <w:tc>
          <w:tcPr>
            <w:tcW w:w="974" w:type="dxa"/>
            <w:vAlign w:val="center"/>
          </w:tcPr>
          <w:p w14:paraId="2167B167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5</w:t>
            </w:r>
          </w:p>
        </w:tc>
        <w:tc>
          <w:tcPr>
            <w:tcW w:w="1103" w:type="dxa"/>
            <w:vAlign w:val="center"/>
          </w:tcPr>
          <w:p w14:paraId="2008F264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</w:tc>
      </w:tr>
      <w:tr w14:paraId="6EFD13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268" w:type="dxa"/>
            <w:vMerge w:val="continue"/>
            <w:tcBorders>
              <w:top w:val="nil"/>
              <w:bottom w:val="nil"/>
            </w:tcBorders>
            <w:textDirection w:val="tbRlV"/>
          </w:tcPr>
          <w:p w14:paraId="07898769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</w:tc>
        <w:tc>
          <w:tcPr>
            <w:tcW w:w="895" w:type="dxa"/>
            <w:vMerge w:val="continue"/>
            <w:tcBorders>
              <w:top w:val="nil"/>
              <w:bottom w:val="nil"/>
            </w:tcBorders>
            <w:vAlign w:val="center"/>
          </w:tcPr>
          <w:p w14:paraId="0B5DDD90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</w:tc>
        <w:tc>
          <w:tcPr>
            <w:tcW w:w="1029" w:type="dxa"/>
            <w:tcBorders>
              <w:bottom w:val="nil"/>
            </w:tcBorders>
            <w:vAlign w:val="center"/>
          </w:tcPr>
          <w:p w14:paraId="6C6F2DAF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highlight w:val="none"/>
              </w:rPr>
              <w:t>时效指标</w:t>
            </w:r>
          </w:p>
        </w:tc>
        <w:tc>
          <w:tcPr>
            <w:tcW w:w="1405" w:type="dxa"/>
            <w:vAlign w:val="center"/>
          </w:tcPr>
          <w:p w14:paraId="667934F9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计划内完成任务</w:t>
            </w:r>
          </w:p>
        </w:tc>
        <w:tc>
          <w:tcPr>
            <w:tcW w:w="1183" w:type="dxa"/>
            <w:vAlign w:val="center"/>
          </w:tcPr>
          <w:p w14:paraId="33560CF4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val="en-US" w:eastAsia="zh-CN"/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年12月31日</w:t>
            </w:r>
          </w:p>
        </w:tc>
        <w:tc>
          <w:tcPr>
            <w:tcW w:w="1259" w:type="dxa"/>
            <w:vAlign w:val="center"/>
          </w:tcPr>
          <w:p w14:paraId="4BBFD5C4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val="en-US" w:eastAsia="zh-CN"/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年12月31日</w:t>
            </w:r>
          </w:p>
        </w:tc>
        <w:tc>
          <w:tcPr>
            <w:tcW w:w="719" w:type="dxa"/>
            <w:vAlign w:val="center"/>
          </w:tcPr>
          <w:p w14:paraId="502B269D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10</w:t>
            </w:r>
          </w:p>
        </w:tc>
        <w:tc>
          <w:tcPr>
            <w:tcW w:w="974" w:type="dxa"/>
            <w:vAlign w:val="center"/>
          </w:tcPr>
          <w:p w14:paraId="1338FC9B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10</w:t>
            </w:r>
          </w:p>
        </w:tc>
        <w:tc>
          <w:tcPr>
            <w:tcW w:w="1103" w:type="dxa"/>
            <w:vAlign w:val="center"/>
          </w:tcPr>
          <w:p w14:paraId="3732B9F4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</w:tc>
      </w:tr>
      <w:tr w14:paraId="633B32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1268" w:type="dxa"/>
            <w:vMerge w:val="continue"/>
            <w:tcBorders>
              <w:top w:val="nil"/>
              <w:bottom w:val="nil"/>
            </w:tcBorders>
            <w:textDirection w:val="tbRlV"/>
          </w:tcPr>
          <w:p w14:paraId="6091B096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</w:tc>
        <w:tc>
          <w:tcPr>
            <w:tcW w:w="895" w:type="dxa"/>
            <w:vMerge w:val="continue"/>
            <w:tcBorders>
              <w:top w:val="nil"/>
              <w:bottom w:val="nil"/>
            </w:tcBorders>
            <w:vAlign w:val="center"/>
          </w:tcPr>
          <w:p w14:paraId="552E9130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</w:tc>
        <w:tc>
          <w:tcPr>
            <w:tcW w:w="1029" w:type="dxa"/>
            <w:tcBorders>
              <w:bottom w:val="nil"/>
            </w:tcBorders>
            <w:vAlign w:val="center"/>
          </w:tcPr>
          <w:p w14:paraId="11EDFC37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highlight w:val="none"/>
              </w:rPr>
              <w:t>成本指标</w:t>
            </w:r>
          </w:p>
        </w:tc>
        <w:tc>
          <w:tcPr>
            <w:tcW w:w="1405" w:type="dxa"/>
            <w:vAlign w:val="center"/>
          </w:tcPr>
          <w:p w14:paraId="5CE4BF41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val="en-US" w:eastAsia="zh-CN"/>
              </w:rPr>
              <w:t>单位支出预算执行</w:t>
            </w:r>
          </w:p>
        </w:tc>
        <w:tc>
          <w:tcPr>
            <w:tcW w:w="1183" w:type="dxa"/>
            <w:vAlign w:val="center"/>
          </w:tcPr>
          <w:p w14:paraId="0FF83D3A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val="en-US" w:eastAsia="zh-CN"/>
              </w:rPr>
              <w:t>≤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6679.44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val="en-US" w:eastAsia="zh-CN"/>
              </w:rPr>
              <w:t>万元</w:t>
            </w:r>
          </w:p>
        </w:tc>
        <w:tc>
          <w:tcPr>
            <w:tcW w:w="1259" w:type="dxa"/>
            <w:vAlign w:val="center"/>
          </w:tcPr>
          <w:p w14:paraId="6344DB81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6679.44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val="en-US" w:eastAsia="zh-CN"/>
              </w:rPr>
              <w:t>万元</w:t>
            </w:r>
          </w:p>
        </w:tc>
        <w:tc>
          <w:tcPr>
            <w:tcW w:w="719" w:type="dxa"/>
            <w:vAlign w:val="center"/>
          </w:tcPr>
          <w:p w14:paraId="0241DF1D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10</w:t>
            </w:r>
          </w:p>
        </w:tc>
        <w:tc>
          <w:tcPr>
            <w:tcW w:w="974" w:type="dxa"/>
            <w:vAlign w:val="center"/>
          </w:tcPr>
          <w:p w14:paraId="7F44C07F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10</w:t>
            </w:r>
          </w:p>
        </w:tc>
        <w:tc>
          <w:tcPr>
            <w:tcW w:w="1103" w:type="dxa"/>
            <w:vAlign w:val="center"/>
          </w:tcPr>
          <w:p w14:paraId="521B6D98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</w:tc>
      </w:tr>
      <w:tr w14:paraId="5ABD76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268" w:type="dxa"/>
            <w:vMerge w:val="continue"/>
            <w:tcBorders>
              <w:top w:val="nil"/>
              <w:bottom w:val="nil"/>
            </w:tcBorders>
            <w:textDirection w:val="tbRlV"/>
          </w:tcPr>
          <w:p w14:paraId="51921D4A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</w:tc>
        <w:tc>
          <w:tcPr>
            <w:tcW w:w="895" w:type="dxa"/>
            <w:vMerge w:val="restart"/>
            <w:tcBorders>
              <w:bottom w:val="nil"/>
            </w:tcBorders>
            <w:vAlign w:val="center"/>
          </w:tcPr>
          <w:p w14:paraId="661B9328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  <w:p w14:paraId="1A494691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  <w:p w14:paraId="456B705E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  <w:p w14:paraId="5B6E9EC9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  <w:p w14:paraId="4CC85D02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效益指标</w:t>
            </w:r>
          </w:p>
          <w:p w14:paraId="4DE0B2EE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(30分)</w:t>
            </w:r>
          </w:p>
        </w:tc>
        <w:tc>
          <w:tcPr>
            <w:tcW w:w="1029" w:type="dxa"/>
            <w:tcBorders>
              <w:bottom w:val="nil"/>
            </w:tcBorders>
            <w:vAlign w:val="center"/>
          </w:tcPr>
          <w:p w14:paraId="2505E249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经济效</w:t>
            </w:r>
          </w:p>
          <w:p w14:paraId="20ABD48A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益指标</w:t>
            </w:r>
          </w:p>
        </w:tc>
        <w:tc>
          <w:tcPr>
            <w:tcW w:w="1405" w:type="dxa"/>
            <w:vAlign w:val="center"/>
          </w:tcPr>
          <w:p w14:paraId="1DEBF367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</w:tc>
        <w:tc>
          <w:tcPr>
            <w:tcW w:w="1183" w:type="dxa"/>
            <w:vAlign w:val="center"/>
          </w:tcPr>
          <w:p w14:paraId="54056A30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</w:tc>
        <w:tc>
          <w:tcPr>
            <w:tcW w:w="1259" w:type="dxa"/>
            <w:vAlign w:val="center"/>
          </w:tcPr>
          <w:p w14:paraId="70A0308D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</w:tc>
        <w:tc>
          <w:tcPr>
            <w:tcW w:w="719" w:type="dxa"/>
            <w:vAlign w:val="center"/>
          </w:tcPr>
          <w:p w14:paraId="4A8D7A78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</w:tc>
        <w:tc>
          <w:tcPr>
            <w:tcW w:w="974" w:type="dxa"/>
            <w:vAlign w:val="center"/>
          </w:tcPr>
          <w:p w14:paraId="50DE2229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</w:tc>
        <w:tc>
          <w:tcPr>
            <w:tcW w:w="1103" w:type="dxa"/>
            <w:vAlign w:val="center"/>
          </w:tcPr>
          <w:p w14:paraId="1AB1AFAE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</w:tc>
      </w:tr>
      <w:tr w14:paraId="40D42B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268" w:type="dxa"/>
            <w:vMerge w:val="continue"/>
            <w:tcBorders>
              <w:top w:val="nil"/>
              <w:bottom w:val="nil"/>
            </w:tcBorders>
            <w:textDirection w:val="tbRlV"/>
          </w:tcPr>
          <w:p w14:paraId="6E80F097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</w:tc>
        <w:tc>
          <w:tcPr>
            <w:tcW w:w="895" w:type="dxa"/>
            <w:vMerge w:val="continue"/>
            <w:tcBorders>
              <w:top w:val="nil"/>
              <w:bottom w:val="nil"/>
            </w:tcBorders>
            <w:vAlign w:val="center"/>
          </w:tcPr>
          <w:p w14:paraId="7E92975D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</w:tc>
        <w:tc>
          <w:tcPr>
            <w:tcW w:w="1029" w:type="dxa"/>
            <w:tcBorders>
              <w:bottom w:val="nil"/>
            </w:tcBorders>
            <w:vAlign w:val="center"/>
          </w:tcPr>
          <w:p w14:paraId="78899DAF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社会效</w:t>
            </w:r>
          </w:p>
          <w:p w14:paraId="28F3FD23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益指标</w:t>
            </w:r>
          </w:p>
        </w:tc>
        <w:tc>
          <w:tcPr>
            <w:tcW w:w="1405" w:type="dxa"/>
            <w:vAlign w:val="center"/>
          </w:tcPr>
          <w:p w14:paraId="5903A1C7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改善学校办学条件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val="en-US" w:eastAsia="zh-CN"/>
              </w:rPr>
              <w:t>，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优化教育教学条件，提高学校好评度</w:t>
            </w:r>
          </w:p>
        </w:tc>
        <w:tc>
          <w:tcPr>
            <w:tcW w:w="1183" w:type="dxa"/>
            <w:vAlign w:val="center"/>
          </w:tcPr>
          <w:p w14:paraId="01CFD5D4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有所提升</w:t>
            </w:r>
          </w:p>
        </w:tc>
        <w:tc>
          <w:tcPr>
            <w:tcW w:w="1259" w:type="dxa"/>
            <w:vAlign w:val="center"/>
          </w:tcPr>
          <w:p w14:paraId="457B4AF5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有所提升</w:t>
            </w:r>
          </w:p>
        </w:tc>
        <w:tc>
          <w:tcPr>
            <w:tcW w:w="719" w:type="dxa"/>
            <w:vAlign w:val="center"/>
          </w:tcPr>
          <w:p w14:paraId="0C3D62F6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10</w:t>
            </w:r>
          </w:p>
        </w:tc>
        <w:tc>
          <w:tcPr>
            <w:tcW w:w="974" w:type="dxa"/>
            <w:vAlign w:val="center"/>
          </w:tcPr>
          <w:p w14:paraId="50AE3FCC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10</w:t>
            </w:r>
          </w:p>
        </w:tc>
        <w:tc>
          <w:tcPr>
            <w:tcW w:w="1103" w:type="dxa"/>
            <w:vAlign w:val="center"/>
          </w:tcPr>
          <w:p w14:paraId="6B931F97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</w:tc>
      </w:tr>
      <w:tr w14:paraId="706409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268" w:type="dxa"/>
            <w:vMerge w:val="continue"/>
            <w:tcBorders>
              <w:top w:val="nil"/>
              <w:bottom w:val="nil"/>
            </w:tcBorders>
            <w:textDirection w:val="tbRlV"/>
          </w:tcPr>
          <w:p w14:paraId="15E70E99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</w:tc>
        <w:tc>
          <w:tcPr>
            <w:tcW w:w="895" w:type="dxa"/>
            <w:vMerge w:val="continue"/>
            <w:tcBorders>
              <w:top w:val="nil"/>
              <w:bottom w:val="nil"/>
            </w:tcBorders>
            <w:vAlign w:val="center"/>
          </w:tcPr>
          <w:p w14:paraId="192EF1DE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</w:tc>
        <w:tc>
          <w:tcPr>
            <w:tcW w:w="1029" w:type="dxa"/>
            <w:tcBorders>
              <w:bottom w:val="nil"/>
            </w:tcBorders>
            <w:vAlign w:val="center"/>
          </w:tcPr>
          <w:p w14:paraId="34865D23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生态效</w:t>
            </w:r>
          </w:p>
          <w:p w14:paraId="48FA00E6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益指标</w:t>
            </w:r>
          </w:p>
        </w:tc>
        <w:tc>
          <w:tcPr>
            <w:tcW w:w="1405" w:type="dxa"/>
            <w:vAlign w:val="center"/>
          </w:tcPr>
          <w:p w14:paraId="1AFBD1D4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通过建设优美校园的宣传教育，提高全体教职人员及学生的生态保护意识</w:t>
            </w:r>
          </w:p>
        </w:tc>
        <w:tc>
          <w:tcPr>
            <w:tcW w:w="1183" w:type="dxa"/>
            <w:vAlign w:val="center"/>
          </w:tcPr>
          <w:p w14:paraId="6088DBB9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有所提高</w:t>
            </w:r>
          </w:p>
        </w:tc>
        <w:tc>
          <w:tcPr>
            <w:tcW w:w="1259" w:type="dxa"/>
            <w:vAlign w:val="center"/>
          </w:tcPr>
          <w:p w14:paraId="1BCD18AB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有所提高</w:t>
            </w:r>
          </w:p>
        </w:tc>
        <w:tc>
          <w:tcPr>
            <w:tcW w:w="719" w:type="dxa"/>
            <w:vAlign w:val="center"/>
          </w:tcPr>
          <w:p w14:paraId="390E9394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10</w:t>
            </w:r>
          </w:p>
        </w:tc>
        <w:tc>
          <w:tcPr>
            <w:tcW w:w="974" w:type="dxa"/>
            <w:vAlign w:val="center"/>
          </w:tcPr>
          <w:p w14:paraId="631F7916">
            <w:pPr>
              <w:spacing w:before="33" w:line="198" w:lineRule="auto"/>
              <w:ind w:right="118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val="en-US" w:eastAsia="zh-CN"/>
              </w:rPr>
              <w:t>9.5</w:t>
            </w:r>
          </w:p>
        </w:tc>
        <w:tc>
          <w:tcPr>
            <w:tcW w:w="1103" w:type="dxa"/>
            <w:vAlign w:val="center"/>
          </w:tcPr>
          <w:p w14:paraId="56B5ADBD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</w:tc>
      </w:tr>
      <w:tr w14:paraId="3AA57C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268" w:type="dxa"/>
            <w:vMerge w:val="continue"/>
            <w:tcBorders>
              <w:top w:val="nil"/>
              <w:bottom w:val="nil"/>
            </w:tcBorders>
            <w:textDirection w:val="tbRlV"/>
          </w:tcPr>
          <w:p w14:paraId="481DEE4E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</w:tc>
        <w:tc>
          <w:tcPr>
            <w:tcW w:w="895" w:type="dxa"/>
            <w:vMerge w:val="continue"/>
            <w:tcBorders>
              <w:top w:val="nil"/>
              <w:bottom w:val="nil"/>
            </w:tcBorders>
            <w:vAlign w:val="center"/>
          </w:tcPr>
          <w:p w14:paraId="2A7774B0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</w:tc>
        <w:tc>
          <w:tcPr>
            <w:tcW w:w="1029" w:type="dxa"/>
            <w:tcBorders>
              <w:bottom w:val="nil"/>
            </w:tcBorders>
            <w:vAlign w:val="center"/>
          </w:tcPr>
          <w:p w14:paraId="40078E4B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可持续影</w:t>
            </w:r>
          </w:p>
          <w:p w14:paraId="6F2DF3F9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响指标</w:t>
            </w:r>
          </w:p>
        </w:tc>
        <w:tc>
          <w:tcPr>
            <w:tcW w:w="1405" w:type="dxa"/>
            <w:vAlign w:val="center"/>
          </w:tcPr>
          <w:p w14:paraId="0AF16354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改善学校办学条件，努力培养合格的公民，如持续发展把校园建设的发展放在首位，通过优美校园的发展带动学生的发展，促进学校的发展、形成学校优良传统、特色特长保持等</w:t>
            </w:r>
          </w:p>
        </w:tc>
        <w:tc>
          <w:tcPr>
            <w:tcW w:w="1183" w:type="dxa"/>
            <w:vAlign w:val="center"/>
          </w:tcPr>
          <w:p w14:paraId="7BCCCC0B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持续发展</w:t>
            </w:r>
          </w:p>
        </w:tc>
        <w:tc>
          <w:tcPr>
            <w:tcW w:w="1259" w:type="dxa"/>
            <w:vAlign w:val="center"/>
          </w:tcPr>
          <w:p w14:paraId="7D391C98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持续发展</w:t>
            </w:r>
          </w:p>
        </w:tc>
        <w:tc>
          <w:tcPr>
            <w:tcW w:w="719" w:type="dxa"/>
            <w:vAlign w:val="center"/>
          </w:tcPr>
          <w:p w14:paraId="490DDC42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10</w:t>
            </w:r>
          </w:p>
        </w:tc>
        <w:tc>
          <w:tcPr>
            <w:tcW w:w="974" w:type="dxa"/>
            <w:vAlign w:val="center"/>
          </w:tcPr>
          <w:p w14:paraId="3D53E73F">
            <w:pPr>
              <w:spacing w:before="33" w:line="198" w:lineRule="auto"/>
              <w:ind w:right="118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val="en-US" w:eastAsia="zh-CN"/>
              </w:rPr>
              <w:t>10</w:t>
            </w:r>
          </w:p>
        </w:tc>
        <w:tc>
          <w:tcPr>
            <w:tcW w:w="1103" w:type="dxa"/>
            <w:vAlign w:val="center"/>
          </w:tcPr>
          <w:p w14:paraId="53AE265E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</w:tc>
      </w:tr>
      <w:tr w14:paraId="0E2D06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</w:trPr>
        <w:tc>
          <w:tcPr>
            <w:tcW w:w="1268" w:type="dxa"/>
            <w:vMerge w:val="continue"/>
            <w:tcBorders>
              <w:top w:val="nil"/>
              <w:bottom w:val="nil"/>
            </w:tcBorders>
            <w:textDirection w:val="tbRlV"/>
          </w:tcPr>
          <w:p w14:paraId="692C3ED1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</w:tc>
        <w:tc>
          <w:tcPr>
            <w:tcW w:w="895" w:type="dxa"/>
            <w:tcBorders>
              <w:bottom w:val="nil"/>
            </w:tcBorders>
            <w:vAlign w:val="center"/>
          </w:tcPr>
          <w:p w14:paraId="3DE1B2D8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满意度</w:t>
            </w:r>
          </w:p>
          <w:p w14:paraId="4D53DBE0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指标</w:t>
            </w:r>
          </w:p>
          <w:p w14:paraId="4F022C13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(10分)</w:t>
            </w:r>
          </w:p>
        </w:tc>
        <w:tc>
          <w:tcPr>
            <w:tcW w:w="1029" w:type="dxa"/>
            <w:tcBorders>
              <w:bottom w:val="nil"/>
            </w:tcBorders>
            <w:vAlign w:val="center"/>
          </w:tcPr>
          <w:p w14:paraId="70DC7A92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服务对象</w:t>
            </w:r>
          </w:p>
          <w:p w14:paraId="50327AB5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满意度指</w:t>
            </w:r>
          </w:p>
          <w:p w14:paraId="3DB08696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标</w:t>
            </w:r>
          </w:p>
        </w:tc>
        <w:tc>
          <w:tcPr>
            <w:tcW w:w="1405" w:type="dxa"/>
            <w:vAlign w:val="center"/>
          </w:tcPr>
          <w:p w14:paraId="484EF8ED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val="en-US" w:eastAsia="zh-CN"/>
              </w:rPr>
              <w:t>社会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满意度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val="en-US" w:eastAsia="zh-CN"/>
              </w:rPr>
              <w:t>师生，家长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eastAsia="zh-CN"/>
              </w:rPr>
              <w:t>）</w:t>
            </w:r>
          </w:p>
        </w:tc>
        <w:tc>
          <w:tcPr>
            <w:tcW w:w="1183" w:type="dxa"/>
            <w:vAlign w:val="center"/>
          </w:tcPr>
          <w:p w14:paraId="7CF4AD78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≧9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val="en-US" w:eastAsia="zh-CN"/>
              </w:rPr>
              <w:t>5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%</w:t>
            </w:r>
          </w:p>
        </w:tc>
        <w:tc>
          <w:tcPr>
            <w:tcW w:w="1259" w:type="dxa"/>
            <w:vAlign w:val="center"/>
          </w:tcPr>
          <w:p w14:paraId="36F9A945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≧98%</w:t>
            </w:r>
          </w:p>
        </w:tc>
        <w:tc>
          <w:tcPr>
            <w:tcW w:w="719" w:type="dxa"/>
            <w:vAlign w:val="center"/>
          </w:tcPr>
          <w:p w14:paraId="314FCA9B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10</w:t>
            </w:r>
          </w:p>
        </w:tc>
        <w:tc>
          <w:tcPr>
            <w:tcW w:w="974" w:type="dxa"/>
            <w:vAlign w:val="center"/>
          </w:tcPr>
          <w:p w14:paraId="67FF28D9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10</w:t>
            </w:r>
          </w:p>
        </w:tc>
        <w:tc>
          <w:tcPr>
            <w:tcW w:w="1103" w:type="dxa"/>
            <w:vAlign w:val="center"/>
          </w:tcPr>
          <w:p w14:paraId="12F3CCB4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</w:p>
        </w:tc>
      </w:tr>
      <w:tr w14:paraId="1CEB1D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039" w:type="dxa"/>
            <w:gridSpan w:val="6"/>
            <w:vAlign w:val="center"/>
          </w:tcPr>
          <w:p w14:paraId="56A06026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drawing>
                <wp:inline distT="0" distB="0" distL="114300" distR="114300">
                  <wp:extent cx="297815" cy="158750"/>
                  <wp:effectExtent l="0" t="0" r="6985" b="13335"/>
                  <wp:docPr id="3" name="图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81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" w:type="dxa"/>
            <w:vAlign w:val="center"/>
          </w:tcPr>
          <w:p w14:paraId="6A43B79B">
            <w:pPr>
              <w:spacing w:before="33" w:line="198" w:lineRule="auto"/>
              <w:ind w:right="11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</w:rPr>
              <w:t>100</w:t>
            </w:r>
          </w:p>
        </w:tc>
        <w:tc>
          <w:tcPr>
            <w:tcW w:w="974" w:type="dxa"/>
            <w:vAlign w:val="center"/>
          </w:tcPr>
          <w:p w14:paraId="58C6B410">
            <w:pPr>
              <w:spacing w:before="33" w:line="198" w:lineRule="auto"/>
              <w:ind w:right="118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val="en-US" w:eastAsia="zh-CN"/>
              </w:rPr>
              <w:t>98.9</w:t>
            </w:r>
          </w:p>
        </w:tc>
        <w:tc>
          <w:tcPr>
            <w:tcW w:w="1103" w:type="dxa"/>
            <w:vAlign w:val="center"/>
          </w:tcPr>
          <w:p w14:paraId="672A3580">
            <w:pPr>
              <w:spacing w:before="33" w:line="198" w:lineRule="auto"/>
              <w:ind w:right="118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pacing w:val="2"/>
                <w:sz w:val="24"/>
                <w:lang w:val="en-US"/>
              </w:rPr>
            </w:pPr>
          </w:p>
        </w:tc>
      </w:tr>
    </w:tbl>
    <w:p w14:paraId="3AEC79EC">
      <w:pPr>
        <w:spacing w:line="410" w:lineRule="exact"/>
        <w:rPr>
          <w:rFonts w:hint="eastAsia" w:asciiTheme="majorEastAsia" w:hAnsiTheme="majorEastAsia" w:eastAsiaTheme="majorEastAsia" w:cstheme="majorEastAsia"/>
          <w:color w:val="000000" w:themeColor="text1"/>
          <w:sz w:val="23"/>
          <w:szCs w:val="23"/>
        </w:rPr>
        <w:sectPr>
          <w:pgSz w:w="11906" w:h="16838"/>
          <w:pgMar w:top="1134" w:right="1417" w:bottom="1134" w:left="1134" w:header="851" w:footer="992" w:gutter="0"/>
          <w:cols w:space="0" w:num="1"/>
          <w:docGrid w:type="lines" w:linePitch="312" w:charSpace="0"/>
        </w:sect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3"/>
          <w:szCs w:val="23"/>
        </w:rPr>
        <w:t xml:space="preserve">填表人： 毛一波 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3"/>
          <w:szCs w:val="23"/>
          <w:lang w:val="en-US" w:eastAsia="zh-CN"/>
        </w:rPr>
        <w:t xml:space="preserve">   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3"/>
          <w:szCs w:val="23"/>
        </w:rPr>
        <w:t>联系电话：18873005256   单位负责人签字：      填报日期：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3"/>
          <w:szCs w:val="23"/>
          <w:lang w:val="en-US" w:eastAsia="zh-CN"/>
        </w:rPr>
        <w:t>2025.07.01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3"/>
          <w:szCs w:val="23"/>
        </w:rPr>
        <w:t xml:space="preserve">    </w:t>
      </w:r>
    </w:p>
    <w:p w14:paraId="0478851E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3</w:t>
      </w:r>
    </w:p>
    <w:p w14:paraId="06A896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仿宋" w:hAnsi="仿宋" w:eastAsia="仿宋" w:cs="仿宋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仿宋" w:hAnsi="仿宋" w:eastAsia="仿宋" w:cs="仿宋"/>
          <w:b w:val="0"/>
          <w:bCs w:val="0"/>
          <w:color w:val="000000"/>
          <w:spacing w:val="2"/>
          <w:sz w:val="42"/>
          <w:szCs w:val="42"/>
          <w:lang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年度项目支出绩效自评表</w:t>
      </w:r>
    </w:p>
    <w:tbl>
      <w:tblPr>
        <w:tblStyle w:val="9"/>
        <w:tblW w:w="985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422"/>
      </w:tblGrid>
      <w:tr w14:paraId="112BD7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noWrap w:val="0"/>
            <w:vAlign w:val="top"/>
          </w:tcPr>
          <w:p w14:paraId="402955A4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737" w:type="dxa"/>
            <w:gridSpan w:val="6"/>
            <w:noWrap w:val="0"/>
            <w:vAlign w:val="top"/>
          </w:tcPr>
          <w:p w14:paraId="014A8A2F">
            <w:pPr>
              <w:widowControl w:val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</w:tr>
      <w:tr w14:paraId="016934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noWrap w:val="0"/>
            <w:vAlign w:val="top"/>
          </w:tcPr>
          <w:p w14:paraId="2014B088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37B88794"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28C731F3">
            <w:pPr>
              <w:spacing w:before="32" w:line="215" w:lineRule="auto"/>
              <w:ind w:left="258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968" w:type="dxa"/>
            <w:gridSpan w:val="3"/>
            <w:noWrap w:val="0"/>
            <w:vAlign w:val="top"/>
          </w:tcPr>
          <w:p w14:paraId="516F4AC3"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57D25C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61313E71">
            <w:pPr>
              <w:spacing w:before="61" w:line="241" w:lineRule="auto"/>
              <w:ind w:right="141"/>
              <w:jc w:val="both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</w:p>
          <w:p w14:paraId="556529BD">
            <w:pPr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44BDA7A9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75D31CE9">
            <w:pPr>
              <w:spacing w:before="31" w:line="217" w:lineRule="auto"/>
              <w:ind w:left="12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3D52C081">
            <w:pPr>
              <w:spacing w:before="31" w:line="217" w:lineRule="auto"/>
              <w:ind w:left="113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7492B606">
            <w:pPr>
              <w:spacing w:before="31" w:line="217" w:lineRule="auto"/>
              <w:ind w:left="146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72DAB731">
            <w:pPr>
              <w:spacing w:before="31" w:line="217" w:lineRule="auto"/>
              <w:ind w:left="144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2E65AF59">
            <w:pPr>
              <w:spacing w:before="31" w:line="217" w:lineRule="auto"/>
              <w:ind w:left="14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22" w:type="dxa"/>
            <w:noWrap w:val="0"/>
            <w:vAlign w:val="top"/>
          </w:tcPr>
          <w:p w14:paraId="43952575">
            <w:pPr>
              <w:spacing w:before="31" w:line="217" w:lineRule="auto"/>
              <w:ind w:left="351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649EFE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9DDB088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00C6F2B3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noWrap w:val="0"/>
            <w:vAlign w:val="top"/>
          </w:tcPr>
          <w:p w14:paraId="56617C3A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44" w:type="dxa"/>
            <w:noWrap w:val="0"/>
            <w:vAlign w:val="top"/>
          </w:tcPr>
          <w:p w14:paraId="55AA05EA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81" w:type="dxa"/>
            <w:noWrap w:val="0"/>
            <w:vAlign w:val="top"/>
          </w:tcPr>
          <w:p w14:paraId="2B09F21E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673" w:type="dxa"/>
            <w:noWrap w:val="0"/>
            <w:vAlign w:val="top"/>
          </w:tcPr>
          <w:p w14:paraId="581E5474">
            <w:pPr>
              <w:spacing w:before="64" w:line="195" w:lineRule="auto"/>
              <w:ind w:left="331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highlight w:val="none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3968B94E"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56AF8D98"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</w:tr>
      <w:tr w14:paraId="257364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38D452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3145C87B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1BA1791E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5D053EB3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09AA8317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2271E87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34343508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4F3ED5E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18784F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88DA108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2A6594E7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624E34FF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2F98A1CE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10C8120E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5263850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1D6E7D9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2FD67488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2CA03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314BA94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4E41A22E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7BB4269E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0F4F4187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6F952DCF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4616364D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0114D716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2C889ADC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1F0EF1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10C8F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236A1C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177BB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4032CB68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249" w:type="dxa"/>
            <w:gridSpan w:val="4"/>
            <w:noWrap w:val="0"/>
            <w:vAlign w:val="top"/>
          </w:tcPr>
          <w:p w14:paraId="502F7170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5E7A03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351FD34F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3EAE5EAF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249" w:type="dxa"/>
            <w:gridSpan w:val="4"/>
            <w:noWrap w:val="0"/>
            <w:vAlign w:val="top"/>
          </w:tcPr>
          <w:p w14:paraId="27EE7F12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403D8D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434CF3E9">
            <w:pPr>
              <w:widowControl w:val="0"/>
              <w:spacing w:line="366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4CF7EE47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noWrap w:val="0"/>
            <w:vAlign w:val="top"/>
          </w:tcPr>
          <w:p w14:paraId="610E99A6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noWrap w:val="0"/>
            <w:vAlign w:val="top"/>
          </w:tcPr>
          <w:p w14:paraId="5714E156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noWrap w:val="0"/>
            <w:vAlign w:val="top"/>
          </w:tcPr>
          <w:p w14:paraId="194C26E5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noWrap w:val="0"/>
            <w:vAlign w:val="top"/>
          </w:tcPr>
          <w:p w14:paraId="4CC3AAE1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3C813FA6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noWrap w:val="0"/>
            <w:vAlign w:val="top"/>
          </w:tcPr>
          <w:p w14:paraId="1B7EAA66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6FC05024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noWrap w:val="0"/>
            <w:vAlign w:val="top"/>
          </w:tcPr>
          <w:p w14:paraId="3EF10D39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4BE92A06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422" w:type="dxa"/>
            <w:noWrap w:val="0"/>
            <w:vAlign w:val="top"/>
          </w:tcPr>
          <w:p w14:paraId="1C1BD458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2145F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1772167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3D1A8FC9">
            <w:pPr>
              <w:widowControl w:val="0"/>
              <w:spacing w:line="256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4D16AC3C">
            <w:pPr>
              <w:widowControl w:val="0"/>
              <w:spacing w:line="256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700BB967">
            <w:pPr>
              <w:widowControl w:val="0"/>
              <w:spacing w:line="256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050F21D9">
            <w:pPr>
              <w:widowControl w:val="0"/>
              <w:spacing w:line="257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61902C91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68C4304B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75B62840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  <w:p w14:paraId="3B03A6DA">
            <w:pPr>
              <w:spacing w:before="126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C71998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07C8038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109AA6A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6E91771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03F5D7E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41F65C6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30D5C4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1BAC9CD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0A17E9A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1253A79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0B4942E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7015B9F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4D713D9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793A307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4DFAC03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4D9BA34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3F76E0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D27380C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631A6C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29F33E1D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20D926C0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1469DC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75FBB9B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43FDE01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705250D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640A280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365842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D41E69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CA72D5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3417B709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  <w:p w14:paraId="259C754E">
            <w:pPr>
              <w:spacing w:before="126" w:line="239" w:lineRule="auto"/>
              <w:ind w:left="379" w:right="175" w:hanging="19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8F36BF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6F0DB76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0F33307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103303E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219D71B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0105896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77958D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9625749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607E21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BF5750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778A674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50A4A2A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6653001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2E62D77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06EA2B3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059483A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26F285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31D3117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1C51E66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37A6CFA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6E61AB59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05AAA93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5CD6953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28AD489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5CBF907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6376FC6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43D60F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24F3209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F639806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6962F8E2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  <w:p w14:paraId="44B22AE9">
            <w:pPr>
              <w:spacing w:before="126" w:line="239" w:lineRule="auto"/>
              <w:ind w:left="379" w:right="175" w:hanging="178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615999F">
            <w:pPr>
              <w:widowControl w:val="0"/>
              <w:spacing w:line="224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3831EEFB">
            <w:pPr>
              <w:widowControl w:val="0"/>
              <w:spacing w:line="224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2E44C49D">
            <w:pPr>
              <w:widowControl w:val="0"/>
              <w:spacing w:line="224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6473B5AA">
            <w:pPr>
              <w:widowControl w:val="0"/>
              <w:spacing w:line="224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10D7217E">
            <w:pPr>
              <w:widowControl w:val="0"/>
              <w:spacing w:line="224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0190B237">
            <w:pPr>
              <w:widowControl w:val="0"/>
              <w:spacing w:line="224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63D82A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B66679F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D752BFE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32F0546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028700E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58DD1F3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1CCFC95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6A3B53D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57A9EDE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52C5625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19E4A0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F8D9F18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63B043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4C3536C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28356ED0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6800A93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591C777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0E91852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5EF019C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619CACB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78108B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0C9DF94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F5A7053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13C8C195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  <w:p w14:paraId="2EA984DD">
            <w:pPr>
              <w:spacing w:before="127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B0A8F5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1CCCE51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77D8FA5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348FC43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3545007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14E463F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0FCF83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BC4D689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B4537CA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AC126C4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340EC02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0FFBE7B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5BD0536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1B11083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1FE0BC2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1E69715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14BAE2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DDD7B4F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2B3A23C4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038B4BC7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6D097E07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458A93B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6B8DBDA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342FC72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1C86CC0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14900B5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586A77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9007E89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52B8E0F0">
            <w:pPr>
              <w:widowControl w:val="0"/>
              <w:spacing w:line="315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5FC5D4BA">
            <w:pPr>
              <w:widowControl w:val="0"/>
              <w:spacing w:line="315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26EBBC8D">
            <w:pPr>
              <w:widowControl w:val="0"/>
              <w:spacing w:line="315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55DE191E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39C4F400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18D6AC2B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357608AE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7DEC354B">
            <w:pPr>
              <w:spacing w:before="127" w:line="239" w:lineRule="auto"/>
              <w:ind w:left="193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DB7642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733EF18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6F80918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508658D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1673F27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73FBE34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730918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D17BF6E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D9B955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68A7F46F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E8E14E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0749D08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57E69D5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6A5ED40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00F0F03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733FCDD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589806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AD26AA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1DCADEE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0311CD7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490AD94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4000F9B1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6099614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797208F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0929814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4A6D8D4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2C5D54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58EF619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24116A4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7FDD603A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4F401423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641C8DEC">
            <w:pPr>
              <w:spacing w:before="127" w:line="239" w:lineRule="auto"/>
              <w:ind w:left="192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08B84C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7B7EFB7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2DA9C8D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21C9336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22C521C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230FE5B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30C3DB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E658EC9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66ED424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1E4321E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0AEC56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1453BEA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40F7EAF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2590A13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38261BF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75FE63A1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6CA2A3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71CEB93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8D1BF56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47310CCF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99DDFF5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444676F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5895E4F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3F0B687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449B885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7D2CFE3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223C09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0AB9CFD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8E6F06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780D6796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368171CE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0F5F56CB">
            <w:pPr>
              <w:spacing w:before="127" w:line="239" w:lineRule="auto"/>
              <w:ind w:left="193" w:right="175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467A00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475ABF8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757909C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3698020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4B0BF671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22A09D3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391EA7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F0E3E37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FAE53AA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213C065A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0BADE0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7DCB6A3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6399C1F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042ED4A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542A449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1B4808B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2AEAF3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EE9A2DE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390633A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7CAA502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6EFB82A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C4B26E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0C3AE47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745C01E1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4925247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5034076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7D8F50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6915A26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57E970C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54112849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37F22C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2A8744B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51686F1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75A08AD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7D3A1B3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43A4348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0412CB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99E9EF4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C9EA30C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552840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71DE20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22F8631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5FC2DE8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6AAD55C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1164B7C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29F8865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24D2BA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8C497B6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34E25CA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2C52C6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B3A643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en-US" w:bidi="ar-SA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8DBFC3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33F00BB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5ECF6E4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2266826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45ABF6C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2ADE3D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44A949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387F439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684ABDC1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2CDAC5B6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A1F4B34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775106D8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760025D8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noWrap w:val="0"/>
            <w:vAlign w:val="top"/>
          </w:tcPr>
          <w:p w14:paraId="34AB07A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43861B9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622675B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56842B1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7C03A18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1CDA2F9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0FCAB2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20E466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32D0F13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E00B7F3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504A12A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0DF2025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2606E04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5B6FFE8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06FC6B6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745F94C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217537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005DAAFA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A5A18C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3B7B2FD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45C45DD9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63E2BB4E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1B8244E7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374C6626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629A220E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77318202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5DAB1D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87" w:type="dxa"/>
            <w:gridSpan w:val="6"/>
            <w:noWrap w:val="0"/>
            <w:vAlign w:val="top"/>
          </w:tcPr>
          <w:p w14:paraId="011A5612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noWrap w:val="0"/>
            <w:vAlign w:val="top"/>
          </w:tcPr>
          <w:p w14:paraId="755F314D">
            <w:pPr>
              <w:spacing w:before="67" w:line="195" w:lineRule="auto"/>
              <w:ind w:left="208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highlight w:val="none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7D7F901C"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555EE3B8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</w:tbl>
    <w:p w14:paraId="10DF53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sectPr>
          <w:footerReference r:id="rId4" w:type="default"/>
          <w:pgSz w:w="11900" w:h="16833"/>
          <w:pgMar w:top="1430" w:right="1017" w:bottom="1445" w:left="1022" w:header="0" w:footer="1169" w:gutter="0"/>
          <w:pgNumType w:fmt="decimal"/>
          <w:cols w:space="720" w:num="1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单位负责人签字：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>毛一波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    联系电话：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3"/>
          <w:szCs w:val="23"/>
        </w:rPr>
        <w:t>18873005256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    填报日期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>2025.07.01</w:t>
      </w:r>
    </w:p>
    <w:p w14:paraId="6FF45FF7">
      <w:pPr>
        <w:rPr>
          <w:rFonts w:hint="eastAsia" w:ascii="黑体" w:hAnsi="黑体" w:eastAsia="黑体" w:cs="黑体"/>
          <w:color w:val="000000" w:themeColor="text1"/>
          <w:spacing w:val="10"/>
          <w:sz w:val="32"/>
          <w:szCs w:val="32"/>
          <w:lang w:eastAsia="zh-CN"/>
        </w:rPr>
      </w:pPr>
    </w:p>
    <w:p w14:paraId="7FA9F786"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pacing w:val="2"/>
          <w:sz w:val="42"/>
          <w:szCs w:val="42"/>
          <w:lang w:val="en-US" w:eastAsia="en-US"/>
        </w:rPr>
      </w:pPr>
    </w:p>
    <w:sectPr>
      <w:footerReference r:id="rId5" w:type="default"/>
      <w:pgSz w:w="11906" w:h="16838"/>
      <w:pgMar w:top="1701" w:right="1701" w:bottom="1701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E6921708-374C-4B3E-BC8D-1E3E5682CB1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2A0E134-AA30-4A34-A2DE-E9BCE010376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0BF5288A-6D5E-4B29-BF07-F5DC4AF7BE6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FD4AC517-F183-47D7-99BA-0E47DA2A6A7E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5" w:fontKey="{FBCD5956-BD51-47E0-A2DA-F4FC130619A5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F5045917-5BFA-41F5-9376-AD01C8AB935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58676939-220C-4CF0-8040-34E56C294869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1FAE6A">
    <w:pPr>
      <w:spacing w:line="14" w:lineRule="auto"/>
      <w:rPr>
        <w:rFonts w:ascii="Arial"/>
        <w:sz w:val="2"/>
      </w:rPr>
    </w:pPr>
    <w:r>
      <w:rPr>
        <w:sz w:val="2"/>
      </w:rPr>
      <w:pict>
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721815B9">
                <w:pPr>
                  <w:pStyle w:val="4"/>
                </w:pPr>
                <w:r>
                  <w:rPr>
                    <w:rFonts w:hint="eastAsia" w:asciiTheme="majorEastAsia" w:hAnsiTheme="majorEastAsia" w:eastAsiaTheme="majorEastAsia" w:cstheme="majorEastAsia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Theme="majorEastAsia" w:hAnsiTheme="majorEastAsia" w:eastAsiaTheme="majorEastAsia" w:cstheme="majorEastAsia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Theme="majorEastAsia" w:hAnsiTheme="majorEastAsia" w:eastAsiaTheme="majorEastAsia" w:cstheme="major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Theme="majorEastAsia" w:hAnsiTheme="majorEastAsia" w:eastAsiaTheme="majorEastAsia" w:cstheme="majorEastAsia"/>
                    <w:sz w:val="28"/>
                    <w:szCs w:val="28"/>
                  </w:rPr>
                  <w:fldChar w:fldCharType="separate"/>
                </w:r>
                <w:r>
                  <w:rPr>
                    <w:rFonts w:asciiTheme="majorEastAsia" w:hAnsiTheme="majorEastAsia" w:eastAsiaTheme="majorEastAsia" w:cstheme="majorEastAsia"/>
                    <w:sz w:val="28"/>
                    <w:szCs w:val="28"/>
                  </w:rPr>
                  <w:t>11</w:t>
                </w:r>
                <w:r>
                  <w:rPr>
                    <w:rFonts w:hint="eastAsia" w:asciiTheme="majorEastAsia" w:hAnsiTheme="majorEastAsia" w:eastAsiaTheme="majorEastAsia" w:cstheme="majorEastAsia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Theme="majorEastAsia" w:hAnsiTheme="majorEastAsia" w:eastAsiaTheme="majorEastAsia" w:cstheme="majorEastAsia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1BE750">
    <w:pPr>
      <w:pStyle w:val="2"/>
      <w:spacing w:before="1" w:line="174" w:lineRule="auto"/>
      <w:ind w:left="574"/>
      <w:rPr>
        <w:sz w:val="28"/>
        <w:szCs w:val="28"/>
      </w:rPr>
    </w:pPr>
    <w:r>
      <w:rPr>
        <w:sz w:val="28"/>
      </w:rPr>
      <w:pict>
        <v:shape id="_x0000_s1028" o:spid="_x0000_s1028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<v:path/>
          <v:fill on="f" focussize="0,0"/>
          <v:stroke on="f" weight="0.5pt"/>
          <v:imagedata o:title=""/>
          <o:lock v:ext="edit" aspectratio="f"/>
          <v:textbox inset="0mm,0mm,0mm,0mm" style="mso-fit-shape-to-text:t;">
            <w:txbxContent>
              <w:p w14:paraId="3962D1FA">
                <w:pPr>
                  <w:widowControl w:val="0"/>
                  <w:snapToGrid w:val="0"/>
                  <w:jc w:val="left"/>
                  <w:rPr>
                    <w:rFonts w:hint="eastAsia" w:ascii="宋体" w:hAnsi="宋体" w:eastAsia="宋体" w:cs="宋体"/>
                    <w:kern w:val="2"/>
                    <w:sz w:val="28"/>
                    <w:szCs w:val="28"/>
                    <w:lang w:val="en-US" w:eastAsia="zh-CN" w:bidi="ar-SA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8"/>
                    <w:szCs w:val="28"/>
                    <w:lang w:val="en-US" w:eastAsia="zh-CN" w:bidi="ar-SA"/>
                  </w:rPr>
                  <w:t xml:space="preserve">— </w:t>
                </w:r>
                <w:r>
                  <w:rPr>
                    <w:rFonts w:hint="eastAsia" w:ascii="宋体" w:hAnsi="宋体" w:eastAsia="宋体" w:cs="宋体"/>
                    <w:kern w:val="2"/>
                    <w:sz w:val="28"/>
                    <w:szCs w:val="28"/>
                    <w:lang w:val="en-US" w:eastAsia="zh-CN" w:bidi="ar-SA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8"/>
                    <w:szCs w:val="28"/>
                    <w:lang w:val="en-US" w:eastAsia="zh-CN" w:bidi="ar-SA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kern w:val="2"/>
                    <w:sz w:val="28"/>
                    <w:szCs w:val="28"/>
                    <w:lang w:val="en-US" w:eastAsia="zh-CN" w:bidi="ar-SA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kern w:val="2"/>
                    <w:sz w:val="28"/>
                    <w:szCs w:val="28"/>
                    <w:lang w:val="en-US" w:eastAsia="zh-CN" w:bidi="ar-SA"/>
                  </w:rPr>
                  <w:t>10</w:t>
                </w:r>
                <w:r>
                  <w:rPr>
                    <w:rFonts w:hint="eastAsia" w:ascii="宋体" w:hAnsi="宋体" w:eastAsia="宋体" w:cs="宋体"/>
                    <w:kern w:val="2"/>
                    <w:sz w:val="28"/>
                    <w:szCs w:val="28"/>
                    <w:lang w:val="en-US" w:eastAsia="zh-CN" w:bidi="ar-SA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8"/>
                    <w:szCs w:val="28"/>
                    <w:lang w:val="en-US" w:eastAsia="zh-CN" w:bidi="ar-SA"/>
                  </w:rPr>
                  <w:t xml:space="preserve"> —</w:t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89647B">
    <w:pPr>
      <w:pStyle w:val="2"/>
      <w:spacing w:before="1" w:line="174" w:lineRule="auto"/>
      <w:ind w:left="574"/>
      <w:rPr>
        <w:sz w:val="28"/>
        <w:szCs w:val="28"/>
      </w:rPr>
    </w:pPr>
    <w:r>
      <w:rPr>
        <w:sz w:val="28"/>
      </w:rPr>
      <w:pict>
        <v:shape id="_x0000_s1027" o:spid="_x0000_s102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<v:path/>
          <v:fill on="f" focussize="0,0"/>
          <v:stroke on="f" weight="0.5pt"/>
          <v:imagedata o:title=""/>
          <o:lock v:ext="edit" aspectratio="f"/>
          <v:textbox inset="0mm,0mm,0mm,0mm" style="mso-fit-shape-to-text:t;">
            <w:txbxContent>
              <w:p w14:paraId="306BE46B">
                <w:pPr>
                  <w:widowControl w:val="0"/>
                  <w:snapToGrid w:val="0"/>
                  <w:jc w:val="left"/>
                  <w:rPr>
                    <w:rFonts w:hint="eastAsia" w:ascii="宋体" w:hAnsi="宋体" w:eastAsia="宋体" w:cs="宋体"/>
                    <w:kern w:val="2"/>
                    <w:sz w:val="28"/>
                    <w:szCs w:val="28"/>
                    <w:lang w:val="en-US" w:eastAsia="zh-CN" w:bidi="ar-SA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8"/>
                    <w:szCs w:val="28"/>
                    <w:lang w:val="en-US" w:eastAsia="zh-CN" w:bidi="ar-SA"/>
                  </w:rPr>
                  <w:t xml:space="preserve">— </w:t>
                </w:r>
                <w:r>
                  <w:rPr>
                    <w:rFonts w:hint="eastAsia" w:ascii="宋体" w:hAnsi="宋体" w:eastAsia="宋体" w:cs="宋体"/>
                    <w:kern w:val="2"/>
                    <w:sz w:val="28"/>
                    <w:szCs w:val="28"/>
                    <w:lang w:val="en-US" w:eastAsia="zh-CN" w:bidi="ar-SA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8"/>
                    <w:szCs w:val="28"/>
                    <w:lang w:val="en-US" w:eastAsia="zh-CN" w:bidi="ar-SA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kern w:val="2"/>
                    <w:sz w:val="28"/>
                    <w:szCs w:val="28"/>
                    <w:lang w:val="en-US" w:eastAsia="zh-CN" w:bidi="ar-SA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kern w:val="2"/>
                    <w:sz w:val="28"/>
                    <w:szCs w:val="28"/>
                    <w:lang w:val="en-US" w:eastAsia="zh-CN" w:bidi="ar-SA"/>
                  </w:rPr>
                  <w:t>10</w:t>
                </w:r>
                <w:r>
                  <w:rPr>
                    <w:rFonts w:hint="eastAsia" w:ascii="宋体" w:hAnsi="宋体" w:eastAsia="宋体" w:cs="宋体"/>
                    <w:kern w:val="2"/>
                    <w:sz w:val="28"/>
                    <w:szCs w:val="28"/>
                    <w:lang w:val="en-US" w:eastAsia="zh-CN" w:bidi="ar-SA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8"/>
                    <w:szCs w:val="28"/>
                    <w:lang w:val="en-US" w:eastAsia="zh-CN" w:bidi="ar-SA"/>
                  </w:rPr>
                  <w:t xml:space="preserve"> —</w:t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2A4C57"/>
    <w:multiLevelType w:val="singleLevel"/>
    <w:tmpl w:val="C02A4C5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01CC291"/>
    <w:multiLevelType w:val="singleLevel"/>
    <w:tmpl w:val="201CC291"/>
    <w:lvl w:ilvl="0" w:tentative="0">
      <w:start w:val="2"/>
      <w:numFmt w:val="chineseCounting"/>
      <w:lvlText w:val="(%1)"/>
      <w:lvlJc w:val="left"/>
      <w:pPr>
        <w:tabs>
          <w:tab w:val="left" w:pos="312"/>
        </w:tabs>
      </w:pPr>
      <w:rPr>
        <w:rFonts w:hint="eastAsia"/>
      </w:rPr>
    </w:lvl>
  </w:abstractNum>
  <w:abstractNum w:abstractNumId="2">
    <w:nsid w:val="6462471E"/>
    <w:multiLevelType w:val="multilevel"/>
    <w:tmpl w:val="6462471E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67FE9596"/>
    <w:multiLevelType w:val="singleLevel"/>
    <w:tmpl w:val="67FE9596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WVjODAxMjBkMDE0YTJjM2QxMjk5MjA4MzEzOGM0OGUifQ=="/>
  </w:docVars>
  <w:rsids>
    <w:rsidRoot w:val="53FC3987"/>
    <w:rsid w:val="0003777D"/>
    <w:rsid w:val="000925BA"/>
    <w:rsid w:val="000A3765"/>
    <w:rsid w:val="00131209"/>
    <w:rsid w:val="00146632"/>
    <w:rsid w:val="001B7C0D"/>
    <w:rsid w:val="001D7282"/>
    <w:rsid w:val="002166B7"/>
    <w:rsid w:val="00243712"/>
    <w:rsid w:val="002D0204"/>
    <w:rsid w:val="00347D5F"/>
    <w:rsid w:val="00353CCC"/>
    <w:rsid w:val="00361E98"/>
    <w:rsid w:val="0039081D"/>
    <w:rsid w:val="003F4BB7"/>
    <w:rsid w:val="0043554A"/>
    <w:rsid w:val="00440B8C"/>
    <w:rsid w:val="00441B5B"/>
    <w:rsid w:val="004A0780"/>
    <w:rsid w:val="004B5091"/>
    <w:rsid w:val="00512375"/>
    <w:rsid w:val="005338B5"/>
    <w:rsid w:val="005E6ECB"/>
    <w:rsid w:val="006F0FCE"/>
    <w:rsid w:val="006F60B3"/>
    <w:rsid w:val="00744EA1"/>
    <w:rsid w:val="007A2F2D"/>
    <w:rsid w:val="007C2A58"/>
    <w:rsid w:val="007D3F58"/>
    <w:rsid w:val="00803D91"/>
    <w:rsid w:val="00842632"/>
    <w:rsid w:val="00863CB3"/>
    <w:rsid w:val="00901E87"/>
    <w:rsid w:val="009419CA"/>
    <w:rsid w:val="009530DC"/>
    <w:rsid w:val="00955854"/>
    <w:rsid w:val="0098012E"/>
    <w:rsid w:val="009C7330"/>
    <w:rsid w:val="009D27E3"/>
    <w:rsid w:val="00A00FBB"/>
    <w:rsid w:val="00A43F9F"/>
    <w:rsid w:val="00B46F5B"/>
    <w:rsid w:val="00B7720A"/>
    <w:rsid w:val="00B7769D"/>
    <w:rsid w:val="00B80DCA"/>
    <w:rsid w:val="00BD6D33"/>
    <w:rsid w:val="00BF0721"/>
    <w:rsid w:val="00C03795"/>
    <w:rsid w:val="00C5657C"/>
    <w:rsid w:val="00C60063"/>
    <w:rsid w:val="00C85F1B"/>
    <w:rsid w:val="00CE3756"/>
    <w:rsid w:val="00D27A74"/>
    <w:rsid w:val="00DB3E1B"/>
    <w:rsid w:val="00E831C8"/>
    <w:rsid w:val="00EA138C"/>
    <w:rsid w:val="00EC17B1"/>
    <w:rsid w:val="00EF287A"/>
    <w:rsid w:val="00F3194A"/>
    <w:rsid w:val="00F7127B"/>
    <w:rsid w:val="01057CDE"/>
    <w:rsid w:val="010B4A82"/>
    <w:rsid w:val="01192786"/>
    <w:rsid w:val="01201E6A"/>
    <w:rsid w:val="012D57C0"/>
    <w:rsid w:val="01457029"/>
    <w:rsid w:val="014900E3"/>
    <w:rsid w:val="014F5749"/>
    <w:rsid w:val="01521E95"/>
    <w:rsid w:val="01727F7E"/>
    <w:rsid w:val="01764DBE"/>
    <w:rsid w:val="01806F8C"/>
    <w:rsid w:val="0182483A"/>
    <w:rsid w:val="01863406"/>
    <w:rsid w:val="018D011E"/>
    <w:rsid w:val="019614B0"/>
    <w:rsid w:val="019C71AC"/>
    <w:rsid w:val="01BF03AA"/>
    <w:rsid w:val="01C33E74"/>
    <w:rsid w:val="01DF3C26"/>
    <w:rsid w:val="01EE0A2C"/>
    <w:rsid w:val="0200044D"/>
    <w:rsid w:val="020654E4"/>
    <w:rsid w:val="020C72F8"/>
    <w:rsid w:val="02121B7C"/>
    <w:rsid w:val="021813DE"/>
    <w:rsid w:val="021B6B30"/>
    <w:rsid w:val="02363BD8"/>
    <w:rsid w:val="023809F7"/>
    <w:rsid w:val="02423035"/>
    <w:rsid w:val="02431066"/>
    <w:rsid w:val="02595CF1"/>
    <w:rsid w:val="025C47D6"/>
    <w:rsid w:val="02627590"/>
    <w:rsid w:val="0263675C"/>
    <w:rsid w:val="02656E75"/>
    <w:rsid w:val="027431E5"/>
    <w:rsid w:val="027E2D46"/>
    <w:rsid w:val="02B544DB"/>
    <w:rsid w:val="02CB5D99"/>
    <w:rsid w:val="02F61D91"/>
    <w:rsid w:val="02FC4679"/>
    <w:rsid w:val="02FE5E0A"/>
    <w:rsid w:val="0347190C"/>
    <w:rsid w:val="034760CE"/>
    <w:rsid w:val="03487959"/>
    <w:rsid w:val="03505BE1"/>
    <w:rsid w:val="036C6334"/>
    <w:rsid w:val="036D41A2"/>
    <w:rsid w:val="037F229C"/>
    <w:rsid w:val="03911277"/>
    <w:rsid w:val="039A540B"/>
    <w:rsid w:val="03BD010E"/>
    <w:rsid w:val="03E2685C"/>
    <w:rsid w:val="03E66326"/>
    <w:rsid w:val="03FF6E0F"/>
    <w:rsid w:val="0404259A"/>
    <w:rsid w:val="04051601"/>
    <w:rsid w:val="04150B3B"/>
    <w:rsid w:val="04327F62"/>
    <w:rsid w:val="04344800"/>
    <w:rsid w:val="043C2443"/>
    <w:rsid w:val="045F666C"/>
    <w:rsid w:val="0460075C"/>
    <w:rsid w:val="04613BEE"/>
    <w:rsid w:val="0462054D"/>
    <w:rsid w:val="04675C34"/>
    <w:rsid w:val="046C0B29"/>
    <w:rsid w:val="04816E5C"/>
    <w:rsid w:val="048924DD"/>
    <w:rsid w:val="04914D95"/>
    <w:rsid w:val="0495144B"/>
    <w:rsid w:val="04A24B84"/>
    <w:rsid w:val="04AC07A1"/>
    <w:rsid w:val="04C63115"/>
    <w:rsid w:val="04CB5FDF"/>
    <w:rsid w:val="04CF5236"/>
    <w:rsid w:val="04CF5AF0"/>
    <w:rsid w:val="04D24FF1"/>
    <w:rsid w:val="04DE1BAB"/>
    <w:rsid w:val="04E411E4"/>
    <w:rsid w:val="04F37BBA"/>
    <w:rsid w:val="05085366"/>
    <w:rsid w:val="05145F64"/>
    <w:rsid w:val="054037EF"/>
    <w:rsid w:val="054E7FFF"/>
    <w:rsid w:val="05621117"/>
    <w:rsid w:val="058C5045"/>
    <w:rsid w:val="059C7C89"/>
    <w:rsid w:val="05A50C70"/>
    <w:rsid w:val="05B15E1B"/>
    <w:rsid w:val="05B525CA"/>
    <w:rsid w:val="05C4448F"/>
    <w:rsid w:val="05E616EC"/>
    <w:rsid w:val="05F20451"/>
    <w:rsid w:val="06146BAF"/>
    <w:rsid w:val="06286BB6"/>
    <w:rsid w:val="06405E9C"/>
    <w:rsid w:val="064D5380"/>
    <w:rsid w:val="064E0F6B"/>
    <w:rsid w:val="06587D46"/>
    <w:rsid w:val="06617309"/>
    <w:rsid w:val="06650E6A"/>
    <w:rsid w:val="06854A05"/>
    <w:rsid w:val="068B5259"/>
    <w:rsid w:val="06986D10"/>
    <w:rsid w:val="06A14716"/>
    <w:rsid w:val="06C90184"/>
    <w:rsid w:val="06C9437B"/>
    <w:rsid w:val="06ED564C"/>
    <w:rsid w:val="06F22A7B"/>
    <w:rsid w:val="07023424"/>
    <w:rsid w:val="07043735"/>
    <w:rsid w:val="0725074E"/>
    <w:rsid w:val="07313C60"/>
    <w:rsid w:val="07331F0A"/>
    <w:rsid w:val="076971BD"/>
    <w:rsid w:val="076D43AE"/>
    <w:rsid w:val="077323CA"/>
    <w:rsid w:val="0775145F"/>
    <w:rsid w:val="07967DE0"/>
    <w:rsid w:val="07970994"/>
    <w:rsid w:val="07B613A2"/>
    <w:rsid w:val="07B913B4"/>
    <w:rsid w:val="07BA1C6A"/>
    <w:rsid w:val="07BD44A3"/>
    <w:rsid w:val="07CE6155"/>
    <w:rsid w:val="07E11DA2"/>
    <w:rsid w:val="07E40515"/>
    <w:rsid w:val="07EE6091"/>
    <w:rsid w:val="08017E70"/>
    <w:rsid w:val="0805190B"/>
    <w:rsid w:val="082A5F7E"/>
    <w:rsid w:val="08391F38"/>
    <w:rsid w:val="083A18D9"/>
    <w:rsid w:val="0848472A"/>
    <w:rsid w:val="084D20E7"/>
    <w:rsid w:val="08674899"/>
    <w:rsid w:val="08754155"/>
    <w:rsid w:val="087B77E7"/>
    <w:rsid w:val="087D3D34"/>
    <w:rsid w:val="0889236C"/>
    <w:rsid w:val="088E051E"/>
    <w:rsid w:val="08935A7B"/>
    <w:rsid w:val="08A91E6C"/>
    <w:rsid w:val="08BA1B19"/>
    <w:rsid w:val="08C11967"/>
    <w:rsid w:val="08D059DD"/>
    <w:rsid w:val="08DC08E7"/>
    <w:rsid w:val="09293C1C"/>
    <w:rsid w:val="092D1C9E"/>
    <w:rsid w:val="09377E5E"/>
    <w:rsid w:val="09383E9F"/>
    <w:rsid w:val="0939426E"/>
    <w:rsid w:val="09504F8C"/>
    <w:rsid w:val="09616470"/>
    <w:rsid w:val="096C1F5A"/>
    <w:rsid w:val="096C76C1"/>
    <w:rsid w:val="09906B28"/>
    <w:rsid w:val="09912E95"/>
    <w:rsid w:val="099C1A23"/>
    <w:rsid w:val="09A948AF"/>
    <w:rsid w:val="09AC2A76"/>
    <w:rsid w:val="09B04837"/>
    <w:rsid w:val="09C95891"/>
    <w:rsid w:val="09D8005F"/>
    <w:rsid w:val="09E87061"/>
    <w:rsid w:val="0A002E0D"/>
    <w:rsid w:val="0A140987"/>
    <w:rsid w:val="0A241A5C"/>
    <w:rsid w:val="0A2E3566"/>
    <w:rsid w:val="0A393280"/>
    <w:rsid w:val="0A540824"/>
    <w:rsid w:val="0A5F2F6C"/>
    <w:rsid w:val="0A670B4E"/>
    <w:rsid w:val="0A851E03"/>
    <w:rsid w:val="0A985A6F"/>
    <w:rsid w:val="0AA808AF"/>
    <w:rsid w:val="0ABD142C"/>
    <w:rsid w:val="0AC644AE"/>
    <w:rsid w:val="0ACB61B4"/>
    <w:rsid w:val="0ACD4157"/>
    <w:rsid w:val="0AE964B0"/>
    <w:rsid w:val="0B071EAE"/>
    <w:rsid w:val="0B163034"/>
    <w:rsid w:val="0B1F5B6D"/>
    <w:rsid w:val="0B2F4AF7"/>
    <w:rsid w:val="0B3312B6"/>
    <w:rsid w:val="0B4064B3"/>
    <w:rsid w:val="0B6E529C"/>
    <w:rsid w:val="0B701D27"/>
    <w:rsid w:val="0B7245CE"/>
    <w:rsid w:val="0B943886"/>
    <w:rsid w:val="0B9C3CD1"/>
    <w:rsid w:val="0BB324D8"/>
    <w:rsid w:val="0BB672C7"/>
    <w:rsid w:val="0BC07BBF"/>
    <w:rsid w:val="0BC429EF"/>
    <w:rsid w:val="0BCE65D1"/>
    <w:rsid w:val="0BD31C1D"/>
    <w:rsid w:val="0BD60937"/>
    <w:rsid w:val="0BD912A4"/>
    <w:rsid w:val="0BE019AF"/>
    <w:rsid w:val="0BE135FA"/>
    <w:rsid w:val="0BEE4F6B"/>
    <w:rsid w:val="0C03261E"/>
    <w:rsid w:val="0C0439FA"/>
    <w:rsid w:val="0C0B17DF"/>
    <w:rsid w:val="0C0F382B"/>
    <w:rsid w:val="0C160980"/>
    <w:rsid w:val="0C1B4EF7"/>
    <w:rsid w:val="0C1C297E"/>
    <w:rsid w:val="0C1D4988"/>
    <w:rsid w:val="0C297E69"/>
    <w:rsid w:val="0C55038F"/>
    <w:rsid w:val="0C6B7DF9"/>
    <w:rsid w:val="0C6E2A56"/>
    <w:rsid w:val="0C7A708D"/>
    <w:rsid w:val="0CCA7495"/>
    <w:rsid w:val="0CCE0D62"/>
    <w:rsid w:val="0CD16BA2"/>
    <w:rsid w:val="0CD745A0"/>
    <w:rsid w:val="0CDE4E30"/>
    <w:rsid w:val="0CF95270"/>
    <w:rsid w:val="0D012A51"/>
    <w:rsid w:val="0D094F84"/>
    <w:rsid w:val="0D280615"/>
    <w:rsid w:val="0D2C07EB"/>
    <w:rsid w:val="0D2F57DE"/>
    <w:rsid w:val="0D314852"/>
    <w:rsid w:val="0D353632"/>
    <w:rsid w:val="0D392C4E"/>
    <w:rsid w:val="0D482FA9"/>
    <w:rsid w:val="0D4A4299"/>
    <w:rsid w:val="0D5F1E28"/>
    <w:rsid w:val="0D671080"/>
    <w:rsid w:val="0D766D04"/>
    <w:rsid w:val="0D783B34"/>
    <w:rsid w:val="0D81754C"/>
    <w:rsid w:val="0DBE6AB7"/>
    <w:rsid w:val="0DBF116A"/>
    <w:rsid w:val="0DC00E38"/>
    <w:rsid w:val="0DC8400B"/>
    <w:rsid w:val="0DD34552"/>
    <w:rsid w:val="0DE03EAA"/>
    <w:rsid w:val="0DE12394"/>
    <w:rsid w:val="0DF36262"/>
    <w:rsid w:val="0E1E619E"/>
    <w:rsid w:val="0E267F81"/>
    <w:rsid w:val="0E365DE9"/>
    <w:rsid w:val="0E4822EE"/>
    <w:rsid w:val="0E4E185D"/>
    <w:rsid w:val="0E522FBE"/>
    <w:rsid w:val="0E5D141B"/>
    <w:rsid w:val="0E8648D6"/>
    <w:rsid w:val="0E8C08DC"/>
    <w:rsid w:val="0E8E43C0"/>
    <w:rsid w:val="0E964CBE"/>
    <w:rsid w:val="0EB05323"/>
    <w:rsid w:val="0EBE40CB"/>
    <w:rsid w:val="0EC36A56"/>
    <w:rsid w:val="0EC62499"/>
    <w:rsid w:val="0ECE4E6F"/>
    <w:rsid w:val="0EDA5C56"/>
    <w:rsid w:val="0EFE4287"/>
    <w:rsid w:val="0F0D525E"/>
    <w:rsid w:val="0F2A2A37"/>
    <w:rsid w:val="0F2E6C95"/>
    <w:rsid w:val="0F4675CA"/>
    <w:rsid w:val="0F470958"/>
    <w:rsid w:val="0F471A79"/>
    <w:rsid w:val="0F500384"/>
    <w:rsid w:val="0F5B4015"/>
    <w:rsid w:val="0F6071C8"/>
    <w:rsid w:val="0F7B0394"/>
    <w:rsid w:val="0FA00CB6"/>
    <w:rsid w:val="0FA434D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10225AB2"/>
    <w:rsid w:val="102D74F0"/>
    <w:rsid w:val="10390BE8"/>
    <w:rsid w:val="103C47DA"/>
    <w:rsid w:val="103D5CB0"/>
    <w:rsid w:val="1043497A"/>
    <w:rsid w:val="104B6B58"/>
    <w:rsid w:val="105552F6"/>
    <w:rsid w:val="108449FF"/>
    <w:rsid w:val="108B34B0"/>
    <w:rsid w:val="109E2943"/>
    <w:rsid w:val="10AB3168"/>
    <w:rsid w:val="10C8346E"/>
    <w:rsid w:val="10FE6AB1"/>
    <w:rsid w:val="1112624E"/>
    <w:rsid w:val="11153798"/>
    <w:rsid w:val="11297158"/>
    <w:rsid w:val="11483743"/>
    <w:rsid w:val="114B2C9B"/>
    <w:rsid w:val="115D78BB"/>
    <w:rsid w:val="116001E2"/>
    <w:rsid w:val="11651F8A"/>
    <w:rsid w:val="11793618"/>
    <w:rsid w:val="11813452"/>
    <w:rsid w:val="11913DD4"/>
    <w:rsid w:val="11961E43"/>
    <w:rsid w:val="11987ED2"/>
    <w:rsid w:val="119969A0"/>
    <w:rsid w:val="11A55E09"/>
    <w:rsid w:val="11A91B68"/>
    <w:rsid w:val="11B76464"/>
    <w:rsid w:val="11BC2DF3"/>
    <w:rsid w:val="11C43676"/>
    <w:rsid w:val="11EA3CA0"/>
    <w:rsid w:val="11EC54A1"/>
    <w:rsid w:val="11F403BB"/>
    <w:rsid w:val="11FA6A1C"/>
    <w:rsid w:val="120B6973"/>
    <w:rsid w:val="12155876"/>
    <w:rsid w:val="12183A1B"/>
    <w:rsid w:val="122A11A6"/>
    <w:rsid w:val="123D1BD2"/>
    <w:rsid w:val="123E6D4D"/>
    <w:rsid w:val="125613C2"/>
    <w:rsid w:val="125D4EF7"/>
    <w:rsid w:val="12637C4E"/>
    <w:rsid w:val="127030C8"/>
    <w:rsid w:val="12B310FA"/>
    <w:rsid w:val="12B7582D"/>
    <w:rsid w:val="12C621E8"/>
    <w:rsid w:val="12CF0716"/>
    <w:rsid w:val="12D06C00"/>
    <w:rsid w:val="12D95227"/>
    <w:rsid w:val="12E33197"/>
    <w:rsid w:val="12EE1C9C"/>
    <w:rsid w:val="12F863E6"/>
    <w:rsid w:val="13094CA6"/>
    <w:rsid w:val="132156D8"/>
    <w:rsid w:val="132911E2"/>
    <w:rsid w:val="133868AE"/>
    <w:rsid w:val="135133AE"/>
    <w:rsid w:val="13914897"/>
    <w:rsid w:val="13A55CD5"/>
    <w:rsid w:val="13B654E3"/>
    <w:rsid w:val="13B819E6"/>
    <w:rsid w:val="13BC4189"/>
    <w:rsid w:val="13C169EC"/>
    <w:rsid w:val="13C94A77"/>
    <w:rsid w:val="13CA717D"/>
    <w:rsid w:val="13CE022A"/>
    <w:rsid w:val="13DF25B8"/>
    <w:rsid w:val="13E2403C"/>
    <w:rsid w:val="14047D3B"/>
    <w:rsid w:val="141A00EA"/>
    <w:rsid w:val="143A1FCF"/>
    <w:rsid w:val="14430D66"/>
    <w:rsid w:val="14477E65"/>
    <w:rsid w:val="144F49E3"/>
    <w:rsid w:val="14710CBF"/>
    <w:rsid w:val="14791934"/>
    <w:rsid w:val="147D213D"/>
    <w:rsid w:val="14A04833"/>
    <w:rsid w:val="14B12779"/>
    <w:rsid w:val="14B37576"/>
    <w:rsid w:val="14CE2A63"/>
    <w:rsid w:val="14F41B2E"/>
    <w:rsid w:val="14F4219E"/>
    <w:rsid w:val="150135C1"/>
    <w:rsid w:val="151C632A"/>
    <w:rsid w:val="152E4EB1"/>
    <w:rsid w:val="153E3566"/>
    <w:rsid w:val="154034C3"/>
    <w:rsid w:val="156B6CDB"/>
    <w:rsid w:val="15726626"/>
    <w:rsid w:val="15820278"/>
    <w:rsid w:val="15914EE6"/>
    <w:rsid w:val="15A42FA4"/>
    <w:rsid w:val="15A6418F"/>
    <w:rsid w:val="15AA091B"/>
    <w:rsid w:val="15BC6BD3"/>
    <w:rsid w:val="15CA2845"/>
    <w:rsid w:val="15CF095E"/>
    <w:rsid w:val="15DA784E"/>
    <w:rsid w:val="15DB017B"/>
    <w:rsid w:val="15E6370B"/>
    <w:rsid w:val="15E835FB"/>
    <w:rsid w:val="15E84717"/>
    <w:rsid w:val="160F0091"/>
    <w:rsid w:val="16144614"/>
    <w:rsid w:val="163E3AB2"/>
    <w:rsid w:val="165072F3"/>
    <w:rsid w:val="165E3F72"/>
    <w:rsid w:val="166D0110"/>
    <w:rsid w:val="167050F1"/>
    <w:rsid w:val="16713DA7"/>
    <w:rsid w:val="16797776"/>
    <w:rsid w:val="16952546"/>
    <w:rsid w:val="16AB3FBF"/>
    <w:rsid w:val="16AC1654"/>
    <w:rsid w:val="16B12C6E"/>
    <w:rsid w:val="16BF0789"/>
    <w:rsid w:val="16CD5BA2"/>
    <w:rsid w:val="16D42F73"/>
    <w:rsid w:val="16DA34D2"/>
    <w:rsid w:val="16DA4E41"/>
    <w:rsid w:val="16F042AC"/>
    <w:rsid w:val="16F626B5"/>
    <w:rsid w:val="16FB005D"/>
    <w:rsid w:val="16FC4F3B"/>
    <w:rsid w:val="171630EB"/>
    <w:rsid w:val="17435DB3"/>
    <w:rsid w:val="174849B3"/>
    <w:rsid w:val="175075E0"/>
    <w:rsid w:val="175D3461"/>
    <w:rsid w:val="175F4C67"/>
    <w:rsid w:val="175F580B"/>
    <w:rsid w:val="176415FC"/>
    <w:rsid w:val="17665207"/>
    <w:rsid w:val="17794395"/>
    <w:rsid w:val="178D50A9"/>
    <w:rsid w:val="178F0FE3"/>
    <w:rsid w:val="17B85018"/>
    <w:rsid w:val="17E339CC"/>
    <w:rsid w:val="17F33C57"/>
    <w:rsid w:val="181D4FAC"/>
    <w:rsid w:val="182B38C1"/>
    <w:rsid w:val="18351597"/>
    <w:rsid w:val="18353961"/>
    <w:rsid w:val="18474510"/>
    <w:rsid w:val="184F1D16"/>
    <w:rsid w:val="1852374B"/>
    <w:rsid w:val="185629F1"/>
    <w:rsid w:val="18685D91"/>
    <w:rsid w:val="188F0DAB"/>
    <w:rsid w:val="18905464"/>
    <w:rsid w:val="18910B5C"/>
    <w:rsid w:val="18A62960"/>
    <w:rsid w:val="18A961DF"/>
    <w:rsid w:val="18BD3DC4"/>
    <w:rsid w:val="18C149F3"/>
    <w:rsid w:val="18D233DB"/>
    <w:rsid w:val="18DC433F"/>
    <w:rsid w:val="18DD0C18"/>
    <w:rsid w:val="18DE4BF6"/>
    <w:rsid w:val="18EC1CA5"/>
    <w:rsid w:val="18F23C9D"/>
    <w:rsid w:val="18F554AB"/>
    <w:rsid w:val="18FE49D5"/>
    <w:rsid w:val="190F3527"/>
    <w:rsid w:val="19100497"/>
    <w:rsid w:val="19183CAC"/>
    <w:rsid w:val="193964B7"/>
    <w:rsid w:val="19521C94"/>
    <w:rsid w:val="195657BB"/>
    <w:rsid w:val="196B19EB"/>
    <w:rsid w:val="19717C66"/>
    <w:rsid w:val="198E7C2B"/>
    <w:rsid w:val="199945D5"/>
    <w:rsid w:val="199B5065"/>
    <w:rsid w:val="19D37D58"/>
    <w:rsid w:val="19DD0438"/>
    <w:rsid w:val="1A0A04E6"/>
    <w:rsid w:val="1A187AC0"/>
    <w:rsid w:val="1A213466"/>
    <w:rsid w:val="1A3F3F76"/>
    <w:rsid w:val="1A4B4BAE"/>
    <w:rsid w:val="1A4F2DB6"/>
    <w:rsid w:val="1A5F35C0"/>
    <w:rsid w:val="1A6B5635"/>
    <w:rsid w:val="1A8006B2"/>
    <w:rsid w:val="1A8D640E"/>
    <w:rsid w:val="1A974192"/>
    <w:rsid w:val="1A9C34EB"/>
    <w:rsid w:val="1ACA62AD"/>
    <w:rsid w:val="1ADA675E"/>
    <w:rsid w:val="1AE11CDA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F36F6"/>
    <w:rsid w:val="1B422830"/>
    <w:rsid w:val="1B4B369E"/>
    <w:rsid w:val="1B5271D4"/>
    <w:rsid w:val="1B6D7C0D"/>
    <w:rsid w:val="1B84594F"/>
    <w:rsid w:val="1B884364"/>
    <w:rsid w:val="1BA912AB"/>
    <w:rsid w:val="1BC74329"/>
    <w:rsid w:val="1BC90A36"/>
    <w:rsid w:val="1BD0347B"/>
    <w:rsid w:val="1BD40AF3"/>
    <w:rsid w:val="1BD802A4"/>
    <w:rsid w:val="1BDF236A"/>
    <w:rsid w:val="1C0435DD"/>
    <w:rsid w:val="1C044A22"/>
    <w:rsid w:val="1C0500B1"/>
    <w:rsid w:val="1C165874"/>
    <w:rsid w:val="1C1D4C3D"/>
    <w:rsid w:val="1C212C7F"/>
    <w:rsid w:val="1C4C28F3"/>
    <w:rsid w:val="1C71314E"/>
    <w:rsid w:val="1C796297"/>
    <w:rsid w:val="1C82672C"/>
    <w:rsid w:val="1C89138D"/>
    <w:rsid w:val="1C8E76D2"/>
    <w:rsid w:val="1C937172"/>
    <w:rsid w:val="1C975C4B"/>
    <w:rsid w:val="1CA27BB1"/>
    <w:rsid w:val="1CAF7DCF"/>
    <w:rsid w:val="1CB07D7A"/>
    <w:rsid w:val="1CDA4D56"/>
    <w:rsid w:val="1CF810AC"/>
    <w:rsid w:val="1D0B3755"/>
    <w:rsid w:val="1D124C24"/>
    <w:rsid w:val="1D2C6C65"/>
    <w:rsid w:val="1D402518"/>
    <w:rsid w:val="1D4E7169"/>
    <w:rsid w:val="1D554265"/>
    <w:rsid w:val="1D61352C"/>
    <w:rsid w:val="1D69344A"/>
    <w:rsid w:val="1D6B31E8"/>
    <w:rsid w:val="1D6B7F83"/>
    <w:rsid w:val="1D776C3D"/>
    <w:rsid w:val="1D95321A"/>
    <w:rsid w:val="1DB85E5C"/>
    <w:rsid w:val="1DC46662"/>
    <w:rsid w:val="1DCA5E3A"/>
    <w:rsid w:val="1DCF5405"/>
    <w:rsid w:val="1DD75183"/>
    <w:rsid w:val="1DDE2626"/>
    <w:rsid w:val="1DFD7C50"/>
    <w:rsid w:val="1E0344C3"/>
    <w:rsid w:val="1E080AB5"/>
    <w:rsid w:val="1E0E0D58"/>
    <w:rsid w:val="1E2A197B"/>
    <w:rsid w:val="1E35255F"/>
    <w:rsid w:val="1E3C5A5F"/>
    <w:rsid w:val="1E475D36"/>
    <w:rsid w:val="1E4E24A0"/>
    <w:rsid w:val="1E502588"/>
    <w:rsid w:val="1E53413D"/>
    <w:rsid w:val="1E5507DD"/>
    <w:rsid w:val="1E550992"/>
    <w:rsid w:val="1E5A7A32"/>
    <w:rsid w:val="1E671817"/>
    <w:rsid w:val="1E6C3B44"/>
    <w:rsid w:val="1E7A4122"/>
    <w:rsid w:val="1E8879EE"/>
    <w:rsid w:val="1EB95D76"/>
    <w:rsid w:val="1EC54236"/>
    <w:rsid w:val="1ED464CA"/>
    <w:rsid w:val="1EDA5DF7"/>
    <w:rsid w:val="1EED4A44"/>
    <w:rsid w:val="1EFA39EA"/>
    <w:rsid w:val="1F00206F"/>
    <w:rsid w:val="1F0177DA"/>
    <w:rsid w:val="1F18467A"/>
    <w:rsid w:val="1F232A42"/>
    <w:rsid w:val="1F2645A8"/>
    <w:rsid w:val="1F4B71B8"/>
    <w:rsid w:val="1F4C39A9"/>
    <w:rsid w:val="1F5665AD"/>
    <w:rsid w:val="1F692382"/>
    <w:rsid w:val="1F8815CD"/>
    <w:rsid w:val="1F8D1995"/>
    <w:rsid w:val="1F935BDD"/>
    <w:rsid w:val="1F9730E6"/>
    <w:rsid w:val="1FDE0273"/>
    <w:rsid w:val="1FE346CD"/>
    <w:rsid w:val="1FEF73C9"/>
    <w:rsid w:val="1FFB7C68"/>
    <w:rsid w:val="20020491"/>
    <w:rsid w:val="203C7C11"/>
    <w:rsid w:val="20421AEB"/>
    <w:rsid w:val="20471AED"/>
    <w:rsid w:val="20487E48"/>
    <w:rsid w:val="205E1FA5"/>
    <w:rsid w:val="20666EBF"/>
    <w:rsid w:val="206F239E"/>
    <w:rsid w:val="2086258B"/>
    <w:rsid w:val="20A45C99"/>
    <w:rsid w:val="20AD18F5"/>
    <w:rsid w:val="20B77D0F"/>
    <w:rsid w:val="20BB288C"/>
    <w:rsid w:val="20D06EB4"/>
    <w:rsid w:val="20E40557"/>
    <w:rsid w:val="20EF04D3"/>
    <w:rsid w:val="210C69CF"/>
    <w:rsid w:val="21107C1A"/>
    <w:rsid w:val="213018E1"/>
    <w:rsid w:val="21354AB4"/>
    <w:rsid w:val="21392BC1"/>
    <w:rsid w:val="21431802"/>
    <w:rsid w:val="21463D2C"/>
    <w:rsid w:val="2151198F"/>
    <w:rsid w:val="2172070D"/>
    <w:rsid w:val="217B2C80"/>
    <w:rsid w:val="217D2EA2"/>
    <w:rsid w:val="21851E83"/>
    <w:rsid w:val="21861507"/>
    <w:rsid w:val="219020E3"/>
    <w:rsid w:val="21916EE8"/>
    <w:rsid w:val="21965445"/>
    <w:rsid w:val="219A308D"/>
    <w:rsid w:val="219F5834"/>
    <w:rsid w:val="21A35D48"/>
    <w:rsid w:val="21A8797C"/>
    <w:rsid w:val="21C12688"/>
    <w:rsid w:val="21CC4855"/>
    <w:rsid w:val="21E233A3"/>
    <w:rsid w:val="21E23F6C"/>
    <w:rsid w:val="21E345FD"/>
    <w:rsid w:val="22171E1E"/>
    <w:rsid w:val="22383B4D"/>
    <w:rsid w:val="22466CD3"/>
    <w:rsid w:val="225D1D49"/>
    <w:rsid w:val="225D33C8"/>
    <w:rsid w:val="226239FE"/>
    <w:rsid w:val="22626562"/>
    <w:rsid w:val="226A76AE"/>
    <w:rsid w:val="22733EB6"/>
    <w:rsid w:val="22906578"/>
    <w:rsid w:val="22973E77"/>
    <w:rsid w:val="22AB58F3"/>
    <w:rsid w:val="22C13FD4"/>
    <w:rsid w:val="22C24771"/>
    <w:rsid w:val="22CB0895"/>
    <w:rsid w:val="22CE5F9A"/>
    <w:rsid w:val="231527D7"/>
    <w:rsid w:val="23185AD8"/>
    <w:rsid w:val="23221AF6"/>
    <w:rsid w:val="23336451"/>
    <w:rsid w:val="234408CD"/>
    <w:rsid w:val="23474320"/>
    <w:rsid w:val="23492735"/>
    <w:rsid w:val="2358717F"/>
    <w:rsid w:val="235B5F37"/>
    <w:rsid w:val="235C3EA6"/>
    <w:rsid w:val="23604810"/>
    <w:rsid w:val="23665B38"/>
    <w:rsid w:val="237A7609"/>
    <w:rsid w:val="238B1303"/>
    <w:rsid w:val="23BE4330"/>
    <w:rsid w:val="23BF0A62"/>
    <w:rsid w:val="23C263BB"/>
    <w:rsid w:val="23D04F68"/>
    <w:rsid w:val="23D50A64"/>
    <w:rsid w:val="23E33B7E"/>
    <w:rsid w:val="23F171DD"/>
    <w:rsid w:val="23FC0268"/>
    <w:rsid w:val="240B4621"/>
    <w:rsid w:val="240C3B19"/>
    <w:rsid w:val="241061D3"/>
    <w:rsid w:val="24114322"/>
    <w:rsid w:val="24122F3C"/>
    <w:rsid w:val="24181A61"/>
    <w:rsid w:val="2418654C"/>
    <w:rsid w:val="241A4D23"/>
    <w:rsid w:val="244328F6"/>
    <w:rsid w:val="245032E9"/>
    <w:rsid w:val="245165E7"/>
    <w:rsid w:val="24536196"/>
    <w:rsid w:val="24626203"/>
    <w:rsid w:val="247573F6"/>
    <w:rsid w:val="247A4BE7"/>
    <w:rsid w:val="24806762"/>
    <w:rsid w:val="24814D5C"/>
    <w:rsid w:val="24831C33"/>
    <w:rsid w:val="248601CB"/>
    <w:rsid w:val="2487775E"/>
    <w:rsid w:val="24917BA8"/>
    <w:rsid w:val="24981483"/>
    <w:rsid w:val="249B0370"/>
    <w:rsid w:val="24A24AC6"/>
    <w:rsid w:val="24B93055"/>
    <w:rsid w:val="24C252E5"/>
    <w:rsid w:val="24C93BB5"/>
    <w:rsid w:val="24D02E03"/>
    <w:rsid w:val="24F86BC7"/>
    <w:rsid w:val="250F44FD"/>
    <w:rsid w:val="2514288A"/>
    <w:rsid w:val="256609A5"/>
    <w:rsid w:val="25781237"/>
    <w:rsid w:val="257A6914"/>
    <w:rsid w:val="2588530F"/>
    <w:rsid w:val="25963C8A"/>
    <w:rsid w:val="25AB3731"/>
    <w:rsid w:val="25AE3087"/>
    <w:rsid w:val="25B464A2"/>
    <w:rsid w:val="25BA0209"/>
    <w:rsid w:val="25BB4BF0"/>
    <w:rsid w:val="25E62DA9"/>
    <w:rsid w:val="25F465E7"/>
    <w:rsid w:val="25F6641C"/>
    <w:rsid w:val="25F74FA1"/>
    <w:rsid w:val="25FC3091"/>
    <w:rsid w:val="25FD11FA"/>
    <w:rsid w:val="25FF3210"/>
    <w:rsid w:val="2611098A"/>
    <w:rsid w:val="262D7EE2"/>
    <w:rsid w:val="264221C6"/>
    <w:rsid w:val="265D3370"/>
    <w:rsid w:val="26666555"/>
    <w:rsid w:val="268B7C99"/>
    <w:rsid w:val="268C4A4A"/>
    <w:rsid w:val="269A7501"/>
    <w:rsid w:val="26A3584F"/>
    <w:rsid w:val="26A66B0A"/>
    <w:rsid w:val="26A73989"/>
    <w:rsid w:val="26A86D42"/>
    <w:rsid w:val="26C30557"/>
    <w:rsid w:val="26CB2EBC"/>
    <w:rsid w:val="26CB4B73"/>
    <w:rsid w:val="26DF742E"/>
    <w:rsid w:val="26E34A7B"/>
    <w:rsid w:val="26E9756C"/>
    <w:rsid w:val="26FA4570"/>
    <w:rsid w:val="27217FF0"/>
    <w:rsid w:val="27242893"/>
    <w:rsid w:val="273612F4"/>
    <w:rsid w:val="27445146"/>
    <w:rsid w:val="277602F5"/>
    <w:rsid w:val="278038CA"/>
    <w:rsid w:val="27947D3B"/>
    <w:rsid w:val="27C33BB0"/>
    <w:rsid w:val="27C55F98"/>
    <w:rsid w:val="27CC0CD0"/>
    <w:rsid w:val="27D071BC"/>
    <w:rsid w:val="27D4538F"/>
    <w:rsid w:val="27DE15AE"/>
    <w:rsid w:val="27E03A2F"/>
    <w:rsid w:val="280D297A"/>
    <w:rsid w:val="28163A93"/>
    <w:rsid w:val="28276A98"/>
    <w:rsid w:val="283975A7"/>
    <w:rsid w:val="285710C8"/>
    <w:rsid w:val="285C4BAF"/>
    <w:rsid w:val="285D0F42"/>
    <w:rsid w:val="28703320"/>
    <w:rsid w:val="28887BBF"/>
    <w:rsid w:val="289539A5"/>
    <w:rsid w:val="289F019A"/>
    <w:rsid w:val="28BE4A1C"/>
    <w:rsid w:val="28CC6ED5"/>
    <w:rsid w:val="28F010D9"/>
    <w:rsid w:val="28F05C88"/>
    <w:rsid w:val="29082E70"/>
    <w:rsid w:val="291343EF"/>
    <w:rsid w:val="29166F16"/>
    <w:rsid w:val="294D5371"/>
    <w:rsid w:val="295A5964"/>
    <w:rsid w:val="29626133"/>
    <w:rsid w:val="29702C6A"/>
    <w:rsid w:val="298756CC"/>
    <w:rsid w:val="29A81FA5"/>
    <w:rsid w:val="29AB297C"/>
    <w:rsid w:val="29B64C00"/>
    <w:rsid w:val="29C535D7"/>
    <w:rsid w:val="29C65905"/>
    <w:rsid w:val="29DA5777"/>
    <w:rsid w:val="29DF2425"/>
    <w:rsid w:val="2A0E6FDD"/>
    <w:rsid w:val="2A142C99"/>
    <w:rsid w:val="2A1E4871"/>
    <w:rsid w:val="2A214539"/>
    <w:rsid w:val="2A367BB2"/>
    <w:rsid w:val="2A3D54FD"/>
    <w:rsid w:val="2A410FE5"/>
    <w:rsid w:val="2A4173A1"/>
    <w:rsid w:val="2A596631"/>
    <w:rsid w:val="2A5A05BF"/>
    <w:rsid w:val="2A5F2983"/>
    <w:rsid w:val="2A601F6F"/>
    <w:rsid w:val="2A7A07C0"/>
    <w:rsid w:val="2A9F5694"/>
    <w:rsid w:val="2AB17620"/>
    <w:rsid w:val="2AB30FEA"/>
    <w:rsid w:val="2AB657B1"/>
    <w:rsid w:val="2AE07913"/>
    <w:rsid w:val="2AEA3FC0"/>
    <w:rsid w:val="2AEA4AC4"/>
    <w:rsid w:val="2AF43C32"/>
    <w:rsid w:val="2B0E64B5"/>
    <w:rsid w:val="2B166BF6"/>
    <w:rsid w:val="2B270761"/>
    <w:rsid w:val="2B2B0DE1"/>
    <w:rsid w:val="2B3E1E16"/>
    <w:rsid w:val="2B5D0E3B"/>
    <w:rsid w:val="2B5E2134"/>
    <w:rsid w:val="2B6F3EEE"/>
    <w:rsid w:val="2B70774D"/>
    <w:rsid w:val="2B7D446F"/>
    <w:rsid w:val="2B8D4A3E"/>
    <w:rsid w:val="2B92239A"/>
    <w:rsid w:val="2BC25ADE"/>
    <w:rsid w:val="2BCC1BD6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2F0BC4"/>
    <w:rsid w:val="2C391765"/>
    <w:rsid w:val="2C3D18DD"/>
    <w:rsid w:val="2C3D5EB9"/>
    <w:rsid w:val="2C4C0F0A"/>
    <w:rsid w:val="2C5254C3"/>
    <w:rsid w:val="2C532EF2"/>
    <w:rsid w:val="2C5C500F"/>
    <w:rsid w:val="2C6E3526"/>
    <w:rsid w:val="2C6F1E54"/>
    <w:rsid w:val="2C892158"/>
    <w:rsid w:val="2C993631"/>
    <w:rsid w:val="2C9B7E11"/>
    <w:rsid w:val="2CAF1058"/>
    <w:rsid w:val="2CB32C99"/>
    <w:rsid w:val="2CBC36F5"/>
    <w:rsid w:val="2CC907F0"/>
    <w:rsid w:val="2CCC5126"/>
    <w:rsid w:val="2CF7305F"/>
    <w:rsid w:val="2CF756B7"/>
    <w:rsid w:val="2CF9252D"/>
    <w:rsid w:val="2CF97782"/>
    <w:rsid w:val="2D107154"/>
    <w:rsid w:val="2D143281"/>
    <w:rsid w:val="2D1C79F8"/>
    <w:rsid w:val="2D324177"/>
    <w:rsid w:val="2D5A7835"/>
    <w:rsid w:val="2D6578A0"/>
    <w:rsid w:val="2D6B7AAF"/>
    <w:rsid w:val="2D7343C9"/>
    <w:rsid w:val="2DE44256"/>
    <w:rsid w:val="2DE557EB"/>
    <w:rsid w:val="2E0E6D42"/>
    <w:rsid w:val="2E0F4249"/>
    <w:rsid w:val="2E2F0A58"/>
    <w:rsid w:val="2E447583"/>
    <w:rsid w:val="2E4B4467"/>
    <w:rsid w:val="2E5520B9"/>
    <w:rsid w:val="2E63548C"/>
    <w:rsid w:val="2E640C1C"/>
    <w:rsid w:val="2E6B523D"/>
    <w:rsid w:val="2E7A08F9"/>
    <w:rsid w:val="2E7B33BD"/>
    <w:rsid w:val="2E836803"/>
    <w:rsid w:val="2E96363C"/>
    <w:rsid w:val="2EB86707"/>
    <w:rsid w:val="2EC92184"/>
    <w:rsid w:val="2ECD27F6"/>
    <w:rsid w:val="2F013C6A"/>
    <w:rsid w:val="2F0E1C14"/>
    <w:rsid w:val="2F366FC1"/>
    <w:rsid w:val="2F5034C7"/>
    <w:rsid w:val="2F866106"/>
    <w:rsid w:val="2FA3249D"/>
    <w:rsid w:val="2FC05B92"/>
    <w:rsid w:val="2FCA4F61"/>
    <w:rsid w:val="2FD13178"/>
    <w:rsid w:val="2FDE3BE4"/>
    <w:rsid w:val="2FEC1413"/>
    <w:rsid w:val="2FEF5C51"/>
    <w:rsid w:val="301F1E0F"/>
    <w:rsid w:val="302E6295"/>
    <w:rsid w:val="303329F0"/>
    <w:rsid w:val="303818E5"/>
    <w:rsid w:val="303F1851"/>
    <w:rsid w:val="303F79AD"/>
    <w:rsid w:val="30492212"/>
    <w:rsid w:val="304C3A2B"/>
    <w:rsid w:val="30596318"/>
    <w:rsid w:val="3064040F"/>
    <w:rsid w:val="306F339C"/>
    <w:rsid w:val="30762710"/>
    <w:rsid w:val="30814CF1"/>
    <w:rsid w:val="308E4163"/>
    <w:rsid w:val="30C20BA4"/>
    <w:rsid w:val="30C478ED"/>
    <w:rsid w:val="30EC01FB"/>
    <w:rsid w:val="30F54D00"/>
    <w:rsid w:val="31026564"/>
    <w:rsid w:val="310A5122"/>
    <w:rsid w:val="312107CD"/>
    <w:rsid w:val="31210CA8"/>
    <w:rsid w:val="31215285"/>
    <w:rsid w:val="312D0344"/>
    <w:rsid w:val="31346C1B"/>
    <w:rsid w:val="314A407E"/>
    <w:rsid w:val="317038BB"/>
    <w:rsid w:val="317958D0"/>
    <w:rsid w:val="318D218C"/>
    <w:rsid w:val="31964319"/>
    <w:rsid w:val="319A32FE"/>
    <w:rsid w:val="319E66A5"/>
    <w:rsid w:val="31A53AB7"/>
    <w:rsid w:val="31A801F9"/>
    <w:rsid w:val="31C57FB2"/>
    <w:rsid w:val="31C932E2"/>
    <w:rsid w:val="31F61F62"/>
    <w:rsid w:val="320358D0"/>
    <w:rsid w:val="32052FE4"/>
    <w:rsid w:val="320B77FD"/>
    <w:rsid w:val="321976B1"/>
    <w:rsid w:val="321D6876"/>
    <w:rsid w:val="3220390C"/>
    <w:rsid w:val="322B51BC"/>
    <w:rsid w:val="322F26BF"/>
    <w:rsid w:val="32313F22"/>
    <w:rsid w:val="324365D8"/>
    <w:rsid w:val="32643522"/>
    <w:rsid w:val="326470BA"/>
    <w:rsid w:val="32744A8B"/>
    <w:rsid w:val="32753DA5"/>
    <w:rsid w:val="32886DB3"/>
    <w:rsid w:val="32895C45"/>
    <w:rsid w:val="32A43D99"/>
    <w:rsid w:val="32B141E0"/>
    <w:rsid w:val="32B44D2D"/>
    <w:rsid w:val="32BA4DA7"/>
    <w:rsid w:val="32C90A49"/>
    <w:rsid w:val="32FA2D7F"/>
    <w:rsid w:val="32FC6C4E"/>
    <w:rsid w:val="33085CC5"/>
    <w:rsid w:val="33262CBA"/>
    <w:rsid w:val="332B323C"/>
    <w:rsid w:val="332E3189"/>
    <w:rsid w:val="335B62EC"/>
    <w:rsid w:val="335E79BA"/>
    <w:rsid w:val="3360061D"/>
    <w:rsid w:val="336549AB"/>
    <w:rsid w:val="33782709"/>
    <w:rsid w:val="338B51B6"/>
    <w:rsid w:val="338D077F"/>
    <w:rsid w:val="3392025F"/>
    <w:rsid w:val="33A8285D"/>
    <w:rsid w:val="33AC1E29"/>
    <w:rsid w:val="33B17041"/>
    <w:rsid w:val="33B202F3"/>
    <w:rsid w:val="33B20F64"/>
    <w:rsid w:val="33EE53FA"/>
    <w:rsid w:val="33FD7485"/>
    <w:rsid w:val="34012F1B"/>
    <w:rsid w:val="343D7698"/>
    <w:rsid w:val="34467089"/>
    <w:rsid w:val="34523AB5"/>
    <w:rsid w:val="346B4B47"/>
    <w:rsid w:val="346E4F77"/>
    <w:rsid w:val="34762AAC"/>
    <w:rsid w:val="348402A8"/>
    <w:rsid w:val="34B510BB"/>
    <w:rsid w:val="34BB2714"/>
    <w:rsid w:val="34C25EF7"/>
    <w:rsid w:val="34D20F28"/>
    <w:rsid w:val="34E22DC0"/>
    <w:rsid w:val="34E42621"/>
    <w:rsid w:val="350233D4"/>
    <w:rsid w:val="35195F01"/>
    <w:rsid w:val="35313A72"/>
    <w:rsid w:val="35493C91"/>
    <w:rsid w:val="355C0228"/>
    <w:rsid w:val="357800DF"/>
    <w:rsid w:val="358527FB"/>
    <w:rsid w:val="358B5BCF"/>
    <w:rsid w:val="359A77E8"/>
    <w:rsid w:val="359D0C08"/>
    <w:rsid w:val="35A1790B"/>
    <w:rsid w:val="35A45B99"/>
    <w:rsid w:val="35B01090"/>
    <w:rsid w:val="35D46B3A"/>
    <w:rsid w:val="35DD2073"/>
    <w:rsid w:val="35DF75FB"/>
    <w:rsid w:val="35EB21A5"/>
    <w:rsid w:val="35F52D00"/>
    <w:rsid w:val="35FF153A"/>
    <w:rsid w:val="3606622C"/>
    <w:rsid w:val="36077316"/>
    <w:rsid w:val="3613278E"/>
    <w:rsid w:val="36356D4F"/>
    <w:rsid w:val="36405687"/>
    <w:rsid w:val="36414112"/>
    <w:rsid w:val="365F3D60"/>
    <w:rsid w:val="36645530"/>
    <w:rsid w:val="367851C1"/>
    <w:rsid w:val="369510BC"/>
    <w:rsid w:val="36973632"/>
    <w:rsid w:val="36A30194"/>
    <w:rsid w:val="36D21A02"/>
    <w:rsid w:val="37104DEB"/>
    <w:rsid w:val="372D0977"/>
    <w:rsid w:val="37337382"/>
    <w:rsid w:val="374D5647"/>
    <w:rsid w:val="374F42A7"/>
    <w:rsid w:val="37506DBE"/>
    <w:rsid w:val="3759338C"/>
    <w:rsid w:val="37654002"/>
    <w:rsid w:val="378E3E66"/>
    <w:rsid w:val="37C244FC"/>
    <w:rsid w:val="37D95C79"/>
    <w:rsid w:val="37E81F7B"/>
    <w:rsid w:val="38026A1B"/>
    <w:rsid w:val="38197832"/>
    <w:rsid w:val="383903C6"/>
    <w:rsid w:val="383C423B"/>
    <w:rsid w:val="38415136"/>
    <w:rsid w:val="38482EC7"/>
    <w:rsid w:val="386C1D38"/>
    <w:rsid w:val="387A25A5"/>
    <w:rsid w:val="38963295"/>
    <w:rsid w:val="389D2F53"/>
    <w:rsid w:val="38A945B7"/>
    <w:rsid w:val="38CC2A09"/>
    <w:rsid w:val="38D677A2"/>
    <w:rsid w:val="38D770AE"/>
    <w:rsid w:val="38F70050"/>
    <w:rsid w:val="38FC33FC"/>
    <w:rsid w:val="38FD0E84"/>
    <w:rsid w:val="38FF1B5B"/>
    <w:rsid w:val="390273B1"/>
    <w:rsid w:val="39153767"/>
    <w:rsid w:val="39225CA9"/>
    <w:rsid w:val="3923070B"/>
    <w:rsid w:val="392C49BB"/>
    <w:rsid w:val="39381E2B"/>
    <w:rsid w:val="3942282F"/>
    <w:rsid w:val="3953338B"/>
    <w:rsid w:val="39606D9C"/>
    <w:rsid w:val="396B7002"/>
    <w:rsid w:val="396C2A15"/>
    <w:rsid w:val="397228F1"/>
    <w:rsid w:val="39AC01F9"/>
    <w:rsid w:val="39B73BAC"/>
    <w:rsid w:val="39B7517F"/>
    <w:rsid w:val="39BA3B51"/>
    <w:rsid w:val="39BE1BED"/>
    <w:rsid w:val="39C20795"/>
    <w:rsid w:val="39E90E2B"/>
    <w:rsid w:val="39E94D86"/>
    <w:rsid w:val="39F1638E"/>
    <w:rsid w:val="3A001C79"/>
    <w:rsid w:val="3A1513BA"/>
    <w:rsid w:val="3A2A7393"/>
    <w:rsid w:val="3A2E618D"/>
    <w:rsid w:val="3A4109A1"/>
    <w:rsid w:val="3A742C8C"/>
    <w:rsid w:val="3A7B2702"/>
    <w:rsid w:val="3A896EEE"/>
    <w:rsid w:val="3AAA2893"/>
    <w:rsid w:val="3AAD5BAB"/>
    <w:rsid w:val="3ABB15C7"/>
    <w:rsid w:val="3AD8279E"/>
    <w:rsid w:val="3AE73EDB"/>
    <w:rsid w:val="3B08641D"/>
    <w:rsid w:val="3B1C7A19"/>
    <w:rsid w:val="3B2B5582"/>
    <w:rsid w:val="3B4234D4"/>
    <w:rsid w:val="3B75129C"/>
    <w:rsid w:val="3B7622BA"/>
    <w:rsid w:val="3B7C1C88"/>
    <w:rsid w:val="3B8107C8"/>
    <w:rsid w:val="3B8972AA"/>
    <w:rsid w:val="3BA219B8"/>
    <w:rsid w:val="3BA96003"/>
    <w:rsid w:val="3BC61A51"/>
    <w:rsid w:val="3BC94324"/>
    <w:rsid w:val="3BDC6748"/>
    <w:rsid w:val="3BE14893"/>
    <w:rsid w:val="3BE8265C"/>
    <w:rsid w:val="3BE92A35"/>
    <w:rsid w:val="3BEB460F"/>
    <w:rsid w:val="3BEF1DA2"/>
    <w:rsid w:val="3BF64635"/>
    <w:rsid w:val="3BF956C3"/>
    <w:rsid w:val="3C095063"/>
    <w:rsid w:val="3C0E5CDB"/>
    <w:rsid w:val="3C2D6B86"/>
    <w:rsid w:val="3C4D3B02"/>
    <w:rsid w:val="3C5B1D89"/>
    <w:rsid w:val="3C85498F"/>
    <w:rsid w:val="3C8946A5"/>
    <w:rsid w:val="3CA372A1"/>
    <w:rsid w:val="3CA600E0"/>
    <w:rsid w:val="3CB765A9"/>
    <w:rsid w:val="3CBA4326"/>
    <w:rsid w:val="3CBC0BE3"/>
    <w:rsid w:val="3CC614DA"/>
    <w:rsid w:val="3CD01DA9"/>
    <w:rsid w:val="3CDA38F5"/>
    <w:rsid w:val="3CDD517D"/>
    <w:rsid w:val="3CE33FC3"/>
    <w:rsid w:val="3CEA3B31"/>
    <w:rsid w:val="3CF9401E"/>
    <w:rsid w:val="3CFC6325"/>
    <w:rsid w:val="3D093C71"/>
    <w:rsid w:val="3D1A22C0"/>
    <w:rsid w:val="3D294B1B"/>
    <w:rsid w:val="3D2B034D"/>
    <w:rsid w:val="3D5A60CA"/>
    <w:rsid w:val="3D6675F5"/>
    <w:rsid w:val="3D9F4364"/>
    <w:rsid w:val="3DA702BF"/>
    <w:rsid w:val="3DB92106"/>
    <w:rsid w:val="3DCF457D"/>
    <w:rsid w:val="3DF169A7"/>
    <w:rsid w:val="3DF2399F"/>
    <w:rsid w:val="3DF40FE4"/>
    <w:rsid w:val="3E0519AD"/>
    <w:rsid w:val="3E4A1D40"/>
    <w:rsid w:val="3E4C287B"/>
    <w:rsid w:val="3E5C42CF"/>
    <w:rsid w:val="3E633FD2"/>
    <w:rsid w:val="3E6F32D2"/>
    <w:rsid w:val="3E742C66"/>
    <w:rsid w:val="3E7E19E7"/>
    <w:rsid w:val="3E8572BF"/>
    <w:rsid w:val="3E917B82"/>
    <w:rsid w:val="3E9656A5"/>
    <w:rsid w:val="3E997463"/>
    <w:rsid w:val="3E9F7600"/>
    <w:rsid w:val="3ECD5479"/>
    <w:rsid w:val="3ED62B90"/>
    <w:rsid w:val="3EE34DD3"/>
    <w:rsid w:val="3EF434CC"/>
    <w:rsid w:val="3EFB6FF7"/>
    <w:rsid w:val="3EFF0A75"/>
    <w:rsid w:val="3F1054CE"/>
    <w:rsid w:val="3F2534F3"/>
    <w:rsid w:val="3F3A1B65"/>
    <w:rsid w:val="3F3A5EB9"/>
    <w:rsid w:val="3F522210"/>
    <w:rsid w:val="3F544AF6"/>
    <w:rsid w:val="3F5C361D"/>
    <w:rsid w:val="3F5E64F5"/>
    <w:rsid w:val="3F656A54"/>
    <w:rsid w:val="3F656E2C"/>
    <w:rsid w:val="3F6D5029"/>
    <w:rsid w:val="3F85356C"/>
    <w:rsid w:val="3F8A07FD"/>
    <w:rsid w:val="3F92376D"/>
    <w:rsid w:val="3F9C1CD6"/>
    <w:rsid w:val="3FB035B9"/>
    <w:rsid w:val="3FC45A80"/>
    <w:rsid w:val="3FDE13B9"/>
    <w:rsid w:val="3FE029F1"/>
    <w:rsid w:val="3FE457AE"/>
    <w:rsid w:val="3FE57701"/>
    <w:rsid w:val="3FF57DD8"/>
    <w:rsid w:val="400C4E03"/>
    <w:rsid w:val="40126EBB"/>
    <w:rsid w:val="401A4D54"/>
    <w:rsid w:val="40262C07"/>
    <w:rsid w:val="404209E3"/>
    <w:rsid w:val="40451C67"/>
    <w:rsid w:val="404A1B2B"/>
    <w:rsid w:val="404A601E"/>
    <w:rsid w:val="404C52F4"/>
    <w:rsid w:val="405C0FC1"/>
    <w:rsid w:val="40733CBA"/>
    <w:rsid w:val="407A4DF7"/>
    <w:rsid w:val="4099592E"/>
    <w:rsid w:val="40A31410"/>
    <w:rsid w:val="40B16CC2"/>
    <w:rsid w:val="40B81BAD"/>
    <w:rsid w:val="40BB2365"/>
    <w:rsid w:val="40D23962"/>
    <w:rsid w:val="40D61BC8"/>
    <w:rsid w:val="40DC4F1D"/>
    <w:rsid w:val="40DF2097"/>
    <w:rsid w:val="40E71ABD"/>
    <w:rsid w:val="413C11C7"/>
    <w:rsid w:val="41447F0E"/>
    <w:rsid w:val="414733E0"/>
    <w:rsid w:val="41566753"/>
    <w:rsid w:val="416A21FA"/>
    <w:rsid w:val="416B09D7"/>
    <w:rsid w:val="417D1E08"/>
    <w:rsid w:val="417D5552"/>
    <w:rsid w:val="4188208C"/>
    <w:rsid w:val="419158DF"/>
    <w:rsid w:val="419B51EE"/>
    <w:rsid w:val="41B11897"/>
    <w:rsid w:val="41C55588"/>
    <w:rsid w:val="41C57D35"/>
    <w:rsid w:val="41F34606"/>
    <w:rsid w:val="41FB3C41"/>
    <w:rsid w:val="4200399D"/>
    <w:rsid w:val="420E20BD"/>
    <w:rsid w:val="421647B9"/>
    <w:rsid w:val="42263E3B"/>
    <w:rsid w:val="422C70F1"/>
    <w:rsid w:val="423C6CFA"/>
    <w:rsid w:val="42442693"/>
    <w:rsid w:val="42521F95"/>
    <w:rsid w:val="428D1B97"/>
    <w:rsid w:val="42B608A5"/>
    <w:rsid w:val="42BC6C8F"/>
    <w:rsid w:val="42C5446D"/>
    <w:rsid w:val="42D33254"/>
    <w:rsid w:val="42E94337"/>
    <w:rsid w:val="43031943"/>
    <w:rsid w:val="43056584"/>
    <w:rsid w:val="431327F1"/>
    <w:rsid w:val="43182DB2"/>
    <w:rsid w:val="4368794F"/>
    <w:rsid w:val="436D0FB5"/>
    <w:rsid w:val="437518D1"/>
    <w:rsid w:val="438D1E49"/>
    <w:rsid w:val="43B23B98"/>
    <w:rsid w:val="43C80076"/>
    <w:rsid w:val="43D8550E"/>
    <w:rsid w:val="43DC0C7D"/>
    <w:rsid w:val="43DD43D5"/>
    <w:rsid w:val="43EA69D8"/>
    <w:rsid w:val="44145783"/>
    <w:rsid w:val="44356D2F"/>
    <w:rsid w:val="44390E25"/>
    <w:rsid w:val="44433468"/>
    <w:rsid w:val="44437F9F"/>
    <w:rsid w:val="444F5C68"/>
    <w:rsid w:val="44613E6E"/>
    <w:rsid w:val="4469669F"/>
    <w:rsid w:val="446A5324"/>
    <w:rsid w:val="447E7804"/>
    <w:rsid w:val="44943661"/>
    <w:rsid w:val="44A05C5C"/>
    <w:rsid w:val="44AA58B3"/>
    <w:rsid w:val="44AC7417"/>
    <w:rsid w:val="44B16853"/>
    <w:rsid w:val="44FC39B7"/>
    <w:rsid w:val="450D5FAD"/>
    <w:rsid w:val="45172F07"/>
    <w:rsid w:val="451D5184"/>
    <w:rsid w:val="452F3716"/>
    <w:rsid w:val="453C65FD"/>
    <w:rsid w:val="454B256E"/>
    <w:rsid w:val="455D76E4"/>
    <w:rsid w:val="45646F33"/>
    <w:rsid w:val="45671007"/>
    <w:rsid w:val="456C331B"/>
    <w:rsid w:val="45A26739"/>
    <w:rsid w:val="45B07140"/>
    <w:rsid w:val="45C43431"/>
    <w:rsid w:val="45EE3358"/>
    <w:rsid w:val="46066722"/>
    <w:rsid w:val="461976C3"/>
    <w:rsid w:val="461C0664"/>
    <w:rsid w:val="463D42BA"/>
    <w:rsid w:val="46521A41"/>
    <w:rsid w:val="465D50F1"/>
    <w:rsid w:val="46771C91"/>
    <w:rsid w:val="467F06A4"/>
    <w:rsid w:val="4694259D"/>
    <w:rsid w:val="46A64B43"/>
    <w:rsid w:val="46AA5A85"/>
    <w:rsid w:val="46AC6264"/>
    <w:rsid w:val="46C01696"/>
    <w:rsid w:val="46C52BE0"/>
    <w:rsid w:val="46D118AB"/>
    <w:rsid w:val="46F30AEE"/>
    <w:rsid w:val="47123940"/>
    <w:rsid w:val="47204C1C"/>
    <w:rsid w:val="4726595C"/>
    <w:rsid w:val="47600773"/>
    <w:rsid w:val="47661F26"/>
    <w:rsid w:val="476E25F3"/>
    <w:rsid w:val="47783B12"/>
    <w:rsid w:val="477D5156"/>
    <w:rsid w:val="477F2265"/>
    <w:rsid w:val="47890AD6"/>
    <w:rsid w:val="478D2FF6"/>
    <w:rsid w:val="478F6037"/>
    <w:rsid w:val="4798720D"/>
    <w:rsid w:val="47BF7C9C"/>
    <w:rsid w:val="47C2246C"/>
    <w:rsid w:val="47CA5F05"/>
    <w:rsid w:val="47D429C9"/>
    <w:rsid w:val="47DA1720"/>
    <w:rsid w:val="47E11737"/>
    <w:rsid w:val="47E77D53"/>
    <w:rsid w:val="47EE48C0"/>
    <w:rsid w:val="47F35E3E"/>
    <w:rsid w:val="47FB766F"/>
    <w:rsid w:val="48064E6E"/>
    <w:rsid w:val="4808575C"/>
    <w:rsid w:val="480B439D"/>
    <w:rsid w:val="482F10F4"/>
    <w:rsid w:val="48606A0B"/>
    <w:rsid w:val="486D78BB"/>
    <w:rsid w:val="48915636"/>
    <w:rsid w:val="48985F31"/>
    <w:rsid w:val="48AC6E35"/>
    <w:rsid w:val="48BD43A0"/>
    <w:rsid w:val="48C96968"/>
    <w:rsid w:val="48E1714C"/>
    <w:rsid w:val="48F84416"/>
    <w:rsid w:val="490874C4"/>
    <w:rsid w:val="49155047"/>
    <w:rsid w:val="491A6A98"/>
    <w:rsid w:val="491D4AAF"/>
    <w:rsid w:val="4926292B"/>
    <w:rsid w:val="49371235"/>
    <w:rsid w:val="494324F6"/>
    <w:rsid w:val="49455D20"/>
    <w:rsid w:val="497B341F"/>
    <w:rsid w:val="49A873C0"/>
    <w:rsid w:val="49B415EE"/>
    <w:rsid w:val="49B63FD6"/>
    <w:rsid w:val="49BF4D00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11169A"/>
    <w:rsid w:val="4A212635"/>
    <w:rsid w:val="4A2175B6"/>
    <w:rsid w:val="4A4260CB"/>
    <w:rsid w:val="4A611E1A"/>
    <w:rsid w:val="4A7055A6"/>
    <w:rsid w:val="4A9C47ED"/>
    <w:rsid w:val="4AA71D5E"/>
    <w:rsid w:val="4AAA6CA9"/>
    <w:rsid w:val="4AE008D2"/>
    <w:rsid w:val="4B0B3617"/>
    <w:rsid w:val="4B2815DF"/>
    <w:rsid w:val="4B473F5E"/>
    <w:rsid w:val="4B49191E"/>
    <w:rsid w:val="4B507FB2"/>
    <w:rsid w:val="4B5B3F58"/>
    <w:rsid w:val="4B647620"/>
    <w:rsid w:val="4B695935"/>
    <w:rsid w:val="4B7A55E6"/>
    <w:rsid w:val="4B82653E"/>
    <w:rsid w:val="4B894031"/>
    <w:rsid w:val="4B8C1A83"/>
    <w:rsid w:val="4B946154"/>
    <w:rsid w:val="4B9C6C85"/>
    <w:rsid w:val="4BB12731"/>
    <w:rsid w:val="4BE10A59"/>
    <w:rsid w:val="4BE123D1"/>
    <w:rsid w:val="4C0A534C"/>
    <w:rsid w:val="4C0F01F9"/>
    <w:rsid w:val="4C270B31"/>
    <w:rsid w:val="4C3202E6"/>
    <w:rsid w:val="4C6370A1"/>
    <w:rsid w:val="4C736886"/>
    <w:rsid w:val="4C7F7CEF"/>
    <w:rsid w:val="4C821AA7"/>
    <w:rsid w:val="4CA43125"/>
    <w:rsid w:val="4CAC2A11"/>
    <w:rsid w:val="4CB01CB9"/>
    <w:rsid w:val="4CCD33EA"/>
    <w:rsid w:val="4CCF426B"/>
    <w:rsid w:val="4CFE069C"/>
    <w:rsid w:val="4D033F9C"/>
    <w:rsid w:val="4D055E23"/>
    <w:rsid w:val="4D2433AC"/>
    <w:rsid w:val="4D4A4A28"/>
    <w:rsid w:val="4D5C4C1E"/>
    <w:rsid w:val="4D5D7D7F"/>
    <w:rsid w:val="4D625C01"/>
    <w:rsid w:val="4D8F350E"/>
    <w:rsid w:val="4D924E46"/>
    <w:rsid w:val="4D9877E4"/>
    <w:rsid w:val="4DBD22E7"/>
    <w:rsid w:val="4DC25072"/>
    <w:rsid w:val="4DC73507"/>
    <w:rsid w:val="4DDA6A5F"/>
    <w:rsid w:val="4DDB7205"/>
    <w:rsid w:val="4DDF772B"/>
    <w:rsid w:val="4DEB15AD"/>
    <w:rsid w:val="4DF87443"/>
    <w:rsid w:val="4E370600"/>
    <w:rsid w:val="4E435024"/>
    <w:rsid w:val="4E4E7E80"/>
    <w:rsid w:val="4E534A5B"/>
    <w:rsid w:val="4E5C5562"/>
    <w:rsid w:val="4E5F69A8"/>
    <w:rsid w:val="4E655726"/>
    <w:rsid w:val="4E754A02"/>
    <w:rsid w:val="4E95725E"/>
    <w:rsid w:val="4E9A6CF9"/>
    <w:rsid w:val="4EA56E6D"/>
    <w:rsid w:val="4EA65FD0"/>
    <w:rsid w:val="4ED33DCB"/>
    <w:rsid w:val="4EE34782"/>
    <w:rsid w:val="4EE63F4F"/>
    <w:rsid w:val="4F007E65"/>
    <w:rsid w:val="4F0A1AF8"/>
    <w:rsid w:val="4F0B04A7"/>
    <w:rsid w:val="4F203D73"/>
    <w:rsid w:val="4F27252E"/>
    <w:rsid w:val="4F323E26"/>
    <w:rsid w:val="4F3913E8"/>
    <w:rsid w:val="4F501419"/>
    <w:rsid w:val="4F594DAC"/>
    <w:rsid w:val="4F6C3F07"/>
    <w:rsid w:val="4F830574"/>
    <w:rsid w:val="4F8976AB"/>
    <w:rsid w:val="4F8D5FB6"/>
    <w:rsid w:val="4F9753D7"/>
    <w:rsid w:val="4FA54804"/>
    <w:rsid w:val="4FBF34BA"/>
    <w:rsid w:val="4FCA2B98"/>
    <w:rsid w:val="4FCB218A"/>
    <w:rsid w:val="4FCE7BAE"/>
    <w:rsid w:val="4FFE4A87"/>
    <w:rsid w:val="500344EA"/>
    <w:rsid w:val="500B7B4C"/>
    <w:rsid w:val="503C3296"/>
    <w:rsid w:val="504B0F0D"/>
    <w:rsid w:val="50527689"/>
    <w:rsid w:val="506633AA"/>
    <w:rsid w:val="507237E3"/>
    <w:rsid w:val="50911DB8"/>
    <w:rsid w:val="50943033"/>
    <w:rsid w:val="509D389C"/>
    <w:rsid w:val="50A642FD"/>
    <w:rsid w:val="50AF647F"/>
    <w:rsid w:val="50BB317D"/>
    <w:rsid w:val="50C664D1"/>
    <w:rsid w:val="50CC33D9"/>
    <w:rsid w:val="50D06E68"/>
    <w:rsid w:val="50D37C72"/>
    <w:rsid w:val="50E466DC"/>
    <w:rsid w:val="50EA1869"/>
    <w:rsid w:val="50FD00F4"/>
    <w:rsid w:val="50FD6AED"/>
    <w:rsid w:val="50FF056E"/>
    <w:rsid w:val="51031BD4"/>
    <w:rsid w:val="510F2A7F"/>
    <w:rsid w:val="51273B6A"/>
    <w:rsid w:val="512746EF"/>
    <w:rsid w:val="51283E4C"/>
    <w:rsid w:val="51291D35"/>
    <w:rsid w:val="512B3A7F"/>
    <w:rsid w:val="51414399"/>
    <w:rsid w:val="515D5FD6"/>
    <w:rsid w:val="516A7012"/>
    <w:rsid w:val="51721A38"/>
    <w:rsid w:val="517D016D"/>
    <w:rsid w:val="51A45867"/>
    <w:rsid w:val="51AD7250"/>
    <w:rsid w:val="51C23892"/>
    <w:rsid w:val="51CF1465"/>
    <w:rsid w:val="51D1247D"/>
    <w:rsid w:val="51EC4955"/>
    <w:rsid w:val="51F067B7"/>
    <w:rsid w:val="52077D46"/>
    <w:rsid w:val="52187D0D"/>
    <w:rsid w:val="52361B9C"/>
    <w:rsid w:val="52362A26"/>
    <w:rsid w:val="523B0BAD"/>
    <w:rsid w:val="524B7169"/>
    <w:rsid w:val="5250515D"/>
    <w:rsid w:val="52670DFD"/>
    <w:rsid w:val="526921DD"/>
    <w:rsid w:val="5297132B"/>
    <w:rsid w:val="529F28D8"/>
    <w:rsid w:val="529F6FBB"/>
    <w:rsid w:val="52C076EC"/>
    <w:rsid w:val="52C25708"/>
    <w:rsid w:val="52C315CC"/>
    <w:rsid w:val="52CD10CA"/>
    <w:rsid w:val="52D834C0"/>
    <w:rsid w:val="52DA0FDF"/>
    <w:rsid w:val="52EB6F11"/>
    <w:rsid w:val="52F0249E"/>
    <w:rsid w:val="52F7218C"/>
    <w:rsid w:val="5353575F"/>
    <w:rsid w:val="535B2E70"/>
    <w:rsid w:val="535C4E8B"/>
    <w:rsid w:val="536278AA"/>
    <w:rsid w:val="53673357"/>
    <w:rsid w:val="53676B5F"/>
    <w:rsid w:val="536E21FF"/>
    <w:rsid w:val="5385006E"/>
    <w:rsid w:val="538A4A6D"/>
    <w:rsid w:val="53B45677"/>
    <w:rsid w:val="53DD2466"/>
    <w:rsid w:val="53E34323"/>
    <w:rsid w:val="53FC3987"/>
    <w:rsid w:val="54120B01"/>
    <w:rsid w:val="5427381E"/>
    <w:rsid w:val="543B788E"/>
    <w:rsid w:val="54447CBB"/>
    <w:rsid w:val="545062A7"/>
    <w:rsid w:val="545C3555"/>
    <w:rsid w:val="54617320"/>
    <w:rsid w:val="547A28DC"/>
    <w:rsid w:val="54827775"/>
    <w:rsid w:val="54AC5134"/>
    <w:rsid w:val="54DE6078"/>
    <w:rsid w:val="54E86EBD"/>
    <w:rsid w:val="54F2526E"/>
    <w:rsid w:val="55075D9B"/>
    <w:rsid w:val="55184BBF"/>
    <w:rsid w:val="551874CA"/>
    <w:rsid w:val="551E6A56"/>
    <w:rsid w:val="552006D3"/>
    <w:rsid w:val="55301CB3"/>
    <w:rsid w:val="55327054"/>
    <w:rsid w:val="553A26BA"/>
    <w:rsid w:val="5556054C"/>
    <w:rsid w:val="555C7B5A"/>
    <w:rsid w:val="5567219F"/>
    <w:rsid w:val="556E33F4"/>
    <w:rsid w:val="55862A42"/>
    <w:rsid w:val="5597330F"/>
    <w:rsid w:val="55990578"/>
    <w:rsid w:val="55A56891"/>
    <w:rsid w:val="55AC66CB"/>
    <w:rsid w:val="55C33131"/>
    <w:rsid w:val="55CD7903"/>
    <w:rsid w:val="55E172A0"/>
    <w:rsid w:val="55E24605"/>
    <w:rsid w:val="55F81C60"/>
    <w:rsid w:val="55FA0F14"/>
    <w:rsid w:val="56097F90"/>
    <w:rsid w:val="56133E90"/>
    <w:rsid w:val="56356C8B"/>
    <w:rsid w:val="56474D43"/>
    <w:rsid w:val="564C1D1D"/>
    <w:rsid w:val="565F1E2E"/>
    <w:rsid w:val="56670F45"/>
    <w:rsid w:val="566F1BE2"/>
    <w:rsid w:val="567426CC"/>
    <w:rsid w:val="567B004B"/>
    <w:rsid w:val="56825178"/>
    <w:rsid w:val="568F784B"/>
    <w:rsid w:val="569C0124"/>
    <w:rsid w:val="56A17AE8"/>
    <w:rsid w:val="56C9634D"/>
    <w:rsid w:val="56D41BE8"/>
    <w:rsid w:val="56DD71F6"/>
    <w:rsid w:val="56EC7A5D"/>
    <w:rsid w:val="56F4599D"/>
    <w:rsid w:val="57013570"/>
    <w:rsid w:val="570D0322"/>
    <w:rsid w:val="57180ACE"/>
    <w:rsid w:val="571B61B6"/>
    <w:rsid w:val="57213E7D"/>
    <w:rsid w:val="5723561B"/>
    <w:rsid w:val="572362C9"/>
    <w:rsid w:val="572F37C6"/>
    <w:rsid w:val="5736629C"/>
    <w:rsid w:val="57540996"/>
    <w:rsid w:val="57802A35"/>
    <w:rsid w:val="578C3658"/>
    <w:rsid w:val="57B66918"/>
    <w:rsid w:val="57BD6FCE"/>
    <w:rsid w:val="57D214D2"/>
    <w:rsid w:val="57DA1A42"/>
    <w:rsid w:val="57EE53E1"/>
    <w:rsid w:val="58002D08"/>
    <w:rsid w:val="58057728"/>
    <w:rsid w:val="581D1F94"/>
    <w:rsid w:val="58214F74"/>
    <w:rsid w:val="582872BA"/>
    <w:rsid w:val="5829318A"/>
    <w:rsid w:val="582D7EE9"/>
    <w:rsid w:val="583343BB"/>
    <w:rsid w:val="583439B3"/>
    <w:rsid w:val="583B5787"/>
    <w:rsid w:val="586759C7"/>
    <w:rsid w:val="58737694"/>
    <w:rsid w:val="589D0BB5"/>
    <w:rsid w:val="58C07CA9"/>
    <w:rsid w:val="58DE5A38"/>
    <w:rsid w:val="58FA3844"/>
    <w:rsid w:val="58FA7B16"/>
    <w:rsid w:val="58FB22A6"/>
    <w:rsid w:val="59003437"/>
    <w:rsid w:val="59182EE7"/>
    <w:rsid w:val="5921212C"/>
    <w:rsid w:val="59395687"/>
    <w:rsid w:val="596F472F"/>
    <w:rsid w:val="5974345D"/>
    <w:rsid w:val="597534AA"/>
    <w:rsid w:val="59951C91"/>
    <w:rsid w:val="59982867"/>
    <w:rsid w:val="59A11ED6"/>
    <w:rsid w:val="59AB0DFC"/>
    <w:rsid w:val="59B82194"/>
    <w:rsid w:val="59B91ACE"/>
    <w:rsid w:val="59C1557F"/>
    <w:rsid w:val="59C8615E"/>
    <w:rsid w:val="59DC0BCE"/>
    <w:rsid w:val="59E771C2"/>
    <w:rsid w:val="59E84659"/>
    <w:rsid w:val="59FF2575"/>
    <w:rsid w:val="5A344FB0"/>
    <w:rsid w:val="5A360707"/>
    <w:rsid w:val="5A482568"/>
    <w:rsid w:val="5A5755C9"/>
    <w:rsid w:val="5A5A13C0"/>
    <w:rsid w:val="5A772EA3"/>
    <w:rsid w:val="5A7D29E6"/>
    <w:rsid w:val="5A821401"/>
    <w:rsid w:val="5A8A2B4B"/>
    <w:rsid w:val="5A9F5080"/>
    <w:rsid w:val="5AAB6618"/>
    <w:rsid w:val="5AC52E1B"/>
    <w:rsid w:val="5AE91049"/>
    <w:rsid w:val="5AEF582B"/>
    <w:rsid w:val="5B0B5334"/>
    <w:rsid w:val="5B1B7ACD"/>
    <w:rsid w:val="5B247C71"/>
    <w:rsid w:val="5B2A406A"/>
    <w:rsid w:val="5B2B06FA"/>
    <w:rsid w:val="5B392BD6"/>
    <w:rsid w:val="5B3E21DC"/>
    <w:rsid w:val="5B561D67"/>
    <w:rsid w:val="5B774FD6"/>
    <w:rsid w:val="5B814790"/>
    <w:rsid w:val="5B82237F"/>
    <w:rsid w:val="5B824855"/>
    <w:rsid w:val="5B8305C0"/>
    <w:rsid w:val="5B856A19"/>
    <w:rsid w:val="5B88245B"/>
    <w:rsid w:val="5B8A0D7A"/>
    <w:rsid w:val="5B8B0F7C"/>
    <w:rsid w:val="5B995664"/>
    <w:rsid w:val="5B9E05AD"/>
    <w:rsid w:val="5BA30291"/>
    <w:rsid w:val="5BBB1AC4"/>
    <w:rsid w:val="5BE11C63"/>
    <w:rsid w:val="5BF24E07"/>
    <w:rsid w:val="5BF60D08"/>
    <w:rsid w:val="5BFB55EA"/>
    <w:rsid w:val="5C15792E"/>
    <w:rsid w:val="5C1A5869"/>
    <w:rsid w:val="5C2404DB"/>
    <w:rsid w:val="5C290BF2"/>
    <w:rsid w:val="5C4E1E1E"/>
    <w:rsid w:val="5C4F343B"/>
    <w:rsid w:val="5C533874"/>
    <w:rsid w:val="5C6A79EB"/>
    <w:rsid w:val="5C912690"/>
    <w:rsid w:val="5C970365"/>
    <w:rsid w:val="5C9F632F"/>
    <w:rsid w:val="5CB3754B"/>
    <w:rsid w:val="5CCB04A2"/>
    <w:rsid w:val="5CCC3817"/>
    <w:rsid w:val="5CCD7E04"/>
    <w:rsid w:val="5CD51F6A"/>
    <w:rsid w:val="5CD6026B"/>
    <w:rsid w:val="5CE319F6"/>
    <w:rsid w:val="5CE42846"/>
    <w:rsid w:val="5CE9406B"/>
    <w:rsid w:val="5D0656E1"/>
    <w:rsid w:val="5D566DF5"/>
    <w:rsid w:val="5D5736EC"/>
    <w:rsid w:val="5D592213"/>
    <w:rsid w:val="5D6808B8"/>
    <w:rsid w:val="5D7067ED"/>
    <w:rsid w:val="5D77660D"/>
    <w:rsid w:val="5D7A7C97"/>
    <w:rsid w:val="5D8A240A"/>
    <w:rsid w:val="5D8A4019"/>
    <w:rsid w:val="5D9907FA"/>
    <w:rsid w:val="5DCD4FAD"/>
    <w:rsid w:val="5DD45E20"/>
    <w:rsid w:val="5DD77F01"/>
    <w:rsid w:val="5DF376B4"/>
    <w:rsid w:val="5DF974C4"/>
    <w:rsid w:val="5E150E16"/>
    <w:rsid w:val="5E156702"/>
    <w:rsid w:val="5E2C3CE8"/>
    <w:rsid w:val="5E480DBB"/>
    <w:rsid w:val="5E532C32"/>
    <w:rsid w:val="5E6B78B9"/>
    <w:rsid w:val="5E72530D"/>
    <w:rsid w:val="5E7B3471"/>
    <w:rsid w:val="5E811840"/>
    <w:rsid w:val="5EAC620C"/>
    <w:rsid w:val="5EB56E43"/>
    <w:rsid w:val="5EDB6E5E"/>
    <w:rsid w:val="5F050603"/>
    <w:rsid w:val="5F0F5BF5"/>
    <w:rsid w:val="5F1070E5"/>
    <w:rsid w:val="5F137093"/>
    <w:rsid w:val="5F475DFB"/>
    <w:rsid w:val="5F4A6912"/>
    <w:rsid w:val="5F565012"/>
    <w:rsid w:val="5FA342D5"/>
    <w:rsid w:val="5FA40581"/>
    <w:rsid w:val="5FBF418B"/>
    <w:rsid w:val="5FC03F1C"/>
    <w:rsid w:val="5FC128D4"/>
    <w:rsid w:val="5FC577B3"/>
    <w:rsid w:val="5FFB751D"/>
    <w:rsid w:val="5FFC1DCE"/>
    <w:rsid w:val="60062097"/>
    <w:rsid w:val="602423C7"/>
    <w:rsid w:val="603275D4"/>
    <w:rsid w:val="603F2394"/>
    <w:rsid w:val="604407B5"/>
    <w:rsid w:val="60487E62"/>
    <w:rsid w:val="605A5C34"/>
    <w:rsid w:val="60630B92"/>
    <w:rsid w:val="606E4C0D"/>
    <w:rsid w:val="60884F4C"/>
    <w:rsid w:val="60935B47"/>
    <w:rsid w:val="60A056E7"/>
    <w:rsid w:val="60B06CDD"/>
    <w:rsid w:val="60C76F62"/>
    <w:rsid w:val="60CE1254"/>
    <w:rsid w:val="60D321CB"/>
    <w:rsid w:val="60D467A9"/>
    <w:rsid w:val="60EA12BA"/>
    <w:rsid w:val="60EB3CE8"/>
    <w:rsid w:val="61034470"/>
    <w:rsid w:val="61041400"/>
    <w:rsid w:val="6108421E"/>
    <w:rsid w:val="610C08D6"/>
    <w:rsid w:val="61120392"/>
    <w:rsid w:val="611504BF"/>
    <w:rsid w:val="612135A9"/>
    <w:rsid w:val="61233B56"/>
    <w:rsid w:val="6129287D"/>
    <w:rsid w:val="6132170E"/>
    <w:rsid w:val="6132559A"/>
    <w:rsid w:val="61535DEE"/>
    <w:rsid w:val="6166167A"/>
    <w:rsid w:val="617020C2"/>
    <w:rsid w:val="61755B39"/>
    <w:rsid w:val="617A0C46"/>
    <w:rsid w:val="618B1EF3"/>
    <w:rsid w:val="61923281"/>
    <w:rsid w:val="61932B55"/>
    <w:rsid w:val="61A33787"/>
    <w:rsid w:val="61A66AB4"/>
    <w:rsid w:val="61BC38FA"/>
    <w:rsid w:val="61BE0E4F"/>
    <w:rsid w:val="61C243C9"/>
    <w:rsid w:val="61C85E7F"/>
    <w:rsid w:val="61CD78CF"/>
    <w:rsid w:val="61DA14FE"/>
    <w:rsid w:val="61E53D34"/>
    <w:rsid w:val="61E73697"/>
    <w:rsid w:val="61EE3162"/>
    <w:rsid w:val="61F62056"/>
    <w:rsid w:val="61F9219B"/>
    <w:rsid w:val="620208E6"/>
    <w:rsid w:val="620E46C5"/>
    <w:rsid w:val="620F37AC"/>
    <w:rsid w:val="621536B2"/>
    <w:rsid w:val="621C707C"/>
    <w:rsid w:val="621E0130"/>
    <w:rsid w:val="62271A32"/>
    <w:rsid w:val="6245212D"/>
    <w:rsid w:val="624B2E9D"/>
    <w:rsid w:val="62504ABA"/>
    <w:rsid w:val="62510C1A"/>
    <w:rsid w:val="62607DE0"/>
    <w:rsid w:val="62757089"/>
    <w:rsid w:val="62AE05DB"/>
    <w:rsid w:val="62B60A29"/>
    <w:rsid w:val="62BA5EE7"/>
    <w:rsid w:val="62F04E93"/>
    <w:rsid w:val="62F14EED"/>
    <w:rsid w:val="62FF3767"/>
    <w:rsid w:val="63074094"/>
    <w:rsid w:val="63092F54"/>
    <w:rsid w:val="63256E52"/>
    <w:rsid w:val="6337684E"/>
    <w:rsid w:val="63403C73"/>
    <w:rsid w:val="6351410B"/>
    <w:rsid w:val="635D4427"/>
    <w:rsid w:val="635F082F"/>
    <w:rsid w:val="63710CD7"/>
    <w:rsid w:val="639A0C81"/>
    <w:rsid w:val="63A00543"/>
    <w:rsid w:val="63BE2991"/>
    <w:rsid w:val="63D01E3F"/>
    <w:rsid w:val="63D672A4"/>
    <w:rsid w:val="63D97B78"/>
    <w:rsid w:val="63E8362C"/>
    <w:rsid w:val="63E900E8"/>
    <w:rsid w:val="63F105D2"/>
    <w:rsid w:val="64003000"/>
    <w:rsid w:val="64020FD8"/>
    <w:rsid w:val="640B49C1"/>
    <w:rsid w:val="64156CD8"/>
    <w:rsid w:val="64413D22"/>
    <w:rsid w:val="64446389"/>
    <w:rsid w:val="64470699"/>
    <w:rsid w:val="644B6CD5"/>
    <w:rsid w:val="646253D3"/>
    <w:rsid w:val="64627D01"/>
    <w:rsid w:val="6473435B"/>
    <w:rsid w:val="64864D44"/>
    <w:rsid w:val="64A01013"/>
    <w:rsid w:val="64C76164"/>
    <w:rsid w:val="64D3186F"/>
    <w:rsid w:val="64EF2266"/>
    <w:rsid w:val="64F33559"/>
    <w:rsid w:val="64FD2EEA"/>
    <w:rsid w:val="64FF1ABC"/>
    <w:rsid w:val="650E3520"/>
    <w:rsid w:val="654069DE"/>
    <w:rsid w:val="65413B3E"/>
    <w:rsid w:val="654B3E81"/>
    <w:rsid w:val="655555A6"/>
    <w:rsid w:val="655F14F0"/>
    <w:rsid w:val="65660277"/>
    <w:rsid w:val="656A6969"/>
    <w:rsid w:val="656E6D13"/>
    <w:rsid w:val="65990AED"/>
    <w:rsid w:val="65A63707"/>
    <w:rsid w:val="65A80F59"/>
    <w:rsid w:val="65AA319F"/>
    <w:rsid w:val="65AC5539"/>
    <w:rsid w:val="65BB595A"/>
    <w:rsid w:val="65F22562"/>
    <w:rsid w:val="65F65692"/>
    <w:rsid w:val="660C7338"/>
    <w:rsid w:val="6617100D"/>
    <w:rsid w:val="66407FD5"/>
    <w:rsid w:val="66415276"/>
    <w:rsid w:val="665346CA"/>
    <w:rsid w:val="6661498D"/>
    <w:rsid w:val="666B3926"/>
    <w:rsid w:val="668C5B9C"/>
    <w:rsid w:val="66A421AD"/>
    <w:rsid w:val="66C77BCC"/>
    <w:rsid w:val="66CF58C8"/>
    <w:rsid w:val="66D00FF0"/>
    <w:rsid w:val="66D63AE2"/>
    <w:rsid w:val="66E50A5C"/>
    <w:rsid w:val="66E5305A"/>
    <w:rsid w:val="66F611E1"/>
    <w:rsid w:val="66FA0A76"/>
    <w:rsid w:val="670314C2"/>
    <w:rsid w:val="670A28DD"/>
    <w:rsid w:val="671F2137"/>
    <w:rsid w:val="67256725"/>
    <w:rsid w:val="672C3BD3"/>
    <w:rsid w:val="67441F0C"/>
    <w:rsid w:val="674465E9"/>
    <w:rsid w:val="67594618"/>
    <w:rsid w:val="675B3954"/>
    <w:rsid w:val="676B6466"/>
    <w:rsid w:val="67954429"/>
    <w:rsid w:val="67C47F84"/>
    <w:rsid w:val="67D24335"/>
    <w:rsid w:val="67D85572"/>
    <w:rsid w:val="67DD10E7"/>
    <w:rsid w:val="67E51A4F"/>
    <w:rsid w:val="67E81C89"/>
    <w:rsid w:val="67F16AAB"/>
    <w:rsid w:val="67FC2A34"/>
    <w:rsid w:val="68022928"/>
    <w:rsid w:val="68163291"/>
    <w:rsid w:val="68244FDF"/>
    <w:rsid w:val="682634A6"/>
    <w:rsid w:val="68335612"/>
    <w:rsid w:val="683D75EE"/>
    <w:rsid w:val="683F6341"/>
    <w:rsid w:val="68413BF7"/>
    <w:rsid w:val="684A3899"/>
    <w:rsid w:val="68516552"/>
    <w:rsid w:val="68556DB7"/>
    <w:rsid w:val="685D249D"/>
    <w:rsid w:val="68600066"/>
    <w:rsid w:val="6861776A"/>
    <w:rsid w:val="687222C2"/>
    <w:rsid w:val="68790962"/>
    <w:rsid w:val="6879445C"/>
    <w:rsid w:val="687A5897"/>
    <w:rsid w:val="687D194E"/>
    <w:rsid w:val="68945561"/>
    <w:rsid w:val="689D6C87"/>
    <w:rsid w:val="68A05E34"/>
    <w:rsid w:val="68A240D7"/>
    <w:rsid w:val="68A4599C"/>
    <w:rsid w:val="68AD0074"/>
    <w:rsid w:val="68D4182F"/>
    <w:rsid w:val="68DA458B"/>
    <w:rsid w:val="68E565D8"/>
    <w:rsid w:val="68ED4DA7"/>
    <w:rsid w:val="68EF7605"/>
    <w:rsid w:val="68FC5EBD"/>
    <w:rsid w:val="69122538"/>
    <w:rsid w:val="69194FE8"/>
    <w:rsid w:val="691F4315"/>
    <w:rsid w:val="692D1AE1"/>
    <w:rsid w:val="69544350"/>
    <w:rsid w:val="69703FA0"/>
    <w:rsid w:val="69997B9C"/>
    <w:rsid w:val="69A84304"/>
    <w:rsid w:val="69B52A42"/>
    <w:rsid w:val="69B67148"/>
    <w:rsid w:val="69BE4DB3"/>
    <w:rsid w:val="69CF0E91"/>
    <w:rsid w:val="69CF0ED8"/>
    <w:rsid w:val="69D52B56"/>
    <w:rsid w:val="69D54DDD"/>
    <w:rsid w:val="69E028D2"/>
    <w:rsid w:val="69E874BD"/>
    <w:rsid w:val="69F54308"/>
    <w:rsid w:val="6A0A7A54"/>
    <w:rsid w:val="6A2622A1"/>
    <w:rsid w:val="6A2A76AB"/>
    <w:rsid w:val="6A35577F"/>
    <w:rsid w:val="6A3A22EA"/>
    <w:rsid w:val="6A3F2D1D"/>
    <w:rsid w:val="6A592054"/>
    <w:rsid w:val="6A777087"/>
    <w:rsid w:val="6A820574"/>
    <w:rsid w:val="6A99048F"/>
    <w:rsid w:val="6AA077DB"/>
    <w:rsid w:val="6AA47C92"/>
    <w:rsid w:val="6AB909BB"/>
    <w:rsid w:val="6ABA0C51"/>
    <w:rsid w:val="6ABD020C"/>
    <w:rsid w:val="6ACB2171"/>
    <w:rsid w:val="6ADD6D64"/>
    <w:rsid w:val="6B0F06C2"/>
    <w:rsid w:val="6B2B6878"/>
    <w:rsid w:val="6B3E7FD6"/>
    <w:rsid w:val="6B633F4F"/>
    <w:rsid w:val="6B70680D"/>
    <w:rsid w:val="6B816F14"/>
    <w:rsid w:val="6B8A298B"/>
    <w:rsid w:val="6B8A779B"/>
    <w:rsid w:val="6BAD6C20"/>
    <w:rsid w:val="6BB456BB"/>
    <w:rsid w:val="6BB62A44"/>
    <w:rsid w:val="6BD81D0A"/>
    <w:rsid w:val="6BE052CE"/>
    <w:rsid w:val="6BF2692A"/>
    <w:rsid w:val="6BF358A4"/>
    <w:rsid w:val="6C051F4E"/>
    <w:rsid w:val="6C096C12"/>
    <w:rsid w:val="6C1A5960"/>
    <w:rsid w:val="6C417EB8"/>
    <w:rsid w:val="6C613F45"/>
    <w:rsid w:val="6C6475C8"/>
    <w:rsid w:val="6C756221"/>
    <w:rsid w:val="6C7B08BB"/>
    <w:rsid w:val="6C816AF9"/>
    <w:rsid w:val="6C846341"/>
    <w:rsid w:val="6C846694"/>
    <w:rsid w:val="6CA841D2"/>
    <w:rsid w:val="6CB10385"/>
    <w:rsid w:val="6CBE440D"/>
    <w:rsid w:val="6CC67584"/>
    <w:rsid w:val="6CDF0F3A"/>
    <w:rsid w:val="6CE47854"/>
    <w:rsid w:val="6D0D25B8"/>
    <w:rsid w:val="6D490A6B"/>
    <w:rsid w:val="6D582A6D"/>
    <w:rsid w:val="6D604FD1"/>
    <w:rsid w:val="6D635FBA"/>
    <w:rsid w:val="6D6534EB"/>
    <w:rsid w:val="6D6C0EA8"/>
    <w:rsid w:val="6D732F9C"/>
    <w:rsid w:val="6D7B72BF"/>
    <w:rsid w:val="6D9239A2"/>
    <w:rsid w:val="6D9C0FE4"/>
    <w:rsid w:val="6DB664EE"/>
    <w:rsid w:val="6DB90CA1"/>
    <w:rsid w:val="6DBC6250"/>
    <w:rsid w:val="6DC64BAC"/>
    <w:rsid w:val="6E037AD7"/>
    <w:rsid w:val="6E056523"/>
    <w:rsid w:val="6E074EC9"/>
    <w:rsid w:val="6E160E52"/>
    <w:rsid w:val="6E2E569B"/>
    <w:rsid w:val="6E3E5E60"/>
    <w:rsid w:val="6E4064F1"/>
    <w:rsid w:val="6E4E39FC"/>
    <w:rsid w:val="6E5545BD"/>
    <w:rsid w:val="6E5D1964"/>
    <w:rsid w:val="6E614B19"/>
    <w:rsid w:val="6E616F13"/>
    <w:rsid w:val="6E7369B5"/>
    <w:rsid w:val="6E7B5CAB"/>
    <w:rsid w:val="6E8403F6"/>
    <w:rsid w:val="6EAA56FE"/>
    <w:rsid w:val="6EB37B5B"/>
    <w:rsid w:val="6EBE6FBB"/>
    <w:rsid w:val="6ED24CBD"/>
    <w:rsid w:val="6ED70BA2"/>
    <w:rsid w:val="6ED924EF"/>
    <w:rsid w:val="6EDA2E23"/>
    <w:rsid w:val="6EDB7671"/>
    <w:rsid w:val="6EF77260"/>
    <w:rsid w:val="6F2302E3"/>
    <w:rsid w:val="6F314C13"/>
    <w:rsid w:val="6F382FA6"/>
    <w:rsid w:val="6F391F60"/>
    <w:rsid w:val="6F694006"/>
    <w:rsid w:val="6F6C5490"/>
    <w:rsid w:val="6F7264A0"/>
    <w:rsid w:val="6F761900"/>
    <w:rsid w:val="6FA71AD5"/>
    <w:rsid w:val="6FAF2607"/>
    <w:rsid w:val="6FAF46CD"/>
    <w:rsid w:val="6FBE3493"/>
    <w:rsid w:val="6FD47D24"/>
    <w:rsid w:val="6FD74555"/>
    <w:rsid w:val="6FE17D06"/>
    <w:rsid w:val="6FF536DD"/>
    <w:rsid w:val="6FFD71B3"/>
    <w:rsid w:val="700D2412"/>
    <w:rsid w:val="70112883"/>
    <w:rsid w:val="70243856"/>
    <w:rsid w:val="703D260A"/>
    <w:rsid w:val="703F2471"/>
    <w:rsid w:val="704B4131"/>
    <w:rsid w:val="70531ED5"/>
    <w:rsid w:val="705A528C"/>
    <w:rsid w:val="7068062C"/>
    <w:rsid w:val="707A385E"/>
    <w:rsid w:val="707F47B3"/>
    <w:rsid w:val="70954F53"/>
    <w:rsid w:val="70A94A40"/>
    <w:rsid w:val="70D80F32"/>
    <w:rsid w:val="70D97C76"/>
    <w:rsid w:val="70F76E40"/>
    <w:rsid w:val="711337D0"/>
    <w:rsid w:val="71211781"/>
    <w:rsid w:val="713173E8"/>
    <w:rsid w:val="71420658"/>
    <w:rsid w:val="7143472C"/>
    <w:rsid w:val="71440341"/>
    <w:rsid w:val="71531561"/>
    <w:rsid w:val="71597148"/>
    <w:rsid w:val="716D089C"/>
    <w:rsid w:val="71715206"/>
    <w:rsid w:val="71743A1D"/>
    <w:rsid w:val="71774D56"/>
    <w:rsid w:val="71901CEF"/>
    <w:rsid w:val="719438F4"/>
    <w:rsid w:val="719D7F3F"/>
    <w:rsid w:val="71B55DFD"/>
    <w:rsid w:val="71B834E8"/>
    <w:rsid w:val="71D0750E"/>
    <w:rsid w:val="71D803D1"/>
    <w:rsid w:val="71E501C6"/>
    <w:rsid w:val="71F40A44"/>
    <w:rsid w:val="71F76A3F"/>
    <w:rsid w:val="7202163F"/>
    <w:rsid w:val="7230291A"/>
    <w:rsid w:val="72343EE1"/>
    <w:rsid w:val="723B04C8"/>
    <w:rsid w:val="724E6817"/>
    <w:rsid w:val="72600D68"/>
    <w:rsid w:val="72604620"/>
    <w:rsid w:val="726B02C1"/>
    <w:rsid w:val="726D2C67"/>
    <w:rsid w:val="7275252F"/>
    <w:rsid w:val="729A0F74"/>
    <w:rsid w:val="72A64E40"/>
    <w:rsid w:val="72C94629"/>
    <w:rsid w:val="72F03574"/>
    <w:rsid w:val="72F77CB6"/>
    <w:rsid w:val="731438BD"/>
    <w:rsid w:val="733155C8"/>
    <w:rsid w:val="73422D3C"/>
    <w:rsid w:val="73625723"/>
    <w:rsid w:val="737007D9"/>
    <w:rsid w:val="738B5B50"/>
    <w:rsid w:val="73AA53A0"/>
    <w:rsid w:val="73B04F6B"/>
    <w:rsid w:val="73D20D1A"/>
    <w:rsid w:val="73E168D2"/>
    <w:rsid w:val="73E873C4"/>
    <w:rsid w:val="73F07AA4"/>
    <w:rsid w:val="74010DBC"/>
    <w:rsid w:val="7402176C"/>
    <w:rsid w:val="74054701"/>
    <w:rsid w:val="740D2C3F"/>
    <w:rsid w:val="74135925"/>
    <w:rsid w:val="742827DB"/>
    <w:rsid w:val="742D6CA9"/>
    <w:rsid w:val="742E58A2"/>
    <w:rsid w:val="74525628"/>
    <w:rsid w:val="745F06BF"/>
    <w:rsid w:val="74617B01"/>
    <w:rsid w:val="746C713B"/>
    <w:rsid w:val="748D2368"/>
    <w:rsid w:val="749217E0"/>
    <w:rsid w:val="749A3A02"/>
    <w:rsid w:val="74B22D8C"/>
    <w:rsid w:val="74C26B38"/>
    <w:rsid w:val="74C55FC1"/>
    <w:rsid w:val="74CC7EC1"/>
    <w:rsid w:val="74DA7552"/>
    <w:rsid w:val="74E41FDD"/>
    <w:rsid w:val="74EF6361"/>
    <w:rsid w:val="74F347DF"/>
    <w:rsid w:val="74FA7FE6"/>
    <w:rsid w:val="74FD4A9B"/>
    <w:rsid w:val="751D43A6"/>
    <w:rsid w:val="75453AE1"/>
    <w:rsid w:val="75573AC9"/>
    <w:rsid w:val="75595449"/>
    <w:rsid w:val="75796F4B"/>
    <w:rsid w:val="758B283A"/>
    <w:rsid w:val="75BD313A"/>
    <w:rsid w:val="75BF6D3D"/>
    <w:rsid w:val="75DC1EF4"/>
    <w:rsid w:val="75E50837"/>
    <w:rsid w:val="75EF5520"/>
    <w:rsid w:val="75F63713"/>
    <w:rsid w:val="76143A54"/>
    <w:rsid w:val="7637074A"/>
    <w:rsid w:val="763B63B0"/>
    <w:rsid w:val="763C2917"/>
    <w:rsid w:val="764772A3"/>
    <w:rsid w:val="767B7960"/>
    <w:rsid w:val="76957FF4"/>
    <w:rsid w:val="769A6195"/>
    <w:rsid w:val="76A44430"/>
    <w:rsid w:val="76A71FBB"/>
    <w:rsid w:val="76AA5D81"/>
    <w:rsid w:val="76AB50DC"/>
    <w:rsid w:val="76BB3C83"/>
    <w:rsid w:val="76C80EC7"/>
    <w:rsid w:val="76F73D47"/>
    <w:rsid w:val="77006E1F"/>
    <w:rsid w:val="77032A24"/>
    <w:rsid w:val="771670C1"/>
    <w:rsid w:val="7719665F"/>
    <w:rsid w:val="772C16E9"/>
    <w:rsid w:val="77683E14"/>
    <w:rsid w:val="77734EA5"/>
    <w:rsid w:val="779A2A38"/>
    <w:rsid w:val="779F004E"/>
    <w:rsid w:val="77A06542"/>
    <w:rsid w:val="77A922C9"/>
    <w:rsid w:val="77AC049C"/>
    <w:rsid w:val="77B23714"/>
    <w:rsid w:val="77BB772D"/>
    <w:rsid w:val="77D43FD2"/>
    <w:rsid w:val="77FA155A"/>
    <w:rsid w:val="781137AD"/>
    <w:rsid w:val="781D13FA"/>
    <w:rsid w:val="782817E9"/>
    <w:rsid w:val="78511348"/>
    <w:rsid w:val="78555C26"/>
    <w:rsid w:val="78640057"/>
    <w:rsid w:val="78810787"/>
    <w:rsid w:val="78826969"/>
    <w:rsid w:val="788E3AAC"/>
    <w:rsid w:val="78B515B5"/>
    <w:rsid w:val="78C21620"/>
    <w:rsid w:val="78CE2D76"/>
    <w:rsid w:val="78EE2375"/>
    <w:rsid w:val="78F9351B"/>
    <w:rsid w:val="78FA244C"/>
    <w:rsid w:val="78FE1B78"/>
    <w:rsid w:val="79024116"/>
    <w:rsid w:val="790B5E4F"/>
    <w:rsid w:val="790D572F"/>
    <w:rsid w:val="79233654"/>
    <w:rsid w:val="79455569"/>
    <w:rsid w:val="79470AE2"/>
    <w:rsid w:val="795123A8"/>
    <w:rsid w:val="79535AC3"/>
    <w:rsid w:val="79620961"/>
    <w:rsid w:val="79987ED2"/>
    <w:rsid w:val="79AE1AE3"/>
    <w:rsid w:val="79AE77FB"/>
    <w:rsid w:val="79B85AA8"/>
    <w:rsid w:val="79C342A8"/>
    <w:rsid w:val="79C34F9F"/>
    <w:rsid w:val="79C81B6A"/>
    <w:rsid w:val="79E83652"/>
    <w:rsid w:val="79EF6059"/>
    <w:rsid w:val="7A074D7D"/>
    <w:rsid w:val="7A1053E1"/>
    <w:rsid w:val="7A17618B"/>
    <w:rsid w:val="7A1E05C7"/>
    <w:rsid w:val="7A3F1ABF"/>
    <w:rsid w:val="7A413A99"/>
    <w:rsid w:val="7A4642A9"/>
    <w:rsid w:val="7A4B6B30"/>
    <w:rsid w:val="7A5D3D51"/>
    <w:rsid w:val="7A5F0CF7"/>
    <w:rsid w:val="7A675EA5"/>
    <w:rsid w:val="7A6B3865"/>
    <w:rsid w:val="7A7041ED"/>
    <w:rsid w:val="7A801DA9"/>
    <w:rsid w:val="7A832390"/>
    <w:rsid w:val="7A92679C"/>
    <w:rsid w:val="7A955810"/>
    <w:rsid w:val="7A985E92"/>
    <w:rsid w:val="7A9C2E47"/>
    <w:rsid w:val="7A9E009C"/>
    <w:rsid w:val="7AC019FF"/>
    <w:rsid w:val="7ACA6FB9"/>
    <w:rsid w:val="7AF46C5F"/>
    <w:rsid w:val="7AF91BCC"/>
    <w:rsid w:val="7B0C59FB"/>
    <w:rsid w:val="7B0C5BAE"/>
    <w:rsid w:val="7B115F25"/>
    <w:rsid w:val="7B223D6B"/>
    <w:rsid w:val="7B2374FE"/>
    <w:rsid w:val="7B34342A"/>
    <w:rsid w:val="7B3873CB"/>
    <w:rsid w:val="7B3E55FD"/>
    <w:rsid w:val="7B496993"/>
    <w:rsid w:val="7B783675"/>
    <w:rsid w:val="7B796807"/>
    <w:rsid w:val="7BAC2D3A"/>
    <w:rsid w:val="7BAE3C97"/>
    <w:rsid w:val="7BB16076"/>
    <w:rsid w:val="7BB46DB9"/>
    <w:rsid w:val="7BC02341"/>
    <w:rsid w:val="7BD74454"/>
    <w:rsid w:val="7BE96DEC"/>
    <w:rsid w:val="7C021A51"/>
    <w:rsid w:val="7C033C13"/>
    <w:rsid w:val="7C041A0F"/>
    <w:rsid w:val="7C110306"/>
    <w:rsid w:val="7C212B8A"/>
    <w:rsid w:val="7C8464A1"/>
    <w:rsid w:val="7C9D2D7B"/>
    <w:rsid w:val="7CA26867"/>
    <w:rsid w:val="7CB43A8E"/>
    <w:rsid w:val="7CC106AB"/>
    <w:rsid w:val="7CD35E5B"/>
    <w:rsid w:val="7CDF4250"/>
    <w:rsid w:val="7CEF7382"/>
    <w:rsid w:val="7D09113D"/>
    <w:rsid w:val="7D157A0E"/>
    <w:rsid w:val="7D1658AD"/>
    <w:rsid w:val="7D1D4159"/>
    <w:rsid w:val="7D243099"/>
    <w:rsid w:val="7D4B3993"/>
    <w:rsid w:val="7D5F5E30"/>
    <w:rsid w:val="7D6C208F"/>
    <w:rsid w:val="7D897D56"/>
    <w:rsid w:val="7D9B14E5"/>
    <w:rsid w:val="7DAA42B2"/>
    <w:rsid w:val="7DAA569A"/>
    <w:rsid w:val="7DB1501E"/>
    <w:rsid w:val="7DB676D9"/>
    <w:rsid w:val="7DBE16CF"/>
    <w:rsid w:val="7DC37DE3"/>
    <w:rsid w:val="7DD45912"/>
    <w:rsid w:val="7E0D4E8F"/>
    <w:rsid w:val="7E107D04"/>
    <w:rsid w:val="7E202441"/>
    <w:rsid w:val="7E4B691E"/>
    <w:rsid w:val="7E616C7B"/>
    <w:rsid w:val="7E733A70"/>
    <w:rsid w:val="7E8A0780"/>
    <w:rsid w:val="7EA574A2"/>
    <w:rsid w:val="7EBB0DC0"/>
    <w:rsid w:val="7EC42E15"/>
    <w:rsid w:val="7EC50C54"/>
    <w:rsid w:val="7ECB34D7"/>
    <w:rsid w:val="7ED11A3C"/>
    <w:rsid w:val="7ED91C72"/>
    <w:rsid w:val="7EEB5BB3"/>
    <w:rsid w:val="7F1568D7"/>
    <w:rsid w:val="7F2E0D24"/>
    <w:rsid w:val="7F312E91"/>
    <w:rsid w:val="7F33645C"/>
    <w:rsid w:val="7F4E4DC2"/>
    <w:rsid w:val="7F652F2F"/>
    <w:rsid w:val="7F66205C"/>
    <w:rsid w:val="7FA7750C"/>
    <w:rsid w:val="7FA8327A"/>
    <w:rsid w:val="7FB32EED"/>
    <w:rsid w:val="7FB6358D"/>
    <w:rsid w:val="7FE0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semiHidden/>
    <w:qFormat/>
    <w:uiPriority w:val="0"/>
    <w:pPr>
      <w:widowControl w:val="0"/>
      <w:jc w:val="both"/>
    </w:pPr>
    <w:rPr>
      <w:rFonts w:ascii="仿宋" w:hAnsi="仿宋" w:eastAsia="仿宋" w:cs="仿宋"/>
      <w:kern w:val="2"/>
      <w:sz w:val="35"/>
      <w:szCs w:val="35"/>
      <w:lang w:val="en-US" w:eastAsia="en-US" w:bidi="ar-SA"/>
    </w:r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批注框文本 Char"/>
    <w:basedOn w:val="8"/>
    <w:link w:val="3"/>
    <w:qFormat/>
    <w:uiPriority w:val="0"/>
    <w:rPr>
      <w:kern w:val="2"/>
      <w:sz w:val="18"/>
      <w:szCs w:val="18"/>
    </w:rPr>
  </w:style>
  <w:style w:type="paragraph" w:styleId="11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2">
    <w:name w:val="Char"/>
    <w:basedOn w:val="1"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13">
    <w:name w:val="font21"/>
    <w:basedOn w:val="8"/>
    <w:qFormat/>
    <w:uiPriority w:val="0"/>
    <w:rPr>
      <w:rFonts w:hint="default" w:ascii="Arial" w:hAnsi="Arial" w:cs="Arial"/>
      <w:color w:val="000000"/>
      <w:sz w:val="15"/>
      <w:szCs w:val="15"/>
      <w:u w:val="none"/>
    </w:rPr>
  </w:style>
  <w:style w:type="character" w:customStyle="1" w:styleId="14">
    <w:name w:val="font11"/>
    <w:basedOn w:val="8"/>
    <w:qFormat/>
    <w:uiPriority w:val="0"/>
    <w:rPr>
      <w:rFonts w:hint="eastAsia" w:ascii="宋体" w:hAnsi="宋体" w:eastAsia="宋体" w:cs="宋体"/>
      <w:color w:val="000000"/>
      <w:sz w:val="15"/>
      <w:szCs w:val="15"/>
      <w:u w:val="none"/>
    </w:rPr>
  </w:style>
  <w:style w:type="paragraph" w:customStyle="1" w:styleId="15">
    <w:name w:val="Table Text"/>
    <w:semiHidden/>
    <w:qFormat/>
    <w:uiPriority w:val="0"/>
    <w:pPr>
      <w:widowControl w:val="0"/>
      <w:jc w:val="both"/>
    </w:pPr>
    <w:rPr>
      <w:rFonts w:ascii="Arial" w:hAnsi="Arial" w:eastAsia="Arial" w:cs="Arial"/>
      <w:kern w:val="2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28" textRotate="1"/>
    <customShpInfo spid="_x0000_s102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9</Pages>
  <Words>1428</Words>
  <Characters>1525</Characters>
  <Lines>37</Lines>
  <Paragraphs>10</Paragraphs>
  <TotalTime>15</TotalTime>
  <ScaleCrop>false</ScaleCrop>
  <LinksUpToDate>false</LinksUpToDate>
  <CharactersWithSpaces>1534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2023-04-23T08:56:00Z</dcterms:created>
  <dc:creator>新一天</dc:creator>
  <cp:lastModifiedBy>WPS_1677719076</cp:lastModifiedBy>
  <cp:lastPrinted>2023-08-29T00:54:00Z</cp:lastPrinted>
  <dcterms:modified xsi:type="dcterms:W3CDTF">2026-08-19T07:45:32Z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50306CC149C84F98BF850919EA3E5AFB_13</vt:lpwstr>
  </property>
  <property fmtid="{D5CDD505-2E9C-101B-9397-08002B2CF9AE}" pid="4" name="KSOTemplateDocerSaveRecord">
    <vt:lpwstr>eyJoZGlkIjoiYmFjMjg1MTcwNTllYTJmZjg5YzY5ZTZjZDQyYzVmN2EiLCJ1c2VySWQiOiIxNDc3Njc1MjcxIn0=</vt:lpwstr>
  </property>
</Properties>
</file>