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77694">
      <w:pPr>
        <w:pStyle w:val="2"/>
        <w:spacing w:before="102" w:line="224" w:lineRule="auto"/>
      </w:pPr>
    </w:p>
    <w:p w14:paraId="217F75E1">
      <w:pPr>
        <w:pStyle w:val="2"/>
        <w:spacing w:before="102" w:line="224" w:lineRule="auto"/>
      </w:pPr>
    </w:p>
    <w:p w14:paraId="7B86BA0A">
      <w:pPr>
        <w:pStyle w:val="2"/>
        <w:spacing w:before="102" w:line="224" w:lineRule="auto"/>
      </w:pPr>
    </w:p>
    <w:p w14:paraId="66E3EDD3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E94F52F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岳阳市岳阳楼区教育局</w:t>
      </w:r>
    </w:p>
    <w:p w14:paraId="2AE6C4D5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单位整体支出绩效自评报告</w:t>
      </w:r>
    </w:p>
    <w:p w14:paraId="10A8AAF9">
      <w:pPr>
        <w:jc w:val="left"/>
        <w:rPr>
          <w:rFonts w:hint="eastAsia" w:ascii="方正小标宋简体" w:hAnsi="方正小标宋简体" w:eastAsia="方正小标宋简体" w:cs="方正小标宋简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8472EDD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5C02945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E60191B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0EEB33B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BA8AFE0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F3C0D83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ADB8D68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0FF372E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B8C9D77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02B0D5C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7FCEC6D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C529D95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2A759B8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49F23BE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97C32F3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87874A1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9B331AE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77D09B0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8531796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04DE14A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23C9E53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1A27D2A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CC1EF97">
      <w:pPr>
        <w:jc w:val="left"/>
        <w:rPr>
          <w:rFonts w:ascii="仿宋" w:hAnsi="仿宋" w:eastAsia="仿宋" w:cs="仿宋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55B0286">
      <w:pPr>
        <w:jc w:val="center"/>
        <w:rPr>
          <w:rFonts w:ascii="楷体_GB2312" w:hAnsi="楷体_GB2312" w:eastAsia="楷体_GB2312" w:cs="楷体_GB2312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( 盖 章 )</w:t>
      </w:r>
    </w:p>
    <w:p w14:paraId="5D25C20C">
      <w:pPr>
        <w:jc w:val="center"/>
        <w:rPr>
          <w:rFonts w:hint="eastAsia" w:ascii="仿宋" w:hAnsi="仿宋" w:eastAsia="仿宋" w:cs="仿宋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2025年07月10日</w:t>
      </w:r>
    </w:p>
    <w:p w14:paraId="0C5E3DC1">
      <w:pPr>
        <w:spacing w:line="224" w:lineRule="auto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01EDA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岳阳市岳阳楼区教育局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5FB555B1">
      <w:pPr>
        <w:spacing w:line="283" w:lineRule="auto"/>
        <w:rPr>
          <w:rFonts w:ascii="Arial"/>
          <w:sz w:val="21"/>
        </w:rPr>
      </w:pPr>
    </w:p>
    <w:p w14:paraId="5DC0F2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eastAsia="zh-CN"/>
        </w:rPr>
        <w:t>单位</w:t>
      </w:r>
      <w:r>
        <w:rPr>
          <w:rFonts w:ascii="黑体" w:hAnsi="黑体" w:eastAsia="黑体" w:cs="黑体"/>
          <w:spacing w:val="0"/>
          <w:position w:val="0"/>
          <w:sz w:val="32"/>
          <w:szCs w:val="32"/>
        </w:rPr>
        <w:t>基本情况</w:t>
      </w:r>
    </w:p>
    <w:p w14:paraId="6FD913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（一）部门职责</w:t>
      </w:r>
    </w:p>
    <w:p w14:paraId="7A0C87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2"/>
          <w:szCs w:val="32"/>
        </w:rPr>
        <w:t>贯彻落实中央、省、市关于教育的方针、政策和法律、法规、规章，研究拟定地方性的教育政策并监督执行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</w:p>
    <w:p w14:paraId="42FDFF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Times New Roman"/>
          <w:sz w:val="32"/>
          <w:szCs w:val="32"/>
        </w:rPr>
        <w:t>研究拟定全区教育事业发展规划和年度计划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</w:p>
    <w:p w14:paraId="78D8F3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Times New Roman"/>
          <w:sz w:val="32"/>
          <w:szCs w:val="32"/>
        </w:rPr>
        <w:t>拟定教育发展的重点、规模、速度和步骤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。</w:t>
      </w:r>
    </w:p>
    <w:p w14:paraId="4DF6A4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Times New Roman"/>
          <w:sz w:val="32"/>
          <w:szCs w:val="32"/>
        </w:rPr>
        <w:t>指导和协调教育规划、计划的实施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CFC8A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（二）机构设置及决算单位构成</w:t>
      </w:r>
    </w:p>
    <w:p w14:paraId="4B7D0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auto"/>
          <w:kern w:val="0"/>
          <w:sz w:val="32"/>
          <w:szCs w:val="32"/>
          <w:highlight w:val="none"/>
          <w:lang w:eastAsia="zh-CN"/>
        </w:rPr>
        <w:t>岳阳市岳阳楼区教育局</w:t>
      </w:r>
      <w:r>
        <w:rPr>
          <w:rFonts w:hint="eastAsia" w:ascii="仿宋" w:hAnsi="仿宋" w:eastAsia="仿宋"/>
          <w:bCs/>
          <w:color w:val="auto"/>
          <w:kern w:val="0"/>
          <w:sz w:val="32"/>
          <w:szCs w:val="32"/>
          <w:highlight w:val="none"/>
        </w:rPr>
        <w:t>单位内设机构包括：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zh-CN"/>
        </w:rPr>
        <w:t>办公室、基础教育股、政工人事股、计划财务股、体卫艺股、安全管理股、政策法规股、审计股、社区教育股、德育股、资产管理股、校外教育培训监管股、机关党委、教育工会、共青团、妇委会等机构按有关规定和章程设置。区人民政府设立由区教育局代管的正股级机构：区政府教育督导办。</w:t>
      </w:r>
      <w:r>
        <w:rPr>
          <w:rFonts w:hint="eastAsia" w:ascii="仿宋" w:hAnsi="仿宋" w:eastAsia="仿宋"/>
          <w:sz w:val="32"/>
          <w:szCs w:val="32"/>
        </w:rPr>
        <w:t>根据编办核定，本单位共有职工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184</w:t>
      </w:r>
      <w:r>
        <w:rPr>
          <w:rFonts w:hint="eastAsia" w:ascii="仿宋" w:hAnsi="仿宋" w:eastAsia="仿宋"/>
          <w:sz w:val="32"/>
          <w:szCs w:val="32"/>
        </w:rPr>
        <w:t>人，其中：在职编制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106</w:t>
      </w:r>
      <w:r>
        <w:rPr>
          <w:rFonts w:hint="eastAsia" w:ascii="仿宋" w:hAnsi="仿宋" w:eastAsia="仿宋"/>
          <w:sz w:val="32"/>
          <w:szCs w:val="32"/>
        </w:rPr>
        <w:t>人；离退休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78</w:t>
      </w:r>
      <w:r>
        <w:rPr>
          <w:rFonts w:hint="eastAsia" w:ascii="仿宋" w:hAnsi="仿宋" w:eastAsia="仿宋"/>
          <w:sz w:val="32"/>
          <w:szCs w:val="32"/>
        </w:rPr>
        <w:t>人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683AA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决算单位构成：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本单位下属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zh-CN"/>
        </w:rPr>
        <w:t>区教育科学研究中心（副科级）、区学前教育服务中心（副科级）、区招生考试服务中心（副科级）、区教师发展中心（副科级）、区教育阳光服务中心（正股级）、区教育建设服务中心（正股级）、区教育信息技术中心（正股级）、区学校事务服务中心（正股级）、区教育资助服务中心（正股级）、区中小学财务集中支付中心（正股级）</w:t>
      </w:r>
      <w:r>
        <w:rPr>
          <w:rFonts w:hint="eastAsia" w:ascii="仿宋" w:hAnsi="仿宋" w:eastAsia="仿宋"/>
          <w:bCs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/>
          <w:bCs/>
          <w:color w:val="auto"/>
          <w:kern w:val="0"/>
          <w:sz w:val="32"/>
          <w:szCs w:val="32"/>
          <w:highlight w:val="none"/>
          <w:lang w:eastAsia="zh-CN"/>
        </w:rPr>
        <w:t>岳阳市岳阳楼区教育局202</w:t>
      </w:r>
      <w:r>
        <w:rPr>
          <w:rFonts w:hint="eastAsia" w:ascii="仿宋" w:hAnsi="仿宋" w:eastAsia="仿宋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bCs/>
          <w:color w:val="auto"/>
          <w:kern w:val="0"/>
          <w:sz w:val="32"/>
          <w:szCs w:val="32"/>
          <w:highlight w:val="none"/>
        </w:rPr>
        <w:t>年部门决算汇总公开单位构成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</w:rPr>
        <w:t>包括</w:t>
      </w:r>
      <w:r>
        <w:rPr>
          <w:rFonts w:hint="eastAsia" w:ascii="仿宋" w:hAnsi="仿宋" w:eastAsia="仿宋"/>
          <w:bCs/>
          <w:kern w:val="0"/>
          <w:sz w:val="32"/>
          <w:szCs w:val="32"/>
          <w:highlight w:val="none"/>
          <w:lang w:val="en-US" w:eastAsia="zh-CN"/>
        </w:rPr>
        <w:t>除</w:t>
      </w:r>
      <w:r>
        <w:rPr>
          <w:rFonts w:hint="eastAsia" w:ascii="仿宋" w:hAnsi="仿宋" w:eastAsia="仿宋" w:cs="仿宋"/>
          <w:color w:val="000000"/>
          <w:spacing w:val="0"/>
          <w:position w:val="0"/>
          <w:sz w:val="32"/>
          <w:szCs w:val="32"/>
          <w:lang w:val="en-US" w:eastAsia="zh-CN"/>
        </w:rPr>
        <w:t>区教育建设服务中心（独立核算）之外的9个事业单位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812F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ascii="黑体" w:hAnsi="黑体" w:eastAsia="黑体" w:cs="黑体"/>
          <w:spacing w:val="0"/>
          <w:position w:val="0"/>
          <w:sz w:val="32"/>
          <w:szCs w:val="32"/>
        </w:rPr>
        <w:t>二、 一般公共预算支出情况</w:t>
      </w:r>
    </w:p>
    <w:p w14:paraId="508FC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楷体" w:hAnsi="楷体" w:eastAsia="楷体" w:cs="楷体"/>
          <w:spacing w:val="0"/>
          <w:position w:val="0"/>
          <w:sz w:val="32"/>
          <w:szCs w:val="32"/>
        </w:rPr>
      </w:pPr>
      <w:r>
        <w:rPr>
          <w:rFonts w:ascii="楷体" w:hAnsi="楷体" w:eastAsia="楷体" w:cs="楷体"/>
          <w:spacing w:val="0"/>
          <w:position w:val="0"/>
          <w:sz w:val="32"/>
          <w:szCs w:val="32"/>
        </w:rPr>
        <w:t>（一）基本支出情况</w:t>
      </w:r>
    </w:p>
    <w:p w14:paraId="7BA80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一般公共预算基本支出202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年度总支出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2256.25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万元，其中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eastAsia="zh-CN"/>
        </w:rPr>
        <w:t>：</w:t>
      </w:r>
    </w:p>
    <w:p w14:paraId="00C65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人员经费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1892.81万元：包括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基本工资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529.01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highlight w:val="none"/>
        </w:rPr>
        <w:t>万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元；津贴补贴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78.78万元；奖金340.35万元；伙食补助费47万元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；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绩效工资249.37万元；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机关事业单位基本养老保险缴费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168.24万元；职工基本医疗保险缴费69.1万元；其他社会保障缴费12.98万元；住房公积金129.95万元；退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eastAsia="zh-CN"/>
        </w:rPr>
        <w:t>休费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 xml:space="preserve">211.68万元；抚恤金18.22万元；生活补助15.86万元；奖励金3.33万元；其他对个人和家庭的补助18.94万元。 </w:t>
      </w:r>
    </w:p>
    <w:p w14:paraId="5F585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楷体" w:hAnsi="楷体" w:eastAsia="楷体" w:cs="楷体"/>
          <w:spacing w:val="0"/>
          <w:positio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pacing w:val="0"/>
          <w:position w:val="0"/>
          <w:sz w:val="32"/>
          <w:szCs w:val="32"/>
        </w:rPr>
        <w:t>公用经费</w:t>
      </w:r>
      <w:r>
        <w:rPr>
          <w:rFonts w:hint="eastAsia" w:ascii="仿宋" w:hAnsi="仿宋" w:eastAsia="仿宋" w:cs="仿宋"/>
          <w:b w:val="0"/>
          <w:bCs/>
          <w:spacing w:val="0"/>
          <w:position w:val="0"/>
          <w:sz w:val="32"/>
          <w:szCs w:val="32"/>
          <w:lang w:val="en-US" w:eastAsia="zh-CN"/>
        </w:rPr>
        <w:t>363.44</w:t>
      </w:r>
      <w:r>
        <w:rPr>
          <w:rFonts w:hint="eastAsia" w:ascii="仿宋" w:hAnsi="仿宋" w:eastAsia="仿宋" w:cs="仿宋"/>
          <w:b w:val="0"/>
          <w:bCs/>
          <w:spacing w:val="0"/>
          <w:position w:val="0"/>
          <w:sz w:val="32"/>
          <w:szCs w:val="32"/>
        </w:rPr>
        <w:t>万元</w:t>
      </w:r>
      <w:r>
        <w:rPr>
          <w:rFonts w:hint="eastAsia" w:ascii="仿宋" w:hAnsi="仿宋" w:eastAsia="仿宋" w:cs="仿宋"/>
          <w:b w:val="0"/>
          <w:bCs/>
          <w:spacing w:val="0"/>
          <w:positio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办公费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90.29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万元；印刷费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8.67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万元；水费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2.95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万元；电费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36.43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万元；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邮电费2.14万元；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物业管理费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16.59万元；差旅费0.94万元；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维修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13.07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万元；培训费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1.31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公务接待费0.19万元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；劳务费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2.59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万元；工会经费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万元；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其他交通费用81.33万元；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其他商品和服务支出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82.94万元。</w:t>
      </w:r>
    </w:p>
    <w:p w14:paraId="086BF47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楷体" w:hAnsi="楷体" w:eastAsia="楷体" w:cs="楷体"/>
          <w:spacing w:val="0"/>
          <w:position w:val="0"/>
          <w:sz w:val="32"/>
          <w:szCs w:val="32"/>
        </w:rPr>
      </w:pPr>
      <w:r>
        <w:rPr>
          <w:rFonts w:ascii="楷体" w:hAnsi="楷体" w:eastAsia="楷体" w:cs="楷体"/>
          <w:spacing w:val="0"/>
          <w:position w:val="0"/>
          <w:sz w:val="32"/>
          <w:szCs w:val="32"/>
        </w:rPr>
        <w:t>项目支出情况</w:t>
      </w:r>
    </w:p>
    <w:p w14:paraId="130B8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一般公共预算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支出202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度总支出1645.34万元。</w:t>
      </w:r>
    </w:p>
    <w:p w14:paraId="416A8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ascii="黑体" w:hAnsi="黑体" w:eastAsia="黑体" w:cs="黑体"/>
          <w:spacing w:val="0"/>
          <w:position w:val="0"/>
          <w:sz w:val="32"/>
          <w:szCs w:val="32"/>
        </w:rPr>
        <w:t>三、政府性基金预算支出情况</w:t>
      </w:r>
    </w:p>
    <w:p w14:paraId="3EA67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本单位2024年年度政府性基金预算支出0万元。</w:t>
      </w:r>
    </w:p>
    <w:p w14:paraId="64F3450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ascii="黑体" w:hAnsi="黑体" w:eastAsia="黑体" w:cs="黑体"/>
          <w:spacing w:val="0"/>
          <w:position w:val="0"/>
          <w:sz w:val="32"/>
          <w:szCs w:val="32"/>
        </w:rPr>
        <w:t>国有资本经营预算支出情况</w:t>
      </w:r>
    </w:p>
    <w:p w14:paraId="61A27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本单位2024年年度国有资本经营预算支出0万元。</w:t>
      </w:r>
    </w:p>
    <w:p w14:paraId="6E85A38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ascii="黑体" w:hAnsi="黑体" w:eastAsia="黑体" w:cs="黑体"/>
          <w:spacing w:val="0"/>
          <w:position w:val="0"/>
          <w:sz w:val="32"/>
          <w:szCs w:val="32"/>
        </w:rPr>
        <w:t>社会保险基金预算支出情况</w:t>
      </w:r>
    </w:p>
    <w:p w14:paraId="4F8A8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本单位2024年年度社会保险基金预算支出0万元。</w:t>
      </w:r>
    </w:p>
    <w:p w14:paraId="124393C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eastAsia="zh-CN"/>
        </w:rPr>
        <w:t>单位</w:t>
      </w:r>
      <w:r>
        <w:rPr>
          <w:rFonts w:ascii="黑体" w:hAnsi="黑体" w:eastAsia="黑体" w:cs="黑体"/>
          <w:spacing w:val="0"/>
          <w:position w:val="0"/>
          <w:sz w:val="32"/>
          <w:szCs w:val="32"/>
        </w:rPr>
        <w:t>整体支出绩效情况</w:t>
      </w:r>
    </w:p>
    <w:p w14:paraId="479F9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2024年，区委、区政府始终坚持将“科教立区”作为五大发展战略之首，持续支持改革创新，助力质量提升；持续加大教育投入，改善办学条件；持续关心队伍建设，健全师资保障；持续压实安全责任，保护师生平安，真正以实际行动落实了教育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展“四个优先”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highlight w:val="none"/>
          <w:lang w:val="en-US" w:eastAsia="zh-CN"/>
        </w:rPr>
        <w:t>。</w:t>
      </w:r>
    </w:p>
    <w:p w14:paraId="2629512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b/>
          <w:color w:val="000000"/>
          <w:spacing w:val="0"/>
          <w:kern w:val="0"/>
          <w:positio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pacing w:val="0"/>
          <w:kern w:val="0"/>
          <w:position w:val="0"/>
          <w:sz w:val="32"/>
          <w:szCs w:val="32"/>
        </w:rPr>
        <w:t>产出指标完成情况分析</w:t>
      </w:r>
    </w:p>
    <w:p w14:paraId="71FD584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数量指标</w:t>
      </w:r>
    </w:p>
    <w:p w14:paraId="69707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本年度，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坚决贯彻落实市委关于经开区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改革转隶工作要求，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积极谋划、精准摸排、主动对接，承接了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公办中小学、幼儿园37所，在编在职教职工1641名，学生幼儿45975名，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接转工作平稳有序，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各学校、幼儿园顺利开课开学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全年落实“第一议题”学习32次，开展理论中心组学习14次，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组织副科级干部研讨交流90余人次，党员研讨交流1980余人次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Style w:val="8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持续强化校外教育培训机构管理，开展“扫楼敲门”整治行动40多场次，督促整改问题80多个，下达停办告知书50多份，劝停机构60多家。大力推进“智慧执法示范县区”试点工作，全区186家校外培训机构全部入驻全国校外培训监管与服务平台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大力开展教师培训活动，采取线上线下相结合的多元化培训模式，全年共完成各级各类培训项目60余个，培训人数超2.5万人次，“梧桐花开”品牌培训项目连续八年培养青年骨干教师2000余人。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全年累计投入资金8122万元，完成第五中学、第十中学等73个中小学（幼儿园）改造升级项目，接转原经开区学校（幼儿园）改造项目23个。全面落实控辍保学和送教上门政策，积极开展“三帮一”劝返工作，对全区54名适龄残疾学生进行了1700余次上门送教，确保义务教育入学巩固率达100%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。</w:t>
      </w:r>
    </w:p>
    <w:p w14:paraId="697B7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2、质量指标</w:t>
      </w:r>
    </w:p>
    <w:p w14:paraId="2E291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_GB2312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本年度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全区高考本科上线率提升7.73%，特控线上线率提升4.05%，中考十科总平均分提升29.04分，优秀率提升7.31%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。充</w:t>
      </w:r>
      <w:r>
        <w:rPr>
          <w:rStyle w:val="8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分挖掘优质资源，持续优化“3+2”与“三段式”相结合的课后服务模式。</w:t>
      </w:r>
      <w:r>
        <w:rPr>
          <w:rStyle w:val="8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大力开展特色大课间、体育节、艺术节活动，举办了全区建制班合唱、高中生“三独”、啦啦操、足球、篮球等各项区级赛事，积极参加全市中小学生运动会，总成绩稳居榜首。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全区各校（园）“人防、技防、物防”三位一体，完成安防“四个100%”建设，形成“公安+城管+学校行政+保安+志愿者”的联合护学模式，师生安全得到全方位守护，全年未发生一起重大安全责任事故。</w:t>
      </w:r>
    </w:p>
    <w:p w14:paraId="5C091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3、时效指标</w:t>
      </w:r>
    </w:p>
    <w:p w14:paraId="2EBAD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各项资金及时拨付到位；及时发放在职工作人员的工资及福利待遇。</w:t>
      </w:r>
    </w:p>
    <w:p w14:paraId="631FA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4、成本指标</w:t>
      </w:r>
    </w:p>
    <w:p w14:paraId="5A74D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认真贯彻落实中央“八项规定”精神和厉行节约要求，从严控制经费开支，全年运行经费控制在4095.81万元。</w:t>
      </w:r>
    </w:p>
    <w:p w14:paraId="634AB21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3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spacing w:val="0"/>
          <w:kern w:val="0"/>
          <w:position w:val="0"/>
          <w:sz w:val="32"/>
          <w:szCs w:val="32"/>
          <w:lang w:val="en-US" w:eastAsia="zh-CN"/>
        </w:rPr>
        <w:t>效益</w:t>
      </w:r>
      <w:r>
        <w:rPr>
          <w:rFonts w:hint="eastAsia" w:ascii="仿宋" w:hAnsi="仿宋" w:eastAsia="仿宋" w:cs="仿宋"/>
          <w:b/>
          <w:color w:val="000000"/>
          <w:spacing w:val="0"/>
          <w:kern w:val="0"/>
          <w:position w:val="0"/>
          <w:sz w:val="32"/>
          <w:szCs w:val="32"/>
        </w:rPr>
        <w:t>指标完成情况分析</w:t>
      </w:r>
    </w:p>
    <w:p w14:paraId="35A866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47E02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5F597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3975C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zh-CN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提前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启动全区初中实验操作考场建设，协调推进第九中学、北港小学、第十九中学、白杨坡小学标准化考点及第九中学评卷点建设。教学设施全面升级，校园面貌焕然一新，学习环境更加优质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zh-CN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大力提升教研教改能力，完成省级立项课题16个，市级在研课题91个，区级课题结题120余个；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参加全市义务教育阶段“金鹗奖”竞赛荣获第一名7个、第二名8个。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大力加强师德师风建设，创新首开师德全员考核，积极推进师德师风长效机制落实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。教师素养全面进阶，教书热情空前高涨，教育根基愈发坚实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zh-CN" w:eastAsia="zh-CN"/>
        </w:rPr>
        <w:t>。</w:t>
      </w:r>
    </w:p>
    <w:p w14:paraId="1ADD7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3、生态效益</w:t>
      </w:r>
    </w:p>
    <w:p w14:paraId="0D383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积极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zh-CN" w:eastAsia="zh-CN"/>
        </w:rPr>
        <w:t>提高生态文明教育，落实绿色校园。</w:t>
      </w:r>
    </w:p>
    <w:p w14:paraId="32890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4、可持续影响</w:t>
      </w:r>
    </w:p>
    <w:p w14:paraId="08AC3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积极促进教育事业可持续发展。</w:t>
      </w:r>
    </w:p>
    <w:p w14:paraId="413DCA5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社会公众满意度</w:t>
      </w:r>
    </w:p>
    <w:p w14:paraId="1FA34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default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努力办好人民的教育，满意度为98%。</w:t>
      </w:r>
    </w:p>
    <w:p w14:paraId="4A51FF4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ascii="黑体" w:hAnsi="黑体" w:eastAsia="黑体" w:cs="黑体"/>
          <w:spacing w:val="0"/>
          <w:position w:val="0"/>
          <w:sz w:val="32"/>
          <w:szCs w:val="32"/>
        </w:rPr>
        <w:t>存在的问题及原因分析</w:t>
      </w:r>
    </w:p>
    <w:p w14:paraId="6B0D27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pacing w:val="0"/>
          <w:position w:val="0"/>
          <w:sz w:val="32"/>
          <w:szCs w:val="32"/>
        </w:rPr>
        <w:t>教育资源供给不够均衡，特别是优质教育资源在城乡间、区域间、校际间的差距依然存在，老百姓在家门口“上好学”的需求还未能得到有效满足；</w:t>
      </w:r>
    </w:p>
    <w:p w14:paraId="1C7186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pacing w:val="0"/>
          <w:position w:val="0"/>
          <w:sz w:val="32"/>
          <w:szCs w:val="32"/>
        </w:rPr>
        <w:t>教育内涵发展不够充分。有影响力的名学校、名校长、名教师不够多，教育科研的氛围不够浓厚，教师的专业发展不够均衡。</w:t>
      </w:r>
    </w:p>
    <w:p w14:paraId="35FC2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ascii="黑体" w:hAnsi="黑体" w:eastAsia="黑体" w:cs="黑体"/>
          <w:spacing w:val="0"/>
          <w:position w:val="0"/>
          <w:sz w:val="32"/>
          <w:szCs w:val="32"/>
        </w:rPr>
        <w:t>八、下一步改进措施</w:t>
      </w:r>
    </w:p>
    <w:p w14:paraId="5B3A92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  <w:t>1、建立多级财政保障机制，完善财税体制，将更多财政收入用于教育事业的发展；加大对中小学教育的财政拨款，确保每个学生都能够享受到良好的教育资源。</w:t>
      </w:r>
    </w:p>
    <w:p w14:paraId="6D87A9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  <w:t>2、促进城乡教育合作，城乡教育合作是缩小城乡教育差距的有效途径，鼓励城市学校与农村学校建立合作关系，共享教育资源，实现优势互补。</w:t>
      </w:r>
    </w:p>
    <w:p w14:paraId="7E893C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  <w:t>3、积极推动教育信息化建设，加强教育技术应用。</w:t>
      </w:r>
    </w:p>
    <w:p w14:paraId="577AE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ascii="黑体" w:hAnsi="黑体" w:eastAsia="黑体" w:cs="黑体"/>
          <w:spacing w:val="0"/>
          <w:position w:val="0"/>
          <w:sz w:val="32"/>
          <w:szCs w:val="32"/>
        </w:rPr>
        <w:t>九、</w:t>
      </w:r>
      <w:r>
        <w:rPr>
          <w:rFonts w:hint="eastAsia" w:ascii="黑体" w:hAnsi="黑体" w:eastAsia="黑体" w:cs="黑体"/>
          <w:spacing w:val="0"/>
          <w:position w:val="0"/>
          <w:sz w:val="32"/>
          <w:szCs w:val="32"/>
          <w:lang w:eastAsia="zh-CN"/>
        </w:rPr>
        <w:t>单位</w:t>
      </w:r>
      <w:r>
        <w:rPr>
          <w:rFonts w:ascii="黑体" w:hAnsi="黑体" w:eastAsia="黑体" w:cs="黑体"/>
          <w:spacing w:val="0"/>
          <w:position w:val="0"/>
          <w:sz w:val="32"/>
          <w:szCs w:val="32"/>
        </w:rPr>
        <w:t>整体支出绩效自评结果拟应用和公开情况</w:t>
      </w:r>
    </w:p>
    <w:p w14:paraId="61AB65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  <w:t>高度重视绩效评价结果的应用工作，积极探索和建立一套与预算管理相结合、多渠道应用评价结果的有效机制，着力提高绩效意识和财政资金使用效益。同时将部门整体支出绩效自评报告在单位门户网站上进行公开，广泛接受社会监督。</w:t>
      </w:r>
    </w:p>
    <w:p w14:paraId="16158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640" w:firstLineChars="200"/>
        <w:textAlignment w:val="auto"/>
        <w:rPr>
          <w:rFonts w:ascii="黑体" w:hAnsi="黑体" w:eastAsia="黑体" w:cs="黑体"/>
          <w:spacing w:val="0"/>
          <w:position w:val="0"/>
          <w:sz w:val="32"/>
          <w:szCs w:val="32"/>
        </w:rPr>
      </w:pPr>
      <w:r>
        <w:rPr>
          <w:rFonts w:ascii="黑体" w:hAnsi="黑体" w:eastAsia="黑体" w:cs="黑体"/>
          <w:spacing w:val="0"/>
          <w:position w:val="0"/>
          <w:sz w:val="32"/>
          <w:szCs w:val="32"/>
        </w:rPr>
        <w:t>十、 其他需要说明的情况</w:t>
      </w:r>
    </w:p>
    <w:p w14:paraId="236555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firstLine="640" w:firstLineChars="200"/>
        <w:jc w:val="left"/>
        <w:textAlignment w:val="auto"/>
        <w:rPr>
          <w:spacing w:val="0"/>
          <w:position w:val="0"/>
          <w:sz w:val="32"/>
          <w:szCs w:val="32"/>
        </w:rPr>
      </w:pPr>
      <w:r>
        <w:rPr>
          <w:rFonts w:hint="eastAsia" w:cs="仿宋"/>
          <w:bCs/>
          <w:spacing w:val="0"/>
          <w:position w:val="0"/>
          <w:sz w:val="32"/>
          <w:szCs w:val="32"/>
          <w:lang w:val="en-US" w:eastAsia="zh-CN"/>
        </w:rPr>
        <w:t>无</w:t>
      </w:r>
      <w:r>
        <w:rPr>
          <w:rFonts w:hint="eastAsia" w:ascii="仿宋" w:hAnsi="仿宋" w:eastAsia="仿宋" w:cs="仿宋"/>
          <w:bCs/>
          <w:spacing w:val="0"/>
          <w:position w:val="0"/>
          <w:sz w:val="32"/>
          <w:szCs w:val="32"/>
          <w:lang w:val="en-US" w:eastAsia="zh-CN"/>
        </w:rPr>
        <w:t>。</w:t>
      </w:r>
    </w:p>
    <w:p w14:paraId="0BA047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</w:pPr>
    </w:p>
    <w:p w14:paraId="0E392F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  <w:t>附件：1、</w:t>
      </w: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  <w:t>整体支出绩效评价基础数据表</w:t>
      </w:r>
    </w:p>
    <w:p w14:paraId="79579E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960" w:firstLineChars="3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  <w:t>2、</w:t>
      </w: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  <w:t>整体支出绩效自评表</w:t>
      </w:r>
    </w:p>
    <w:p w14:paraId="5B8CBA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960" w:firstLineChars="3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  <w:t>3、项目支出绩效自评表（每个一级项目一张表）</w:t>
      </w:r>
    </w:p>
    <w:p w14:paraId="772D62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960" w:firstLineChars="3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  <w:t>4、政府性基金预算支出情况表</w:t>
      </w:r>
    </w:p>
    <w:p w14:paraId="43EF6E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960" w:firstLineChars="300"/>
        <w:textAlignment w:val="auto"/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  <w:t>5、国有资本经营预算支出情况表</w:t>
      </w:r>
    </w:p>
    <w:p w14:paraId="4D88E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960" w:firstLineChars="300"/>
        <w:textAlignment w:val="auto"/>
        <w:rPr>
          <w:spacing w:val="7"/>
        </w:rPr>
      </w:pPr>
      <w:r>
        <w:rPr>
          <w:rFonts w:hint="eastAsia" w:ascii="仿宋" w:hAnsi="仿宋" w:eastAsia="仿宋" w:cs="仿宋"/>
          <w:spacing w:val="0"/>
          <w:position w:val="0"/>
          <w:sz w:val="32"/>
          <w:szCs w:val="32"/>
          <w:lang w:val="en-US" w:eastAsia="en-US"/>
        </w:rPr>
        <w:t>6、社会保险基金预算支出情况</w:t>
      </w:r>
    </w:p>
    <w:p w14:paraId="58C5E1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spacing w:val="7"/>
        </w:rPr>
      </w:pPr>
    </w:p>
    <w:p w14:paraId="6CE8566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spacing w:val="7"/>
        </w:rPr>
      </w:pPr>
    </w:p>
    <w:p w14:paraId="542618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spacing w:val="7"/>
        </w:rPr>
      </w:pPr>
    </w:p>
    <w:p w14:paraId="32B07E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spacing w:val="7"/>
        </w:rPr>
      </w:pPr>
    </w:p>
    <w:p w14:paraId="2D3AB0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spacing w:val="7"/>
        </w:rPr>
      </w:pPr>
    </w:p>
    <w:p w14:paraId="0D676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2CA42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60660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2BBF4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670CE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7E0B0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2E975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72350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375D4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36836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2CB31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327D8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0095B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01609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2BB2E0AA">
      <w:pPr>
        <w:pStyle w:val="3"/>
        <w:rPr>
          <w:rFonts w:hint="eastAsia"/>
          <w:lang w:eastAsia="zh-CN"/>
        </w:rPr>
      </w:pPr>
    </w:p>
    <w:p w14:paraId="6DB0A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3307A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6B404E0D">
      <w:pPr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390D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50940F3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F347632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岳阳市岳阳楼区教育局</w:t>
            </w:r>
          </w:p>
        </w:tc>
      </w:tr>
      <w:tr w14:paraId="4C737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50930665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705761C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9EC2FBD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F70BA16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262F3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E39B1C6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F508E04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84D3D4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71F0601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 w14:paraId="33CF4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7F78C70D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4393DDE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9F6653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F168B34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pacing w:val="-4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7F028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850" w:type="dxa"/>
            <w:noWrap w:val="0"/>
            <w:vAlign w:val="top"/>
          </w:tcPr>
          <w:p w14:paraId="34E1D127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F5970BA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3C7F3A0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A08C2A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0.19</w:t>
            </w:r>
          </w:p>
        </w:tc>
      </w:tr>
      <w:tr w14:paraId="368BB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0CE0F96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1E330FB0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DFB25F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D5BC5F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</w:tr>
      <w:tr w14:paraId="50E9B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1BDD459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1CFE9E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FF935F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1A3F7A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</w:tr>
      <w:tr w14:paraId="5855B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539DDFF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5225FD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D7877C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09F969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</w:tr>
      <w:tr w14:paraId="70451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7685CE6A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FA092A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83B8BA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C5EF6D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</w:tr>
      <w:tr w14:paraId="6690C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D53EB04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C5CF10B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7A6C233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CDBEE8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0.19</w:t>
            </w:r>
          </w:p>
        </w:tc>
      </w:tr>
      <w:tr w14:paraId="404A6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3850" w:type="dxa"/>
            <w:noWrap w:val="0"/>
            <w:vAlign w:val="top"/>
          </w:tcPr>
          <w:p w14:paraId="14AFCAC3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68D60A26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794.99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EF1AB9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454.00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855D00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1675.83</w:t>
            </w:r>
          </w:p>
        </w:tc>
      </w:tr>
      <w:tr w14:paraId="600EE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6B98AC7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6AB8583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794.99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7A55AA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454.00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93D9EF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1675.83</w:t>
            </w:r>
          </w:p>
        </w:tc>
      </w:tr>
      <w:tr w14:paraId="1B249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7D5F6F3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11C1656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7E8CA8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29B9B0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</w:tr>
      <w:tr w14:paraId="34A51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D0D0FF0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46468A6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91BF25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FFD3F7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</w:tr>
      <w:tr w14:paraId="6FC61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2C02A68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69AE45C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highlight w:val="yellow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13622A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D577A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highlight w:val="yellow"/>
                <w:lang w:val="en-US" w:eastAsia="zh-CN"/>
              </w:rPr>
            </w:pPr>
          </w:p>
        </w:tc>
      </w:tr>
      <w:tr w14:paraId="04884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850" w:type="dxa"/>
            <w:noWrap w:val="0"/>
            <w:vAlign w:val="top"/>
          </w:tcPr>
          <w:p w14:paraId="0D50AE63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53450F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304.11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ED88EC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169.2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F04375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363.44</w:t>
            </w:r>
          </w:p>
        </w:tc>
      </w:tr>
      <w:tr w14:paraId="1BB1B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BB71C08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3A29703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41.41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B639D8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9C7816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90.29</w:t>
            </w:r>
          </w:p>
        </w:tc>
      </w:tr>
      <w:tr w14:paraId="23B75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3CF80E2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E8A4260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23.60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EA5DC7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85D3D4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40.32</w:t>
            </w:r>
          </w:p>
        </w:tc>
      </w:tr>
      <w:tr w14:paraId="57523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3F39177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114266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0.34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C08F8FB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24F8A2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1.31</w:t>
            </w:r>
          </w:p>
        </w:tc>
      </w:tr>
      <w:tr w14:paraId="02C55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94C13D5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41E903E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631.81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4793C2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131.45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E25313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131.5</w:t>
            </w:r>
          </w:p>
        </w:tc>
      </w:tr>
      <w:tr w14:paraId="0418C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850" w:type="dxa"/>
            <w:noWrap w:val="0"/>
            <w:vAlign w:val="top"/>
          </w:tcPr>
          <w:p w14:paraId="48B2C198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D50EDE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04D4BA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1203B8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B52F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1A8E68BA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5B9B562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35C4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46FC4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42BFA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05949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0D0BD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1557D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75B17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FD85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18915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07339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5E5D5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5B369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2597F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4219C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6922037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 w14:paraId="3319B403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noWrap w:val="0"/>
            <w:vAlign w:val="top"/>
          </w:tcPr>
          <w:p w14:paraId="5BC05687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noWrap w:val="0"/>
            <w:vAlign w:val="top"/>
          </w:tcPr>
          <w:p w14:paraId="3F629265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85" w:type="dxa"/>
            <w:noWrap w:val="0"/>
            <w:vAlign w:val="top"/>
          </w:tcPr>
          <w:p w14:paraId="16D2E4EA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10" w:type="dxa"/>
            <w:noWrap w:val="0"/>
            <w:vAlign w:val="top"/>
          </w:tcPr>
          <w:p w14:paraId="17CFE102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noWrap w:val="0"/>
            <w:vAlign w:val="top"/>
          </w:tcPr>
          <w:p w14:paraId="562098B3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DFF63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1DFDB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3186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加强宣传教育，提高节约意识；制定相关制度，强化节约意识落实；建立精细化管理体系，加强资源的有效利用。</w:t>
            </w:r>
          </w:p>
        </w:tc>
      </w:tr>
    </w:tbl>
    <w:p w14:paraId="1F55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4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填表人：徐细阳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0730-8870870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2025.07.10</w:t>
      </w:r>
    </w:p>
    <w:p w14:paraId="128C1AD5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59608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年度预算单位整体支出绩效自评表</w:t>
      </w:r>
    </w:p>
    <w:p w14:paraId="01DAA3A1">
      <w:pPr>
        <w:spacing w:line="132" w:lineRule="exact"/>
      </w:pPr>
    </w:p>
    <w:tbl>
      <w:tblPr>
        <w:tblStyle w:val="9"/>
        <w:tblW w:w="10148" w:type="dxa"/>
        <w:tblInd w:w="-6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9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3D83FE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62" w:type="dxa"/>
            <w:gridSpan w:val="3"/>
            <w:noWrap w:val="0"/>
            <w:vAlign w:val="top"/>
          </w:tcPr>
          <w:p w14:paraId="2244731D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0D464BDA">
            <w:pPr>
              <w:pStyle w:val="10"/>
              <w:spacing w:line="239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岳阳市岳阳楼区教育局</w:t>
            </w:r>
          </w:p>
        </w:tc>
      </w:tr>
      <w:tr w14:paraId="6305D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restart"/>
            <w:tcBorders>
              <w:bottom w:val="nil"/>
            </w:tcBorders>
            <w:noWrap w:val="0"/>
            <w:vAlign w:val="top"/>
          </w:tcPr>
          <w:p w14:paraId="2F93E2DD">
            <w:pPr>
              <w:pStyle w:val="10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134A467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6C1206C1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noWrap w:val="0"/>
            <w:vAlign w:val="top"/>
          </w:tcPr>
          <w:p w14:paraId="0CCD9B49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2E485526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2C0541BA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42D6B253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0B61ACC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7627E526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2797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D811B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1281C040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2EF03CB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2319.91</w:t>
            </w:r>
          </w:p>
        </w:tc>
        <w:tc>
          <w:tcPr>
            <w:tcW w:w="1310" w:type="dxa"/>
            <w:noWrap w:val="0"/>
            <w:vAlign w:val="top"/>
          </w:tcPr>
          <w:p w14:paraId="007B736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4658.03</w:t>
            </w:r>
          </w:p>
        </w:tc>
        <w:tc>
          <w:tcPr>
            <w:tcW w:w="1268" w:type="dxa"/>
            <w:noWrap w:val="0"/>
            <w:vAlign w:val="top"/>
          </w:tcPr>
          <w:p w14:paraId="4A6B51C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4095.81</w:t>
            </w:r>
          </w:p>
        </w:tc>
        <w:tc>
          <w:tcPr>
            <w:tcW w:w="716" w:type="dxa"/>
            <w:noWrap w:val="0"/>
            <w:vAlign w:val="top"/>
          </w:tcPr>
          <w:p w14:paraId="4449CC8E">
            <w:pPr>
              <w:pStyle w:val="10"/>
              <w:spacing w:before="54" w:line="194" w:lineRule="auto"/>
              <w:ind w:left="27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8CC1E6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87.93%</w:t>
            </w:r>
          </w:p>
        </w:tc>
        <w:tc>
          <w:tcPr>
            <w:tcW w:w="1450" w:type="dxa"/>
            <w:noWrap w:val="0"/>
            <w:vAlign w:val="top"/>
          </w:tcPr>
          <w:p w14:paraId="57C20D5D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8.79</w:t>
            </w:r>
          </w:p>
        </w:tc>
      </w:tr>
      <w:tr w14:paraId="3AA5A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2CB4A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E4F6EB9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A647ED9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35037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8943D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0FC722D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3901.59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4FC1D35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2419.98</w:t>
            </w:r>
          </w:p>
        </w:tc>
      </w:tr>
      <w:tr w14:paraId="787F7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506BE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C2F7EEB">
            <w:pPr>
              <w:spacing w:before="21" w:line="207" w:lineRule="auto"/>
              <w:ind w:left="916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6AA41A8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1675.83</w:t>
            </w:r>
          </w:p>
        </w:tc>
      </w:tr>
      <w:tr w14:paraId="46A54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83B01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5C01C01">
            <w:pPr>
              <w:spacing w:before="20" w:line="208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B4595CB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5050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</w:tcBorders>
            <w:noWrap w:val="0"/>
            <w:vAlign w:val="top"/>
          </w:tcPr>
          <w:p w14:paraId="1E12A2E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280E8905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  <w:lang w:val="en-US" w:eastAsia="zh-CN"/>
              </w:rPr>
              <w:t>194.22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528B6D9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6C9D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restart"/>
            <w:tcBorders>
              <w:bottom w:val="nil"/>
            </w:tcBorders>
            <w:noWrap w:val="0"/>
            <w:vAlign w:val="top"/>
          </w:tcPr>
          <w:p w14:paraId="6052CB84">
            <w:pPr>
              <w:pStyle w:val="10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54C400A0">
            <w:pPr>
              <w:pStyle w:val="10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334D58E8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274BF9BF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010714D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60E25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149" w:type="dxa"/>
            <w:vMerge w:val="continue"/>
            <w:tcBorders>
              <w:top w:val="nil"/>
            </w:tcBorders>
            <w:noWrap w:val="0"/>
            <w:vAlign w:val="top"/>
          </w:tcPr>
          <w:p w14:paraId="05AA6E9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6F290A5">
            <w:pPr>
              <w:pStyle w:val="10"/>
              <w:rPr>
                <w:rFonts w:hint="default" w:ascii="宋体" w:hAnsi="宋体" w:cs="宋体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</w:rPr>
              <w:t>坚持将“科教立区”作为五大发展战略之首，持续支持改革创新，助力质量提升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</w:rPr>
              <w:t>持续加大教育投入，改善办学条件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</w:rPr>
              <w:t>持续关心队伍建设，健全师资保障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</w:rPr>
              <w:t>持续压实安全责任，保护师生平安，真正以实际行动落实了教育发展“四个优先”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。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BE69CDB">
            <w:pPr>
              <w:pStyle w:val="10"/>
              <w:rPr>
                <w:rFonts w:hint="default" w:ascii="宋体" w:hAnsi="宋体" w:eastAsia="宋体" w:cs="宋体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</w:rPr>
              <w:t>主动推进融合发展，教育规模更加扩大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</w:rPr>
              <w:t>自觉加强政治建设，党的领导更加坚强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</w:rPr>
              <w:t>更加重视思政建设，培根铸魂更加凸显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</w:rPr>
              <w:t>持续深化双减建设，减负增效更加显著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5、深化综合改革建设，提质扩优更加强劲；6、着力强化队伍建设，师资力量更加壮大。7、全力推进项目建设，办学条件更加优化。8、落实教育民生建设，政策保障更加有力。9、竭力实施平安建设，安全防线更加牢固。10、纵深推进廉政建设，教育生态更加清明。</w:t>
            </w:r>
          </w:p>
        </w:tc>
      </w:tr>
      <w:tr w14:paraId="7378D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49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6DCB8C3">
            <w:pPr>
              <w:pStyle w:val="10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0B182650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276620C0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22B1CF76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27328760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78876C19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4789B693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607B6385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44E984A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3CDBCF3B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77AA79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D43CD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9453E51">
            <w:pPr>
              <w:pStyle w:val="10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48A82FFE">
            <w:pPr>
              <w:pStyle w:val="10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19847106">
            <w:pPr>
              <w:pStyle w:val="10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65CEE283">
            <w:pPr>
              <w:pStyle w:val="10"/>
              <w:spacing w:line="273" w:lineRule="auto"/>
              <w:rPr>
                <w:rFonts w:hint="eastAsia" w:ascii="宋体" w:hAnsi="宋体" w:eastAsia="宋体" w:cs="宋体"/>
              </w:rPr>
            </w:pPr>
          </w:p>
          <w:p w14:paraId="77F9E0A6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3708230C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34" w:type="dxa"/>
            <w:vMerge w:val="restart"/>
            <w:noWrap w:val="0"/>
            <w:vAlign w:val="top"/>
          </w:tcPr>
          <w:p w14:paraId="07B7569F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6C076FCC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47FB6250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368B422F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承接经开区公办学校情况</w:t>
            </w:r>
          </w:p>
        </w:tc>
        <w:tc>
          <w:tcPr>
            <w:tcW w:w="1310" w:type="dxa"/>
            <w:noWrap w:val="0"/>
            <w:vAlign w:val="center"/>
          </w:tcPr>
          <w:p w14:paraId="3F0DA712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0E0BB45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67A2662F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4883515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4BB8C9A7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99E6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7F585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6C813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noWrap w:val="0"/>
            <w:vAlign w:val="top"/>
          </w:tcPr>
          <w:p w14:paraId="3205476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629CC35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全年落实“第一议题”学习次数</w:t>
            </w:r>
          </w:p>
        </w:tc>
        <w:tc>
          <w:tcPr>
            <w:tcW w:w="1310" w:type="dxa"/>
            <w:noWrap w:val="0"/>
            <w:vAlign w:val="center"/>
          </w:tcPr>
          <w:p w14:paraId="62B1546F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≧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20次</w:t>
            </w:r>
          </w:p>
        </w:tc>
        <w:tc>
          <w:tcPr>
            <w:tcW w:w="1268" w:type="dxa"/>
            <w:noWrap w:val="0"/>
            <w:vAlign w:val="center"/>
          </w:tcPr>
          <w:p w14:paraId="2FFC2B9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32次</w:t>
            </w:r>
          </w:p>
        </w:tc>
        <w:tc>
          <w:tcPr>
            <w:tcW w:w="716" w:type="dxa"/>
            <w:noWrap w:val="0"/>
            <w:vAlign w:val="center"/>
          </w:tcPr>
          <w:p w14:paraId="2B7AB7AF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0E957B0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43429377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154C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93924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70D80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noWrap w:val="0"/>
            <w:vAlign w:val="top"/>
          </w:tcPr>
          <w:p w14:paraId="454DBC6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164F5BF6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全区校外培训机构整改监管覆盖率</w:t>
            </w:r>
          </w:p>
        </w:tc>
        <w:tc>
          <w:tcPr>
            <w:tcW w:w="1310" w:type="dxa"/>
            <w:noWrap w:val="0"/>
            <w:vAlign w:val="center"/>
          </w:tcPr>
          <w:p w14:paraId="1C52D36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≧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98%</w:t>
            </w:r>
          </w:p>
        </w:tc>
        <w:tc>
          <w:tcPr>
            <w:tcW w:w="1268" w:type="dxa"/>
            <w:noWrap w:val="0"/>
            <w:vAlign w:val="center"/>
          </w:tcPr>
          <w:p w14:paraId="278F91A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1DF4DBD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027D219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49F5AAA9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BEAA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AFFCB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122F7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noWrap w:val="0"/>
            <w:vAlign w:val="top"/>
          </w:tcPr>
          <w:p w14:paraId="311D6A8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09BE5148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全年实施教师队伍培训项目</w:t>
            </w:r>
          </w:p>
        </w:tc>
        <w:tc>
          <w:tcPr>
            <w:tcW w:w="1310" w:type="dxa"/>
            <w:noWrap w:val="0"/>
            <w:vAlign w:val="center"/>
          </w:tcPr>
          <w:p w14:paraId="7514941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≧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40个</w:t>
            </w:r>
          </w:p>
        </w:tc>
        <w:tc>
          <w:tcPr>
            <w:tcW w:w="1268" w:type="dxa"/>
            <w:noWrap w:val="0"/>
            <w:vAlign w:val="center"/>
          </w:tcPr>
          <w:p w14:paraId="1388E4D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60个</w:t>
            </w:r>
          </w:p>
        </w:tc>
        <w:tc>
          <w:tcPr>
            <w:tcW w:w="716" w:type="dxa"/>
            <w:noWrap w:val="0"/>
            <w:vAlign w:val="center"/>
          </w:tcPr>
          <w:p w14:paraId="2DF272C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72A18E2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265AAAC1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5F6B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44DA9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C134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noWrap w:val="0"/>
            <w:vAlign w:val="top"/>
          </w:tcPr>
          <w:p w14:paraId="3675BB7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7DB9AE5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学校提质改造项目个数</w:t>
            </w:r>
          </w:p>
        </w:tc>
        <w:tc>
          <w:tcPr>
            <w:tcW w:w="1310" w:type="dxa"/>
            <w:noWrap w:val="0"/>
            <w:vAlign w:val="center"/>
          </w:tcPr>
          <w:p w14:paraId="2AE84F7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  <w:p w14:paraId="518A959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≧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73个</w:t>
            </w:r>
          </w:p>
        </w:tc>
        <w:tc>
          <w:tcPr>
            <w:tcW w:w="1268" w:type="dxa"/>
            <w:noWrap w:val="0"/>
            <w:vAlign w:val="center"/>
          </w:tcPr>
          <w:p w14:paraId="041706D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4A022D4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96个</w:t>
            </w:r>
          </w:p>
        </w:tc>
        <w:tc>
          <w:tcPr>
            <w:tcW w:w="716" w:type="dxa"/>
            <w:noWrap w:val="0"/>
            <w:vAlign w:val="center"/>
          </w:tcPr>
          <w:p w14:paraId="11252BA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63DFA5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center"/>
          </w:tcPr>
          <w:p w14:paraId="70CC838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760F877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center"/>
          </w:tcPr>
          <w:p w14:paraId="52C2512A">
            <w:pPr>
              <w:pStyle w:val="10"/>
              <w:spacing w:line="235" w:lineRule="exact"/>
              <w:jc w:val="both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A304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B74A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C3E00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noWrap w:val="0"/>
            <w:vAlign w:val="top"/>
          </w:tcPr>
          <w:p w14:paraId="320C85F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top"/>
          </w:tcPr>
          <w:p w14:paraId="60391B39">
            <w:pPr>
              <w:pStyle w:val="10"/>
              <w:spacing w:line="235" w:lineRule="exact"/>
              <w:jc w:val="both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落实教育民生建设及帮扶覆盖情况</w:t>
            </w:r>
          </w:p>
        </w:tc>
        <w:tc>
          <w:tcPr>
            <w:tcW w:w="1310" w:type="dxa"/>
            <w:noWrap w:val="0"/>
            <w:vAlign w:val="top"/>
          </w:tcPr>
          <w:p w14:paraId="444F9DA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  <w:p w14:paraId="60DE886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≧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95%</w:t>
            </w:r>
          </w:p>
        </w:tc>
        <w:tc>
          <w:tcPr>
            <w:tcW w:w="1268" w:type="dxa"/>
            <w:noWrap w:val="0"/>
            <w:vAlign w:val="top"/>
          </w:tcPr>
          <w:p w14:paraId="7CAC775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1D80E5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top"/>
          </w:tcPr>
          <w:p w14:paraId="17BE0BC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B92674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top"/>
          </w:tcPr>
          <w:p w14:paraId="2C7AB5C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4FD8758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6B85C9F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8CF4F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49620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D2D69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noWrap w:val="0"/>
            <w:vAlign w:val="top"/>
          </w:tcPr>
          <w:p w14:paraId="1D709330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  <w:p w14:paraId="5C00224A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2F490431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高考特控上线率提升比例</w:t>
            </w:r>
          </w:p>
        </w:tc>
        <w:tc>
          <w:tcPr>
            <w:tcW w:w="1310" w:type="dxa"/>
            <w:noWrap w:val="0"/>
            <w:vAlign w:val="top"/>
          </w:tcPr>
          <w:p w14:paraId="3343850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  <w:p w14:paraId="4F0C332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≧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2%</w:t>
            </w:r>
          </w:p>
        </w:tc>
        <w:tc>
          <w:tcPr>
            <w:tcW w:w="1268" w:type="dxa"/>
            <w:noWrap w:val="0"/>
            <w:vAlign w:val="top"/>
          </w:tcPr>
          <w:p w14:paraId="45C8C57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5F54682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4.05%</w:t>
            </w:r>
          </w:p>
        </w:tc>
        <w:tc>
          <w:tcPr>
            <w:tcW w:w="716" w:type="dxa"/>
            <w:noWrap w:val="0"/>
            <w:vAlign w:val="top"/>
          </w:tcPr>
          <w:p w14:paraId="5683A88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4ED0CE9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top"/>
          </w:tcPr>
          <w:p w14:paraId="0B7C756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311D763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1EE16BB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C38F8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F467B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A54BB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noWrap w:val="0"/>
            <w:vAlign w:val="top"/>
          </w:tcPr>
          <w:p w14:paraId="2105749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top"/>
          </w:tcPr>
          <w:p w14:paraId="5E30160B">
            <w:pPr>
              <w:pStyle w:val="10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</w:rPr>
              <w:t>本科上线率提升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比例</w:t>
            </w:r>
          </w:p>
        </w:tc>
        <w:tc>
          <w:tcPr>
            <w:tcW w:w="1310" w:type="dxa"/>
            <w:noWrap w:val="0"/>
            <w:vAlign w:val="top"/>
          </w:tcPr>
          <w:p w14:paraId="0BF83ED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  <w:p w14:paraId="78DCDD7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≧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5%</w:t>
            </w:r>
          </w:p>
        </w:tc>
        <w:tc>
          <w:tcPr>
            <w:tcW w:w="1268" w:type="dxa"/>
            <w:noWrap w:val="0"/>
            <w:vAlign w:val="top"/>
          </w:tcPr>
          <w:p w14:paraId="07440FE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2A651D9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7.73%</w:t>
            </w:r>
          </w:p>
        </w:tc>
        <w:tc>
          <w:tcPr>
            <w:tcW w:w="716" w:type="dxa"/>
            <w:noWrap w:val="0"/>
            <w:vAlign w:val="top"/>
          </w:tcPr>
          <w:p w14:paraId="2723B9A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3BB48DC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top"/>
          </w:tcPr>
          <w:p w14:paraId="5FA1210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C548A0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7840D7B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EE22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70E996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403CC1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noWrap w:val="0"/>
            <w:vAlign w:val="top"/>
          </w:tcPr>
          <w:p w14:paraId="54B651A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noWrap w:val="0"/>
            <w:vAlign w:val="top"/>
          </w:tcPr>
          <w:p w14:paraId="08C7818B">
            <w:pPr>
              <w:pStyle w:val="10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“双减”制度落实率</w:t>
            </w:r>
          </w:p>
        </w:tc>
        <w:tc>
          <w:tcPr>
            <w:tcW w:w="1310" w:type="dxa"/>
            <w:noWrap w:val="0"/>
            <w:vAlign w:val="top"/>
          </w:tcPr>
          <w:p w14:paraId="7427E00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  <w:p w14:paraId="29045C5A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≧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top"/>
          </w:tcPr>
          <w:p w14:paraId="2F043AC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447F7A7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top"/>
          </w:tcPr>
          <w:p w14:paraId="7649B67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B61680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top"/>
          </w:tcPr>
          <w:p w14:paraId="7DBFA55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51501B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1A069D2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6DE1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DD955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96616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7308102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41F60FC7">
            <w:pPr>
              <w:pStyle w:val="10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全区各校（园）重大安全事故发生率</w:t>
            </w:r>
          </w:p>
        </w:tc>
        <w:tc>
          <w:tcPr>
            <w:tcW w:w="1310" w:type="dxa"/>
            <w:noWrap w:val="0"/>
            <w:vAlign w:val="top"/>
          </w:tcPr>
          <w:p w14:paraId="01DF6DF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  <w:p w14:paraId="257EB18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未发生</w:t>
            </w:r>
          </w:p>
        </w:tc>
        <w:tc>
          <w:tcPr>
            <w:tcW w:w="1268" w:type="dxa"/>
            <w:noWrap w:val="0"/>
            <w:vAlign w:val="top"/>
          </w:tcPr>
          <w:p w14:paraId="4A3678C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33FE6527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未发生</w:t>
            </w:r>
          </w:p>
        </w:tc>
        <w:tc>
          <w:tcPr>
            <w:tcW w:w="716" w:type="dxa"/>
            <w:noWrap w:val="0"/>
            <w:vAlign w:val="top"/>
          </w:tcPr>
          <w:p w14:paraId="25B813D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64EC913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873" w:type="dxa"/>
            <w:noWrap w:val="0"/>
            <w:vAlign w:val="top"/>
          </w:tcPr>
          <w:p w14:paraId="6C84AF8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3F99E3D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3</w:t>
            </w:r>
          </w:p>
        </w:tc>
        <w:tc>
          <w:tcPr>
            <w:tcW w:w="1450" w:type="dxa"/>
            <w:noWrap w:val="0"/>
            <w:vAlign w:val="top"/>
          </w:tcPr>
          <w:p w14:paraId="687CBC0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522C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8906D5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970CE5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489A37A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9EA141D">
            <w:pPr>
              <w:pStyle w:val="10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9"/>
                <w:szCs w:val="19"/>
                <w:lang w:val="en-US" w:eastAsia="zh-CN"/>
              </w:rPr>
              <w:t>各项资金的拨付率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027B5B4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  <w:p w14:paraId="6271634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≧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top"/>
          </w:tcPr>
          <w:p w14:paraId="2950C6E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A492DC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top"/>
          </w:tcPr>
          <w:p w14:paraId="0C36CED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A7A31A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top"/>
          </w:tcPr>
          <w:p w14:paraId="3277A99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2E4036F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651E8B0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84A3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9E67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3A201E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5198D6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7E81CA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按时发放在职工作人员的工资及福利待遇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358F2CB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29EA32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及时</w:t>
            </w:r>
          </w:p>
        </w:tc>
        <w:tc>
          <w:tcPr>
            <w:tcW w:w="1268" w:type="dxa"/>
            <w:noWrap w:val="0"/>
            <w:vAlign w:val="top"/>
          </w:tcPr>
          <w:p w14:paraId="16A31E5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B402751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及时</w:t>
            </w:r>
          </w:p>
        </w:tc>
        <w:tc>
          <w:tcPr>
            <w:tcW w:w="716" w:type="dxa"/>
            <w:noWrap w:val="0"/>
            <w:vAlign w:val="top"/>
          </w:tcPr>
          <w:p w14:paraId="22F23F0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93AD4C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top"/>
          </w:tcPr>
          <w:p w14:paraId="676592C4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63A916E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1A5FB71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2EE9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6ED52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8ADDCF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97C3C25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449B5BC7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50C0FD3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eastAsia="zh-CN"/>
              </w:rPr>
            </w:pPr>
          </w:p>
          <w:p w14:paraId="2B85B5F4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eastAsia="zh-CN"/>
              </w:rPr>
            </w:pPr>
          </w:p>
          <w:p w14:paraId="1C2A1F55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全年预算支出控制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31044C3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  <w:p w14:paraId="1E2ADFA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  <w:p w14:paraId="332173B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≤4095.81万元</w:t>
            </w:r>
          </w:p>
        </w:tc>
        <w:tc>
          <w:tcPr>
            <w:tcW w:w="1268" w:type="dxa"/>
            <w:noWrap w:val="0"/>
            <w:vAlign w:val="top"/>
          </w:tcPr>
          <w:p w14:paraId="05DCF2B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96623C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C2E549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4095.81万元</w:t>
            </w:r>
          </w:p>
        </w:tc>
        <w:tc>
          <w:tcPr>
            <w:tcW w:w="716" w:type="dxa"/>
            <w:noWrap w:val="0"/>
            <w:vAlign w:val="top"/>
          </w:tcPr>
          <w:p w14:paraId="773FCBC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62D6A1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3C7D9BC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75376BD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B48957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6DA72AA5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596D292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69FEF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AEE51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AC1C6A7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63A981D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5F407C6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23E5A16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4790689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5D92446D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7E12C23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28CC3D3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4D2C9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32CCE192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2F5D590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4058158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top"/>
          </w:tcPr>
          <w:p w14:paraId="1D343CD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6E8B5BF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top"/>
          </w:tcPr>
          <w:p w14:paraId="5C78B22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4051EBF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0</w:t>
            </w:r>
          </w:p>
        </w:tc>
        <w:tc>
          <w:tcPr>
            <w:tcW w:w="873" w:type="dxa"/>
            <w:noWrap w:val="0"/>
            <w:vAlign w:val="top"/>
          </w:tcPr>
          <w:p w14:paraId="5868438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6113813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0</w:t>
            </w:r>
          </w:p>
        </w:tc>
        <w:tc>
          <w:tcPr>
            <w:tcW w:w="1450" w:type="dxa"/>
            <w:noWrap w:val="0"/>
            <w:vAlign w:val="top"/>
          </w:tcPr>
          <w:p w14:paraId="0730FD55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DFCD6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4B80EE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74715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3B0C5818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</w:pPr>
          </w:p>
          <w:p w14:paraId="1EB0293A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6C82EB00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1CFD019C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推进学校项目建设，优化学校校园环境</w:t>
            </w:r>
          </w:p>
        </w:tc>
        <w:tc>
          <w:tcPr>
            <w:tcW w:w="1310" w:type="dxa"/>
            <w:noWrap w:val="0"/>
            <w:vAlign w:val="top"/>
          </w:tcPr>
          <w:p w14:paraId="4CF4A11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618DB7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有所改善</w:t>
            </w:r>
          </w:p>
        </w:tc>
        <w:tc>
          <w:tcPr>
            <w:tcW w:w="1268" w:type="dxa"/>
            <w:noWrap w:val="0"/>
            <w:vAlign w:val="top"/>
          </w:tcPr>
          <w:p w14:paraId="664C824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C52E4A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有所改善</w:t>
            </w:r>
          </w:p>
        </w:tc>
        <w:tc>
          <w:tcPr>
            <w:tcW w:w="716" w:type="dxa"/>
            <w:noWrap w:val="0"/>
            <w:vAlign w:val="top"/>
          </w:tcPr>
          <w:p w14:paraId="2973B8F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0270FAD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top"/>
          </w:tcPr>
          <w:p w14:paraId="49FE21C8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3BEA287B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0645E4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C866E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93B04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060C9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80D250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14A91630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提升教育教学质量，促进教育事业发展</w:t>
            </w:r>
          </w:p>
        </w:tc>
        <w:tc>
          <w:tcPr>
            <w:tcW w:w="1310" w:type="dxa"/>
            <w:noWrap w:val="0"/>
            <w:vAlign w:val="top"/>
          </w:tcPr>
          <w:p w14:paraId="2437EB5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2EE17B4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有所提升</w:t>
            </w:r>
          </w:p>
        </w:tc>
        <w:tc>
          <w:tcPr>
            <w:tcW w:w="1268" w:type="dxa"/>
            <w:noWrap w:val="0"/>
            <w:vAlign w:val="top"/>
          </w:tcPr>
          <w:p w14:paraId="2988F84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79D95209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top"/>
          </w:tcPr>
          <w:p w14:paraId="785D436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6694EA6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top"/>
          </w:tcPr>
          <w:p w14:paraId="2AE635D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3B642C3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36DFA8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DC49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0E35B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5160C2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2C801EC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7FD0F56D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EEAF1F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提高生态文明教育，落实绿色校园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0A0A9E8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6B81ED0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≧100%</w:t>
            </w:r>
          </w:p>
        </w:tc>
        <w:tc>
          <w:tcPr>
            <w:tcW w:w="1268" w:type="dxa"/>
            <w:noWrap w:val="0"/>
            <w:vAlign w:val="top"/>
          </w:tcPr>
          <w:p w14:paraId="0F4697B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17D4E1E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top"/>
          </w:tcPr>
          <w:p w14:paraId="7D72B17A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531EC6E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E77722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0F57748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FE8D23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49CF8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149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81932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C9B95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F156F7E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55412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47B29B68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教育事业可持续发展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3EC1D89A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7D35F5FE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持续发展</w:t>
            </w:r>
          </w:p>
        </w:tc>
        <w:tc>
          <w:tcPr>
            <w:tcW w:w="1268" w:type="dxa"/>
            <w:noWrap w:val="0"/>
            <w:vAlign w:val="top"/>
          </w:tcPr>
          <w:p w14:paraId="61E38E24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70A1D4E6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持续发展</w:t>
            </w:r>
          </w:p>
        </w:tc>
        <w:tc>
          <w:tcPr>
            <w:tcW w:w="716" w:type="dxa"/>
            <w:noWrap w:val="0"/>
            <w:vAlign w:val="top"/>
          </w:tcPr>
          <w:p w14:paraId="112AD587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AC11790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6638BBCC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57D19B58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9.5</w:t>
            </w:r>
          </w:p>
        </w:tc>
        <w:tc>
          <w:tcPr>
            <w:tcW w:w="1450" w:type="dxa"/>
            <w:noWrap w:val="0"/>
            <w:vAlign w:val="top"/>
          </w:tcPr>
          <w:p w14:paraId="21B23C5E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E74C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14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9C15A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9B8596D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780CE62E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B1BD2A0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5DB3DBA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6816BD93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F142256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BCE639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55AA63F2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努力办好人民满意的教育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7F9772E5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  <w:p w14:paraId="689EA4AD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≧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95%</w:t>
            </w:r>
          </w:p>
        </w:tc>
        <w:tc>
          <w:tcPr>
            <w:tcW w:w="1268" w:type="dxa"/>
            <w:noWrap w:val="0"/>
            <w:vAlign w:val="top"/>
          </w:tcPr>
          <w:p w14:paraId="479F3F18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4164E52C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top"/>
          </w:tcPr>
          <w:p w14:paraId="36F5080D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70903426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455FC161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696FC9AF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9.5</w:t>
            </w:r>
          </w:p>
        </w:tc>
        <w:tc>
          <w:tcPr>
            <w:tcW w:w="1450" w:type="dxa"/>
            <w:noWrap w:val="0"/>
            <w:vAlign w:val="top"/>
          </w:tcPr>
          <w:p w14:paraId="5EA529DC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8266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109" w:type="dxa"/>
            <w:gridSpan w:val="6"/>
            <w:noWrap w:val="0"/>
            <w:vAlign w:val="top"/>
          </w:tcPr>
          <w:p w14:paraId="03489D59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noWrap w:val="0"/>
            <w:vAlign w:val="top"/>
          </w:tcPr>
          <w:p w14:paraId="3A575898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4E986F05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97.79</w:t>
            </w:r>
          </w:p>
        </w:tc>
        <w:tc>
          <w:tcPr>
            <w:tcW w:w="1450" w:type="dxa"/>
            <w:noWrap w:val="0"/>
            <w:vAlign w:val="top"/>
          </w:tcPr>
          <w:p w14:paraId="71C1168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6D244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5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填表人：徐细阳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0730-8870870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2025.07.10</w:t>
      </w:r>
    </w:p>
    <w:p w14:paraId="4A546FF6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76037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9"/>
        <w:tblW w:w="9168" w:type="dxa"/>
        <w:tblInd w:w="-26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1151"/>
        <w:gridCol w:w="841"/>
        <w:gridCol w:w="1164"/>
        <w:gridCol w:w="1224"/>
        <w:gridCol w:w="1212"/>
        <w:gridCol w:w="648"/>
        <w:gridCol w:w="756"/>
        <w:gridCol w:w="984"/>
      </w:tblGrid>
      <w:tr w14:paraId="6B9BA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180" w:type="dxa"/>
            <w:gridSpan w:val="3"/>
            <w:noWrap w:val="0"/>
            <w:vAlign w:val="top"/>
          </w:tcPr>
          <w:p w14:paraId="01CF7E92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5988" w:type="dxa"/>
            <w:gridSpan w:val="6"/>
            <w:noWrap w:val="0"/>
            <w:vAlign w:val="top"/>
          </w:tcPr>
          <w:p w14:paraId="58FFD06F">
            <w:pPr>
              <w:pStyle w:val="1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无</w:t>
            </w:r>
          </w:p>
        </w:tc>
      </w:tr>
      <w:tr w14:paraId="1C59D3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188" w:type="dxa"/>
            <w:noWrap w:val="0"/>
            <w:vAlign w:val="top"/>
          </w:tcPr>
          <w:p w14:paraId="4673F6CC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380" w:type="dxa"/>
            <w:gridSpan w:val="4"/>
            <w:noWrap w:val="0"/>
            <w:vAlign w:val="top"/>
          </w:tcPr>
          <w:p w14:paraId="7651446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6ADF2C2A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388" w:type="dxa"/>
            <w:gridSpan w:val="3"/>
            <w:noWrap w:val="0"/>
            <w:vAlign w:val="top"/>
          </w:tcPr>
          <w:p w14:paraId="0E5B991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280DE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188" w:type="dxa"/>
            <w:vMerge w:val="restart"/>
            <w:tcBorders>
              <w:bottom w:val="nil"/>
            </w:tcBorders>
            <w:noWrap w:val="0"/>
            <w:vAlign w:val="top"/>
          </w:tcPr>
          <w:p w14:paraId="07BD3FAD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F3153BC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1992" w:type="dxa"/>
            <w:gridSpan w:val="2"/>
            <w:noWrap w:val="0"/>
            <w:vAlign w:val="top"/>
          </w:tcPr>
          <w:p w14:paraId="38FFDB1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3103DA26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24" w:type="dxa"/>
            <w:noWrap w:val="0"/>
            <w:vAlign w:val="top"/>
          </w:tcPr>
          <w:p w14:paraId="34D3AC32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12" w:type="dxa"/>
            <w:noWrap w:val="0"/>
            <w:vAlign w:val="top"/>
          </w:tcPr>
          <w:p w14:paraId="715DC91C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48" w:type="dxa"/>
            <w:noWrap w:val="0"/>
            <w:vAlign w:val="top"/>
          </w:tcPr>
          <w:p w14:paraId="09E466FB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56" w:type="dxa"/>
            <w:noWrap w:val="0"/>
            <w:vAlign w:val="top"/>
          </w:tcPr>
          <w:p w14:paraId="0902C92E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984" w:type="dxa"/>
            <w:noWrap w:val="0"/>
            <w:vAlign w:val="top"/>
          </w:tcPr>
          <w:p w14:paraId="63F08F12">
            <w:pPr>
              <w:spacing w:before="31" w:line="217" w:lineRule="auto"/>
              <w:ind w:firstLine="186" w:firstLineChars="1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EAB2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B0AE70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992" w:type="dxa"/>
            <w:gridSpan w:val="2"/>
            <w:noWrap w:val="0"/>
            <w:vAlign w:val="top"/>
          </w:tcPr>
          <w:p w14:paraId="5C197F07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164" w:type="dxa"/>
            <w:noWrap w:val="0"/>
            <w:vAlign w:val="top"/>
          </w:tcPr>
          <w:p w14:paraId="2968F974">
            <w:pPr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24" w:type="dxa"/>
            <w:noWrap w:val="0"/>
            <w:vAlign w:val="top"/>
          </w:tcPr>
          <w:p w14:paraId="13A3BD68">
            <w:pPr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212" w:type="dxa"/>
            <w:noWrap w:val="0"/>
            <w:vAlign w:val="top"/>
          </w:tcPr>
          <w:p w14:paraId="01BA3684">
            <w:pPr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648" w:type="dxa"/>
            <w:noWrap w:val="0"/>
            <w:vAlign w:val="top"/>
          </w:tcPr>
          <w:p w14:paraId="76DD3D29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highlight w:val="none"/>
                <w:lang w:val="en-US" w:eastAsia="zh-CN"/>
              </w:rPr>
              <w:t>/</w:t>
            </w:r>
          </w:p>
        </w:tc>
        <w:tc>
          <w:tcPr>
            <w:tcW w:w="756" w:type="dxa"/>
            <w:noWrap w:val="0"/>
            <w:vAlign w:val="top"/>
          </w:tcPr>
          <w:p w14:paraId="4BDAC171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984" w:type="dxa"/>
            <w:noWrap w:val="0"/>
            <w:vAlign w:val="top"/>
          </w:tcPr>
          <w:p w14:paraId="338E1BA3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</w:tr>
      <w:tr w14:paraId="59C633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63A99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992" w:type="dxa"/>
            <w:gridSpan w:val="2"/>
            <w:noWrap w:val="0"/>
            <w:vAlign w:val="top"/>
          </w:tcPr>
          <w:p w14:paraId="75DD52FA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164" w:type="dxa"/>
            <w:noWrap w:val="0"/>
            <w:vAlign w:val="top"/>
          </w:tcPr>
          <w:p w14:paraId="45A755F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24" w:type="dxa"/>
            <w:noWrap w:val="0"/>
            <w:vAlign w:val="top"/>
          </w:tcPr>
          <w:p w14:paraId="2C057A2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7CE6147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48" w:type="dxa"/>
            <w:noWrap w:val="0"/>
            <w:vAlign w:val="top"/>
          </w:tcPr>
          <w:p w14:paraId="540BC4F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756" w:type="dxa"/>
            <w:noWrap w:val="0"/>
            <w:vAlign w:val="top"/>
          </w:tcPr>
          <w:p w14:paraId="57DE190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noWrap w:val="0"/>
            <w:vAlign w:val="top"/>
          </w:tcPr>
          <w:p w14:paraId="397DC83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60A35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83A76A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992" w:type="dxa"/>
            <w:gridSpan w:val="2"/>
            <w:noWrap w:val="0"/>
            <w:vAlign w:val="top"/>
          </w:tcPr>
          <w:p w14:paraId="6513E3E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164" w:type="dxa"/>
            <w:noWrap w:val="0"/>
            <w:vAlign w:val="top"/>
          </w:tcPr>
          <w:p w14:paraId="0E9366C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24" w:type="dxa"/>
            <w:noWrap w:val="0"/>
            <w:vAlign w:val="top"/>
          </w:tcPr>
          <w:p w14:paraId="18690E5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75CDF81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48" w:type="dxa"/>
            <w:noWrap w:val="0"/>
            <w:vAlign w:val="top"/>
          </w:tcPr>
          <w:p w14:paraId="7B50076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756" w:type="dxa"/>
            <w:noWrap w:val="0"/>
            <w:vAlign w:val="top"/>
          </w:tcPr>
          <w:p w14:paraId="622FDF0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noWrap w:val="0"/>
            <w:vAlign w:val="top"/>
          </w:tcPr>
          <w:p w14:paraId="0D5DE81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8CCB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188" w:type="dxa"/>
            <w:vMerge w:val="continue"/>
            <w:tcBorders>
              <w:top w:val="nil"/>
            </w:tcBorders>
            <w:noWrap w:val="0"/>
            <w:vAlign w:val="top"/>
          </w:tcPr>
          <w:p w14:paraId="197CDE6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992" w:type="dxa"/>
            <w:gridSpan w:val="2"/>
            <w:noWrap w:val="0"/>
            <w:vAlign w:val="top"/>
          </w:tcPr>
          <w:p w14:paraId="26F7C5FF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164" w:type="dxa"/>
            <w:noWrap w:val="0"/>
            <w:vAlign w:val="top"/>
          </w:tcPr>
          <w:p w14:paraId="185456A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24" w:type="dxa"/>
            <w:noWrap w:val="0"/>
            <w:vAlign w:val="top"/>
          </w:tcPr>
          <w:p w14:paraId="6F78BA6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40DA89E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48" w:type="dxa"/>
            <w:noWrap w:val="0"/>
            <w:vAlign w:val="top"/>
          </w:tcPr>
          <w:p w14:paraId="5D9965B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756" w:type="dxa"/>
            <w:noWrap w:val="0"/>
            <w:vAlign w:val="top"/>
          </w:tcPr>
          <w:p w14:paraId="7D949BC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noWrap w:val="0"/>
            <w:vAlign w:val="top"/>
          </w:tcPr>
          <w:p w14:paraId="0CEBBC6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06F18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188" w:type="dxa"/>
            <w:vMerge w:val="restart"/>
            <w:tcBorders>
              <w:bottom w:val="nil"/>
            </w:tcBorders>
            <w:noWrap w:val="0"/>
            <w:vAlign w:val="top"/>
          </w:tcPr>
          <w:p w14:paraId="0C207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64728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051A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380" w:type="dxa"/>
            <w:gridSpan w:val="4"/>
            <w:noWrap w:val="0"/>
            <w:vAlign w:val="top"/>
          </w:tcPr>
          <w:p w14:paraId="614EF9CF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600" w:type="dxa"/>
            <w:gridSpan w:val="4"/>
            <w:noWrap w:val="0"/>
            <w:vAlign w:val="top"/>
          </w:tcPr>
          <w:p w14:paraId="59268D5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DD95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188" w:type="dxa"/>
            <w:vMerge w:val="continue"/>
            <w:tcBorders>
              <w:top w:val="nil"/>
            </w:tcBorders>
            <w:noWrap w:val="0"/>
            <w:vAlign w:val="top"/>
          </w:tcPr>
          <w:p w14:paraId="6D5987D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380" w:type="dxa"/>
            <w:gridSpan w:val="4"/>
            <w:noWrap w:val="0"/>
            <w:vAlign w:val="top"/>
          </w:tcPr>
          <w:p w14:paraId="45CFDDB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3600" w:type="dxa"/>
            <w:gridSpan w:val="4"/>
            <w:noWrap w:val="0"/>
            <w:vAlign w:val="top"/>
          </w:tcPr>
          <w:p w14:paraId="378AB05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419DB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1188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0EEEC72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E50059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151" w:type="dxa"/>
            <w:noWrap w:val="0"/>
            <w:vAlign w:val="top"/>
          </w:tcPr>
          <w:p w14:paraId="3B8F9836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841" w:type="dxa"/>
            <w:noWrap w:val="0"/>
            <w:vAlign w:val="top"/>
          </w:tcPr>
          <w:p w14:paraId="230E8996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164" w:type="dxa"/>
            <w:noWrap w:val="0"/>
            <w:vAlign w:val="top"/>
          </w:tcPr>
          <w:p w14:paraId="0AA693D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24" w:type="dxa"/>
            <w:noWrap w:val="0"/>
            <w:vAlign w:val="top"/>
          </w:tcPr>
          <w:p w14:paraId="0CE0DAE0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5EB40D5A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12" w:type="dxa"/>
            <w:noWrap w:val="0"/>
            <w:vAlign w:val="top"/>
          </w:tcPr>
          <w:p w14:paraId="66BF5A1B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BEE4632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48" w:type="dxa"/>
            <w:noWrap w:val="0"/>
            <w:vAlign w:val="top"/>
          </w:tcPr>
          <w:p w14:paraId="4F2DB230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56" w:type="dxa"/>
            <w:noWrap w:val="0"/>
            <w:vAlign w:val="top"/>
          </w:tcPr>
          <w:p w14:paraId="12446DB0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984" w:type="dxa"/>
            <w:noWrap w:val="0"/>
            <w:vAlign w:val="top"/>
          </w:tcPr>
          <w:p w14:paraId="4553C126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7DCF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89F53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restart"/>
            <w:tcBorders>
              <w:bottom w:val="nil"/>
            </w:tcBorders>
            <w:noWrap w:val="0"/>
            <w:vAlign w:val="top"/>
          </w:tcPr>
          <w:p w14:paraId="0CA34833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88CA4BF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1F1F6D4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3644B32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174498E7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512EDE3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841" w:type="dxa"/>
            <w:vMerge w:val="restart"/>
            <w:tcBorders>
              <w:bottom w:val="nil"/>
            </w:tcBorders>
            <w:noWrap w:val="0"/>
            <w:vAlign w:val="top"/>
          </w:tcPr>
          <w:p w14:paraId="3BA7237D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5E6250E0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6659419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5BFDC6D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75280C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53E915D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47FAA2C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377ACF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6C06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F7422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197552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60D803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1E5E149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3339251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D98558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210BAF5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6343D65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4AB69A5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0EDE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83DDEF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2A517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</w:tcBorders>
            <w:noWrap w:val="0"/>
            <w:vAlign w:val="top"/>
          </w:tcPr>
          <w:p w14:paraId="67CB4BD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42118D63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4" w:type="dxa"/>
            <w:noWrap w:val="0"/>
            <w:vAlign w:val="top"/>
          </w:tcPr>
          <w:p w14:paraId="02D76AE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886131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2C9F31C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1F34E0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1CE6717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80C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2C740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4B064D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restart"/>
            <w:tcBorders>
              <w:bottom w:val="nil"/>
            </w:tcBorders>
            <w:noWrap w:val="0"/>
            <w:vAlign w:val="top"/>
          </w:tcPr>
          <w:p w14:paraId="5A118510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59D0660D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3742E6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4B130C7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212A2C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17DC34D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77364B6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558F67D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C6F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DEF28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C067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6F2FB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287211D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0B8D678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96FAD3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2429F91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7F52848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1367AEF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04B34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AB2A10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74E9A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</w:tcBorders>
            <w:noWrap w:val="0"/>
            <w:vAlign w:val="top"/>
          </w:tcPr>
          <w:p w14:paraId="62C44DB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35A90FD5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4" w:type="dxa"/>
            <w:noWrap w:val="0"/>
            <w:vAlign w:val="top"/>
          </w:tcPr>
          <w:p w14:paraId="714D86D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107BAA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2F2D15E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42F4FED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7F78DC9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3EE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57F08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1744D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restart"/>
            <w:tcBorders>
              <w:bottom w:val="nil"/>
            </w:tcBorders>
            <w:noWrap w:val="0"/>
            <w:vAlign w:val="top"/>
          </w:tcPr>
          <w:p w14:paraId="2AF3505C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683B4A48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0539F68A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09C8B497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CB51711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0523E9A5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4CCAF40C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20CB9D4D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2A96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17763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47FF9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105D6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1E48AA1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021BB0E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9C772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39AD8E4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3FAB6F9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73CCBEC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93DD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8A0BFA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5004E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</w:tcBorders>
            <w:noWrap w:val="0"/>
            <w:vAlign w:val="top"/>
          </w:tcPr>
          <w:p w14:paraId="68460F2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3BB0BF90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4" w:type="dxa"/>
            <w:noWrap w:val="0"/>
            <w:vAlign w:val="top"/>
          </w:tcPr>
          <w:p w14:paraId="55D85AB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3C44C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1727C91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071DA6E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71A3164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0D67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83B03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93E828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restart"/>
            <w:tcBorders>
              <w:bottom w:val="nil"/>
            </w:tcBorders>
            <w:noWrap w:val="0"/>
            <w:vAlign w:val="top"/>
          </w:tcPr>
          <w:p w14:paraId="3E23BE0E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6013EBF6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noWrap w:val="0"/>
            <w:vAlign w:val="top"/>
          </w:tcPr>
          <w:p w14:paraId="5B4FBAA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463AB59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5F4D79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7011891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34E0F08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312506A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48E2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A470DA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53F53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EC4C2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3100565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60E8D79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189D35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566E893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1863D47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1092767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3F1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BF89D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36ED7D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1086B9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1717EC0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4" w:type="dxa"/>
            <w:noWrap w:val="0"/>
            <w:vAlign w:val="top"/>
          </w:tcPr>
          <w:p w14:paraId="3954950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D78B6E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4BCE874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0DF2BD7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4B510BA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9D62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4DE1D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4AF51751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839A47E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7B5A453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E56FB14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E72C0B2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841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55B5DE5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2D2BCAF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DF14676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58C8A0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3C17FE9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23D0B9B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3A12009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4267ED9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3E44B50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239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2C9C58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8C3A24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DAAD6C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05F0B6D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649D3D5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5B647E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347A87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6D8115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040901C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66F4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B9C135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96C3E2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130A41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7E8852D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4" w:type="dxa"/>
            <w:noWrap w:val="0"/>
            <w:vAlign w:val="top"/>
          </w:tcPr>
          <w:p w14:paraId="2D1AB56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9FEDBF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030CDC7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04ED6E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0FB8FE5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8BC2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1DAC2B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C5ECA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B77EADD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BC54CFF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9F7A5D9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3A34D6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33F4CD2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03607FD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009E1F4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2B4E000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7CCDB5A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C9C8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25988E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0B8F05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C59751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2446B0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3FC34A6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700E77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48B13D2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79EC258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159AE23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4B6B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26D82A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FC31C6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D5AD48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632EE6B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4" w:type="dxa"/>
            <w:noWrap w:val="0"/>
            <w:vAlign w:val="top"/>
          </w:tcPr>
          <w:p w14:paraId="33C6CD6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6696357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59B6799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5D557FD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29BF691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65AA9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C06A0A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71F2E5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61A253B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5A9F54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A2054B3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07DFA4C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2C1AA43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76B15D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7442A60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71FDDA4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2A45B30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AF6B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5C0DB6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B6D247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3E48C2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3713F65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3A5BB6B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E0420E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5597FCD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6D39875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0553730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B1077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8C1FB8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55CDE5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CCDD8C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586B2F4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4" w:type="dxa"/>
            <w:noWrap w:val="0"/>
            <w:vAlign w:val="top"/>
          </w:tcPr>
          <w:p w14:paraId="6903CA7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71A7290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7C73873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7B0FB93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43A0A1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D246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8F6F31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BD59C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B2892C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200522E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709BA2D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15F2571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314B44F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66EA5B2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1898AB3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EC31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370B46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ABD49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5936CC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6263F11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101B731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302DCA1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5EF37FD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070F715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3DB8C56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C2EA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1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D98479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8CE42E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BE2F1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tcBorders>
              <w:left w:val="single" w:color="auto" w:sz="4" w:space="0"/>
            </w:tcBorders>
            <w:noWrap w:val="0"/>
            <w:vAlign w:val="top"/>
          </w:tcPr>
          <w:p w14:paraId="6DB2132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4" w:type="dxa"/>
            <w:noWrap w:val="0"/>
            <w:vAlign w:val="top"/>
          </w:tcPr>
          <w:p w14:paraId="588CC7C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309426B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02CC661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02CF92F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7B029D1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5612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E68A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CEC543C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803370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55AE635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841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E3863A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6131DB75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FE0A4B0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164" w:type="dxa"/>
            <w:noWrap w:val="0"/>
            <w:vAlign w:val="top"/>
          </w:tcPr>
          <w:p w14:paraId="6F43DBA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01FE782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629D6F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23DBAD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100A839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435DEB4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DED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1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7F22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DB8C47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99518A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3FF9E1F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24" w:type="dxa"/>
            <w:noWrap w:val="0"/>
            <w:vAlign w:val="top"/>
          </w:tcPr>
          <w:p w14:paraId="4228D34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12" w:type="dxa"/>
            <w:noWrap w:val="0"/>
            <w:vAlign w:val="top"/>
          </w:tcPr>
          <w:p w14:paraId="4195886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48" w:type="dxa"/>
            <w:noWrap w:val="0"/>
            <w:vAlign w:val="top"/>
          </w:tcPr>
          <w:p w14:paraId="2BF0262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756" w:type="dxa"/>
            <w:noWrap w:val="0"/>
            <w:vAlign w:val="top"/>
          </w:tcPr>
          <w:p w14:paraId="465A616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984" w:type="dxa"/>
            <w:noWrap w:val="0"/>
            <w:vAlign w:val="top"/>
          </w:tcPr>
          <w:p w14:paraId="5D52A16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5A7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188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DB605A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51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88CFB7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41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E8F7AA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164" w:type="dxa"/>
            <w:noWrap w:val="0"/>
            <w:vAlign w:val="top"/>
          </w:tcPr>
          <w:p w14:paraId="67AB5132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24" w:type="dxa"/>
            <w:noWrap w:val="0"/>
            <w:vAlign w:val="top"/>
          </w:tcPr>
          <w:p w14:paraId="78BF66C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2" w:type="dxa"/>
            <w:noWrap w:val="0"/>
            <w:vAlign w:val="top"/>
          </w:tcPr>
          <w:p w14:paraId="74CFE05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48" w:type="dxa"/>
            <w:noWrap w:val="0"/>
            <w:vAlign w:val="top"/>
          </w:tcPr>
          <w:p w14:paraId="51DB94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756" w:type="dxa"/>
            <w:noWrap w:val="0"/>
            <w:vAlign w:val="top"/>
          </w:tcPr>
          <w:p w14:paraId="790D1AA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84" w:type="dxa"/>
            <w:noWrap w:val="0"/>
            <w:vAlign w:val="top"/>
          </w:tcPr>
          <w:p w14:paraId="03B5D4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43A7B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780" w:type="dxa"/>
            <w:gridSpan w:val="6"/>
            <w:noWrap w:val="0"/>
            <w:vAlign w:val="top"/>
          </w:tcPr>
          <w:p w14:paraId="28633239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48" w:type="dxa"/>
            <w:noWrap w:val="0"/>
            <w:vAlign w:val="top"/>
          </w:tcPr>
          <w:p w14:paraId="5DA72674">
            <w:pPr>
              <w:spacing w:before="67" w:line="195" w:lineRule="auto"/>
              <w:ind w:left="208"/>
              <w:rPr>
                <w:rFonts w:hint="default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val="en-US" w:eastAsia="zh-CN"/>
              </w:rPr>
              <w:t>/</w:t>
            </w:r>
          </w:p>
        </w:tc>
        <w:tc>
          <w:tcPr>
            <w:tcW w:w="756" w:type="dxa"/>
            <w:noWrap w:val="0"/>
            <w:vAlign w:val="top"/>
          </w:tcPr>
          <w:p w14:paraId="0C8AEB20">
            <w:pPr>
              <w:pStyle w:val="1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984" w:type="dxa"/>
            <w:noWrap w:val="0"/>
            <w:vAlign w:val="top"/>
          </w:tcPr>
          <w:p w14:paraId="6A82597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4CF244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/>
          <w:spacing w:val="7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填表人：徐细阳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0730-8870870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2025.07.10</w:t>
      </w: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5917935-C5BE-4261-931E-8634EB583AF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6C810F7-A8CE-4E30-B844-18981A2145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7B3489F-A3AF-4003-8093-FA29475A614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EAAC177-2D2F-4E0D-9A51-B87E783A475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DF4EE338-1F65-4F52-813B-4B96C5FE805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D13D61C-3ABF-4A25-AAF4-4B2DEF2362C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D46E7A9D-06C1-43F2-BFEB-37D74DC53619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22BF3">
    <w:pPr>
      <w:pStyle w:val="2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54B76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54B76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C9495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F3DA3B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3DA3B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7089F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8381BE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81BE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B0E3C1"/>
    <w:multiLevelType w:val="singleLevel"/>
    <w:tmpl w:val="96B0E3C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9D35C1B"/>
    <w:multiLevelType w:val="singleLevel"/>
    <w:tmpl w:val="A9D35C1B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B3F0D681"/>
    <w:multiLevelType w:val="singleLevel"/>
    <w:tmpl w:val="B3F0D6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A4E3EF0"/>
    <w:multiLevelType w:val="singleLevel"/>
    <w:tmpl w:val="1A4E3EF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4D79A5B9"/>
    <w:multiLevelType w:val="singleLevel"/>
    <w:tmpl w:val="4D79A5B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76284CE1"/>
    <w:rsid w:val="000A3765"/>
    <w:rsid w:val="001D7282"/>
    <w:rsid w:val="002C4449"/>
    <w:rsid w:val="0039081D"/>
    <w:rsid w:val="0049022E"/>
    <w:rsid w:val="005600CD"/>
    <w:rsid w:val="005E6ECB"/>
    <w:rsid w:val="00665E2F"/>
    <w:rsid w:val="00672070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02529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3C06BC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8440C8"/>
    <w:rsid w:val="0293597A"/>
    <w:rsid w:val="029733CF"/>
    <w:rsid w:val="029C7AF4"/>
    <w:rsid w:val="02AC5088"/>
    <w:rsid w:val="02B544DB"/>
    <w:rsid w:val="02C1651C"/>
    <w:rsid w:val="02CB5D99"/>
    <w:rsid w:val="02CF5602"/>
    <w:rsid w:val="02D74331"/>
    <w:rsid w:val="02E614D6"/>
    <w:rsid w:val="02F2197A"/>
    <w:rsid w:val="02F61D91"/>
    <w:rsid w:val="02FC4679"/>
    <w:rsid w:val="02FE5E0A"/>
    <w:rsid w:val="0306777B"/>
    <w:rsid w:val="030B2A3C"/>
    <w:rsid w:val="031713E0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024F5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046C1"/>
    <w:rsid w:val="04613BEE"/>
    <w:rsid w:val="04675C34"/>
    <w:rsid w:val="046C0B29"/>
    <w:rsid w:val="04781A0B"/>
    <w:rsid w:val="047B7C52"/>
    <w:rsid w:val="04816E5C"/>
    <w:rsid w:val="048924DD"/>
    <w:rsid w:val="048A5A25"/>
    <w:rsid w:val="04914D95"/>
    <w:rsid w:val="0495144B"/>
    <w:rsid w:val="04AB1614"/>
    <w:rsid w:val="04AC07A1"/>
    <w:rsid w:val="04BE5465"/>
    <w:rsid w:val="04C63115"/>
    <w:rsid w:val="04C804CE"/>
    <w:rsid w:val="04C80BE4"/>
    <w:rsid w:val="04CB2483"/>
    <w:rsid w:val="04CF5236"/>
    <w:rsid w:val="04CF5AF0"/>
    <w:rsid w:val="04D24FF1"/>
    <w:rsid w:val="04DD0C76"/>
    <w:rsid w:val="04DE1BAB"/>
    <w:rsid w:val="04E21643"/>
    <w:rsid w:val="04E411E4"/>
    <w:rsid w:val="04F37BBA"/>
    <w:rsid w:val="050414F1"/>
    <w:rsid w:val="050634BB"/>
    <w:rsid w:val="05085366"/>
    <w:rsid w:val="05145F64"/>
    <w:rsid w:val="051F6284"/>
    <w:rsid w:val="052E0171"/>
    <w:rsid w:val="05373674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7D77AC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10C0B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3E4605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36BD0"/>
    <w:rsid w:val="0889236C"/>
    <w:rsid w:val="088E051E"/>
    <w:rsid w:val="089112ED"/>
    <w:rsid w:val="08935A7B"/>
    <w:rsid w:val="089E48C0"/>
    <w:rsid w:val="08A74300"/>
    <w:rsid w:val="08B2314B"/>
    <w:rsid w:val="08B651F8"/>
    <w:rsid w:val="08B86E95"/>
    <w:rsid w:val="08C11C0B"/>
    <w:rsid w:val="08D059DD"/>
    <w:rsid w:val="08DC08E7"/>
    <w:rsid w:val="08FD674C"/>
    <w:rsid w:val="091A5787"/>
    <w:rsid w:val="092C7268"/>
    <w:rsid w:val="092D1C9E"/>
    <w:rsid w:val="09317D93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9FE29B2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747118"/>
    <w:rsid w:val="0A851E03"/>
    <w:rsid w:val="0A90261C"/>
    <w:rsid w:val="0A920429"/>
    <w:rsid w:val="0A93177F"/>
    <w:rsid w:val="0A985A6F"/>
    <w:rsid w:val="0A9A250C"/>
    <w:rsid w:val="0A9D21CB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4765DB"/>
    <w:rsid w:val="0B671515"/>
    <w:rsid w:val="0B6E529C"/>
    <w:rsid w:val="0B701D27"/>
    <w:rsid w:val="0B7245CE"/>
    <w:rsid w:val="0B833A07"/>
    <w:rsid w:val="0B924545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3B7"/>
    <w:rsid w:val="0C0B17DF"/>
    <w:rsid w:val="0C0F382B"/>
    <w:rsid w:val="0C160980"/>
    <w:rsid w:val="0C1B4EF7"/>
    <w:rsid w:val="0C1C297E"/>
    <w:rsid w:val="0C1D4988"/>
    <w:rsid w:val="0C1F456F"/>
    <w:rsid w:val="0C25768D"/>
    <w:rsid w:val="0C297E69"/>
    <w:rsid w:val="0C2F32F7"/>
    <w:rsid w:val="0C3840B9"/>
    <w:rsid w:val="0C55038F"/>
    <w:rsid w:val="0C6B7DF9"/>
    <w:rsid w:val="0C6E2A56"/>
    <w:rsid w:val="0C7A708D"/>
    <w:rsid w:val="0C8E7AF0"/>
    <w:rsid w:val="0C9D6ABD"/>
    <w:rsid w:val="0CA954B5"/>
    <w:rsid w:val="0CB97065"/>
    <w:rsid w:val="0CBF15D6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13984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66462"/>
    <w:rsid w:val="0DDB14CA"/>
    <w:rsid w:val="0DE03EAA"/>
    <w:rsid w:val="0DE12394"/>
    <w:rsid w:val="0DE14775"/>
    <w:rsid w:val="0DE818F6"/>
    <w:rsid w:val="0DF06BAE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D3F08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C632B"/>
    <w:rsid w:val="0E9F1954"/>
    <w:rsid w:val="0EA84420"/>
    <w:rsid w:val="0EB05323"/>
    <w:rsid w:val="0EB73157"/>
    <w:rsid w:val="0EBE40CB"/>
    <w:rsid w:val="0EC36A56"/>
    <w:rsid w:val="0EC62499"/>
    <w:rsid w:val="0ECE4E6F"/>
    <w:rsid w:val="0ED16354"/>
    <w:rsid w:val="0ED86777"/>
    <w:rsid w:val="0EDA5C56"/>
    <w:rsid w:val="0EE57112"/>
    <w:rsid w:val="0EF40138"/>
    <w:rsid w:val="0EFE4287"/>
    <w:rsid w:val="0F0A7BB7"/>
    <w:rsid w:val="0F0D525E"/>
    <w:rsid w:val="0F2A2A37"/>
    <w:rsid w:val="0F2E6C95"/>
    <w:rsid w:val="0F3975B4"/>
    <w:rsid w:val="0F4675CA"/>
    <w:rsid w:val="0F471A79"/>
    <w:rsid w:val="0F500384"/>
    <w:rsid w:val="0F517477"/>
    <w:rsid w:val="0F5B4015"/>
    <w:rsid w:val="0F6071C8"/>
    <w:rsid w:val="0F69565A"/>
    <w:rsid w:val="0F696B20"/>
    <w:rsid w:val="0F784FB5"/>
    <w:rsid w:val="0F7A6F7F"/>
    <w:rsid w:val="0F7B0394"/>
    <w:rsid w:val="0FA00CB6"/>
    <w:rsid w:val="0FA434D3"/>
    <w:rsid w:val="0FB16CA3"/>
    <w:rsid w:val="0FB471F7"/>
    <w:rsid w:val="0FBE3179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042CED"/>
    <w:rsid w:val="10117AD0"/>
    <w:rsid w:val="1016361E"/>
    <w:rsid w:val="101A4154"/>
    <w:rsid w:val="101B1E3F"/>
    <w:rsid w:val="101F7761"/>
    <w:rsid w:val="10213FA0"/>
    <w:rsid w:val="10225AB2"/>
    <w:rsid w:val="102D74F0"/>
    <w:rsid w:val="102E6601"/>
    <w:rsid w:val="103D5CB0"/>
    <w:rsid w:val="10423871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84E7D"/>
    <w:rsid w:val="10EF4366"/>
    <w:rsid w:val="10FE6AB1"/>
    <w:rsid w:val="110E3732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13F67"/>
    <w:rsid w:val="11B76464"/>
    <w:rsid w:val="11BC2DF3"/>
    <w:rsid w:val="11C43676"/>
    <w:rsid w:val="11EA3CA0"/>
    <w:rsid w:val="11F10C7F"/>
    <w:rsid w:val="11F403BB"/>
    <w:rsid w:val="11FA6A1C"/>
    <w:rsid w:val="12096398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910CE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DC0642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6B6E96"/>
    <w:rsid w:val="14710CBF"/>
    <w:rsid w:val="14791934"/>
    <w:rsid w:val="147D213D"/>
    <w:rsid w:val="148D505F"/>
    <w:rsid w:val="14A04833"/>
    <w:rsid w:val="14B12779"/>
    <w:rsid w:val="14B37576"/>
    <w:rsid w:val="14BD7ADB"/>
    <w:rsid w:val="14C5688E"/>
    <w:rsid w:val="14DB1415"/>
    <w:rsid w:val="14E32ED1"/>
    <w:rsid w:val="14E83CF0"/>
    <w:rsid w:val="14F4219E"/>
    <w:rsid w:val="14F74BCE"/>
    <w:rsid w:val="14FE7D0A"/>
    <w:rsid w:val="150135C1"/>
    <w:rsid w:val="150D43F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2525"/>
    <w:rsid w:val="15DA784E"/>
    <w:rsid w:val="15DB017B"/>
    <w:rsid w:val="15E6370B"/>
    <w:rsid w:val="15E84717"/>
    <w:rsid w:val="15EE2D2E"/>
    <w:rsid w:val="15FA2BC8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204F4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83772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357E7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6E2BE4"/>
    <w:rsid w:val="187D1579"/>
    <w:rsid w:val="188F0DAB"/>
    <w:rsid w:val="18905464"/>
    <w:rsid w:val="18910B5C"/>
    <w:rsid w:val="18933380"/>
    <w:rsid w:val="18987644"/>
    <w:rsid w:val="18A62960"/>
    <w:rsid w:val="18AB28D3"/>
    <w:rsid w:val="18B037F0"/>
    <w:rsid w:val="18B03A11"/>
    <w:rsid w:val="18BB3F98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02060"/>
    <w:rsid w:val="18F23C9D"/>
    <w:rsid w:val="18F554AB"/>
    <w:rsid w:val="18FE49D5"/>
    <w:rsid w:val="18FF6899"/>
    <w:rsid w:val="190F3527"/>
    <w:rsid w:val="19100497"/>
    <w:rsid w:val="19112EC7"/>
    <w:rsid w:val="19183CAC"/>
    <w:rsid w:val="191B50F0"/>
    <w:rsid w:val="19252A63"/>
    <w:rsid w:val="192F135C"/>
    <w:rsid w:val="193964B7"/>
    <w:rsid w:val="193E726F"/>
    <w:rsid w:val="1945717D"/>
    <w:rsid w:val="19521C94"/>
    <w:rsid w:val="195657BB"/>
    <w:rsid w:val="19636CD6"/>
    <w:rsid w:val="196B19EB"/>
    <w:rsid w:val="19717C66"/>
    <w:rsid w:val="19726F19"/>
    <w:rsid w:val="1984763E"/>
    <w:rsid w:val="198804EA"/>
    <w:rsid w:val="198B615B"/>
    <w:rsid w:val="198E7C2B"/>
    <w:rsid w:val="199945D5"/>
    <w:rsid w:val="199B5065"/>
    <w:rsid w:val="199F0F71"/>
    <w:rsid w:val="19A81829"/>
    <w:rsid w:val="19A90CE8"/>
    <w:rsid w:val="19AA0FA9"/>
    <w:rsid w:val="19AA6528"/>
    <w:rsid w:val="19C17BC9"/>
    <w:rsid w:val="19C17E7E"/>
    <w:rsid w:val="19C63549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6525DA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6745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CA6B98"/>
    <w:rsid w:val="1BD0347B"/>
    <w:rsid w:val="1BD07E66"/>
    <w:rsid w:val="1BD40AF3"/>
    <w:rsid w:val="1BD712B5"/>
    <w:rsid w:val="1BD802A4"/>
    <w:rsid w:val="1BDE2589"/>
    <w:rsid w:val="1BDF236A"/>
    <w:rsid w:val="1BE02AE0"/>
    <w:rsid w:val="1BE91714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06E5A"/>
    <w:rsid w:val="1C416491"/>
    <w:rsid w:val="1C4C28F3"/>
    <w:rsid w:val="1C51648E"/>
    <w:rsid w:val="1C71314E"/>
    <w:rsid w:val="1C732E1C"/>
    <w:rsid w:val="1C74154B"/>
    <w:rsid w:val="1C82672C"/>
    <w:rsid w:val="1C89138D"/>
    <w:rsid w:val="1C8E76D2"/>
    <w:rsid w:val="1C937172"/>
    <w:rsid w:val="1C940F54"/>
    <w:rsid w:val="1C975C4B"/>
    <w:rsid w:val="1CA27BB1"/>
    <w:rsid w:val="1CAC542E"/>
    <w:rsid w:val="1CAF7DCF"/>
    <w:rsid w:val="1CB07D7A"/>
    <w:rsid w:val="1CBA4E5F"/>
    <w:rsid w:val="1CD06E1D"/>
    <w:rsid w:val="1CDA4D56"/>
    <w:rsid w:val="1CDD3551"/>
    <w:rsid w:val="1CEE4B08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1A40"/>
    <w:rsid w:val="1DD75183"/>
    <w:rsid w:val="1DDE2626"/>
    <w:rsid w:val="1DDF66A8"/>
    <w:rsid w:val="1DF75C3F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C162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5D2A4B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41BF8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058A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2365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4028B"/>
    <w:rsid w:val="21F901D7"/>
    <w:rsid w:val="21FB0BF1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AF6AE8"/>
    <w:rsid w:val="22BE6D2B"/>
    <w:rsid w:val="22BF1067"/>
    <w:rsid w:val="22C13FD4"/>
    <w:rsid w:val="22C148F5"/>
    <w:rsid w:val="22C24771"/>
    <w:rsid w:val="22C24A6D"/>
    <w:rsid w:val="22CB0895"/>
    <w:rsid w:val="22D7265F"/>
    <w:rsid w:val="22FB7F7F"/>
    <w:rsid w:val="23033650"/>
    <w:rsid w:val="231527D7"/>
    <w:rsid w:val="23185AD8"/>
    <w:rsid w:val="23336451"/>
    <w:rsid w:val="23474320"/>
    <w:rsid w:val="23492735"/>
    <w:rsid w:val="234E00AF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944BF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24B5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9F4BF2"/>
    <w:rsid w:val="25AB3731"/>
    <w:rsid w:val="25B464A2"/>
    <w:rsid w:val="25B506E6"/>
    <w:rsid w:val="25BA0209"/>
    <w:rsid w:val="25BA26B3"/>
    <w:rsid w:val="25BA7F75"/>
    <w:rsid w:val="25C74149"/>
    <w:rsid w:val="25E62DA9"/>
    <w:rsid w:val="25F465E7"/>
    <w:rsid w:val="25F6641C"/>
    <w:rsid w:val="25F74FA1"/>
    <w:rsid w:val="25F82554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1A7D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EB3E67"/>
    <w:rsid w:val="26F23447"/>
    <w:rsid w:val="26FA4570"/>
    <w:rsid w:val="271F0CE3"/>
    <w:rsid w:val="27217FF0"/>
    <w:rsid w:val="27242893"/>
    <w:rsid w:val="273612F4"/>
    <w:rsid w:val="27445146"/>
    <w:rsid w:val="274E2EE0"/>
    <w:rsid w:val="27673AA1"/>
    <w:rsid w:val="27677991"/>
    <w:rsid w:val="276F6846"/>
    <w:rsid w:val="27722B9A"/>
    <w:rsid w:val="27742391"/>
    <w:rsid w:val="277602F5"/>
    <w:rsid w:val="278038CA"/>
    <w:rsid w:val="279B3ADF"/>
    <w:rsid w:val="27C33BB0"/>
    <w:rsid w:val="27C55F98"/>
    <w:rsid w:val="27CC0CD0"/>
    <w:rsid w:val="27D071BC"/>
    <w:rsid w:val="27D108B2"/>
    <w:rsid w:val="27D112AE"/>
    <w:rsid w:val="27D24E61"/>
    <w:rsid w:val="27D4538F"/>
    <w:rsid w:val="27DD3821"/>
    <w:rsid w:val="27DE15AE"/>
    <w:rsid w:val="27E03A2F"/>
    <w:rsid w:val="27E96237"/>
    <w:rsid w:val="27F506B1"/>
    <w:rsid w:val="27FB6873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14455"/>
    <w:rsid w:val="295867A0"/>
    <w:rsid w:val="295A0917"/>
    <w:rsid w:val="295A5964"/>
    <w:rsid w:val="29626133"/>
    <w:rsid w:val="296A2440"/>
    <w:rsid w:val="29702C6A"/>
    <w:rsid w:val="297168A5"/>
    <w:rsid w:val="298756CC"/>
    <w:rsid w:val="29A81FA5"/>
    <w:rsid w:val="29AB297C"/>
    <w:rsid w:val="29B83D81"/>
    <w:rsid w:val="29BB5D72"/>
    <w:rsid w:val="29C15A7E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57B78"/>
    <w:rsid w:val="2A1E4871"/>
    <w:rsid w:val="2A214539"/>
    <w:rsid w:val="2A2E251E"/>
    <w:rsid w:val="2A367BB2"/>
    <w:rsid w:val="2A3B610C"/>
    <w:rsid w:val="2A3D54FD"/>
    <w:rsid w:val="2A410FE5"/>
    <w:rsid w:val="2A497C51"/>
    <w:rsid w:val="2A596631"/>
    <w:rsid w:val="2A5A05BF"/>
    <w:rsid w:val="2A5D053B"/>
    <w:rsid w:val="2A5F2983"/>
    <w:rsid w:val="2A601F6F"/>
    <w:rsid w:val="2A650F1C"/>
    <w:rsid w:val="2A6609C7"/>
    <w:rsid w:val="2A716517"/>
    <w:rsid w:val="2A7A07C0"/>
    <w:rsid w:val="2A7D5993"/>
    <w:rsid w:val="2A840846"/>
    <w:rsid w:val="2AB17620"/>
    <w:rsid w:val="2AB30FEA"/>
    <w:rsid w:val="2AB657B1"/>
    <w:rsid w:val="2AC86208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42499D"/>
    <w:rsid w:val="2B5674FC"/>
    <w:rsid w:val="2B5D0E3B"/>
    <w:rsid w:val="2B5E2134"/>
    <w:rsid w:val="2B6F3EEE"/>
    <w:rsid w:val="2B70774D"/>
    <w:rsid w:val="2B7D446F"/>
    <w:rsid w:val="2B8925CC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70F78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118F2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8056C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63C06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5520B9"/>
    <w:rsid w:val="2E5920F4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992E0D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CA31B3"/>
    <w:rsid w:val="2FDB6BD6"/>
    <w:rsid w:val="2FDE3BE4"/>
    <w:rsid w:val="2FE3743A"/>
    <w:rsid w:val="2FE74C6C"/>
    <w:rsid w:val="2FEB3FA9"/>
    <w:rsid w:val="2FEC1413"/>
    <w:rsid w:val="2FEF5C51"/>
    <w:rsid w:val="30000983"/>
    <w:rsid w:val="30030473"/>
    <w:rsid w:val="301D4299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37A49"/>
    <w:rsid w:val="309F0234"/>
    <w:rsid w:val="309F57C7"/>
    <w:rsid w:val="30A03CD3"/>
    <w:rsid w:val="30AA77AB"/>
    <w:rsid w:val="30B422FB"/>
    <w:rsid w:val="30C20BA4"/>
    <w:rsid w:val="30C478ED"/>
    <w:rsid w:val="30D103F7"/>
    <w:rsid w:val="30D342E9"/>
    <w:rsid w:val="30D53AF8"/>
    <w:rsid w:val="30EC01FB"/>
    <w:rsid w:val="30ED591C"/>
    <w:rsid w:val="30F54D00"/>
    <w:rsid w:val="31026564"/>
    <w:rsid w:val="310A5122"/>
    <w:rsid w:val="31126BC0"/>
    <w:rsid w:val="312107CD"/>
    <w:rsid w:val="31210CA8"/>
    <w:rsid w:val="31215285"/>
    <w:rsid w:val="31283ADD"/>
    <w:rsid w:val="312D0344"/>
    <w:rsid w:val="3132036D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7C672F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3610C"/>
    <w:rsid w:val="31C57FB2"/>
    <w:rsid w:val="31C932E2"/>
    <w:rsid w:val="31CC7EE5"/>
    <w:rsid w:val="31EF0CAF"/>
    <w:rsid w:val="31F61F62"/>
    <w:rsid w:val="31FE0EF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60F05"/>
    <w:rsid w:val="322A1170"/>
    <w:rsid w:val="322B51BC"/>
    <w:rsid w:val="322F26BF"/>
    <w:rsid w:val="32313F22"/>
    <w:rsid w:val="32344A28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43604"/>
    <w:rsid w:val="32983017"/>
    <w:rsid w:val="329D4B54"/>
    <w:rsid w:val="32A43D99"/>
    <w:rsid w:val="32B141E0"/>
    <w:rsid w:val="32B27592"/>
    <w:rsid w:val="32B44D2D"/>
    <w:rsid w:val="32BC5879"/>
    <w:rsid w:val="32C73614"/>
    <w:rsid w:val="32C90A49"/>
    <w:rsid w:val="32C959A4"/>
    <w:rsid w:val="32FA2D7F"/>
    <w:rsid w:val="32FC6C4E"/>
    <w:rsid w:val="33010C9A"/>
    <w:rsid w:val="330326BB"/>
    <w:rsid w:val="33085CC5"/>
    <w:rsid w:val="33100DE3"/>
    <w:rsid w:val="331A7FAD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2A95"/>
    <w:rsid w:val="33E33586"/>
    <w:rsid w:val="33E57A29"/>
    <w:rsid w:val="33EE53FA"/>
    <w:rsid w:val="33FD7485"/>
    <w:rsid w:val="33FF4DA0"/>
    <w:rsid w:val="34153577"/>
    <w:rsid w:val="34203CE1"/>
    <w:rsid w:val="342425FD"/>
    <w:rsid w:val="342B6606"/>
    <w:rsid w:val="342D258E"/>
    <w:rsid w:val="34467089"/>
    <w:rsid w:val="34523AB5"/>
    <w:rsid w:val="34635CAD"/>
    <w:rsid w:val="346B4B47"/>
    <w:rsid w:val="346E4F77"/>
    <w:rsid w:val="34762AAC"/>
    <w:rsid w:val="348402A8"/>
    <w:rsid w:val="348F22D5"/>
    <w:rsid w:val="349A6F27"/>
    <w:rsid w:val="349C0953"/>
    <w:rsid w:val="349D307E"/>
    <w:rsid w:val="34A15F56"/>
    <w:rsid w:val="34B510BB"/>
    <w:rsid w:val="34BB2714"/>
    <w:rsid w:val="34C25EF7"/>
    <w:rsid w:val="34CC620E"/>
    <w:rsid w:val="34D20F28"/>
    <w:rsid w:val="34D523DE"/>
    <w:rsid w:val="34E22DC0"/>
    <w:rsid w:val="34FD1935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949DD"/>
    <w:rsid w:val="358B5BCF"/>
    <w:rsid w:val="358F51D7"/>
    <w:rsid w:val="35944047"/>
    <w:rsid w:val="359A77E8"/>
    <w:rsid w:val="35A1790B"/>
    <w:rsid w:val="35A45B99"/>
    <w:rsid w:val="35A84940"/>
    <w:rsid w:val="35B01090"/>
    <w:rsid w:val="35BE2E37"/>
    <w:rsid w:val="35BF7697"/>
    <w:rsid w:val="35C56BDF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B96CD0"/>
    <w:rsid w:val="36D21A02"/>
    <w:rsid w:val="36E85056"/>
    <w:rsid w:val="3708411D"/>
    <w:rsid w:val="370E0FEC"/>
    <w:rsid w:val="37104DEB"/>
    <w:rsid w:val="37166BDC"/>
    <w:rsid w:val="37215C8A"/>
    <w:rsid w:val="372C24A3"/>
    <w:rsid w:val="372D0977"/>
    <w:rsid w:val="372F66F4"/>
    <w:rsid w:val="37337382"/>
    <w:rsid w:val="37362EDC"/>
    <w:rsid w:val="373F6235"/>
    <w:rsid w:val="37495343"/>
    <w:rsid w:val="374D0B4E"/>
    <w:rsid w:val="374D3C1C"/>
    <w:rsid w:val="374D5647"/>
    <w:rsid w:val="374F42A7"/>
    <w:rsid w:val="37506DBE"/>
    <w:rsid w:val="3759338C"/>
    <w:rsid w:val="375A30C5"/>
    <w:rsid w:val="37654002"/>
    <w:rsid w:val="376E2676"/>
    <w:rsid w:val="3770253F"/>
    <w:rsid w:val="377A7524"/>
    <w:rsid w:val="377C0259"/>
    <w:rsid w:val="378E3E66"/>
    <w:rsid w:val="37A36A9E"/>
    <w:rsid w:val="37AC0E75"/>
    <w:rsid w:val="37AC63CE"/>
    <w:rsid w:val="37C244FC"/>
    <w:rsid w:val="37CA1D15"/>
    <w:rsid w:val="37D179A4"/>
    <w:rsid w:val="37D95C79"/>
    <w:rsid w:val="37DC0098"/>
    <w:rsid w:val="37E75BE2"/>
    <w:rsid w:val="37E81F7B"/>
    <w:rsid w:val="37E82F8E"/>
    <w:rsid w:val="37E91E9F"/>
    <w:rsid w:val="37E920E0"/>
    <w:rsid w:val="37EB016A"/>
    <w:rsid w:val="37EE3839"/>
    <w:rsid w:val="37F23808"/>
    <w:rsid w:val="37FB64C2"/>
    <w:rsid w:val="37FF425B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C4685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9A1E48"/>
    <w:rsid w:val="39AC01F9"/>
    <w:rsid w:val="39B73BAC"/>
    <w:rsid w:val="39B7517F"/>
    <w:rsid w:val="39BA3B51"/>
    <w:rsid w:val="39C13165"/>
    <w:rsid w:val="39C20795"/>
    <w:rsid w:val="39DE3D2B"/>
    <w:rsid w:val="39E02ED5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7F0307"/>
    <w:rsid w:val="3A896EEE"/>
    <w:rsid w:val="3AA07361"/>
    <w:rsid w:val="3AA85C09"/>
    <w:rsid w:val="3AAA2893"/>
    <w:rsid w:val="3ABB15C7"/>
    <w:rsid w:val="3AD56F1A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595665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46D08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00C3E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176EC"/>
    <w:rsid w:val="3CC4370D"/>
    <w:rsid w:val="3CC614DA"/>
    <w:rsid w:val="3CCD7F97"/>
    <w:rsid w:val="3CD01DA9"/>
    <w:rsid w:val="3CDA38F5"/>
    <w:rsid w:val="3CDD2778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BF00CF"/>
    <w:rsid w:val="3DC318DE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1B56EB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EF6CC1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4E4B0B"/>
    <w:rsid w:val="3F520ACF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1341A"/>
    <w:rsid w:val="40894B59"/>
    <w:rsid w:val="408B2442"/>
    <w:rsid w:val="40AF50ED"/>
    <w:rsid w:val="40B16CC2"/>
    <w:rsid w:val="40B76E3C"/>
    <w:rsid w:val="40B81BAD"/>
    <w:rsid w:val="40BB2365"/>
    <w:rsid w:val="40C21A44"/>
    <w:rsid w:val="40C32C58"/>
    <w:rsid w:val="40C608EB"/>
    <w:rsid w:val="40D23962"/>
    <w:rsid w:val="40D43E92"/>
    <w:rsid w:val="40D61BC8"/>
    <w:rsid w:val="40DC4F1D"/>
    <w:rsid w:val="40DF2097"/>
    <w:rsid w:val="40E71ABD"/>
    <w:rsid w:val="40EF738A"/>
    <w:rsid w:val="41064063"/>
    <w:rsid w:val="411470C5"/>
    <w:rsid w:val="412C5A7C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C80AE4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00A30"/>
    <w:rsid w:val="42B5102C"/>
    <w:rsid w:val="42B608A5"/>
    <w:rsid w:val="42B9463D"/>
    <w:rsid w:val="42BC6C8F"/>
    <w:rsid w:val="42C5446D"/>
    <w:rsid w:val="42CE5FC3"/>
    <w:rsid w:val="42E11334"/>
    <w:rsid w:val="42E94337"/>
    <w:rsid w:val="42EB101F"/>
    <w:rsid w:val="42EC6092"/>
    <w:rsid w:val="42FE6C02"/>
    <w:rsid w:val="43031943"/>
    <w:rsid w:val="431327F1"/>
    <w:rsid w:val="43150FF8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0A1978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96945"/>
    <w:rsid w:val="444F5C68"/>
    <w:rsid w:val="44613E6E"/>
    <w:rsid w:val="446A5324"/>
    <w:rsid w:val="447E7804"/>
    <w:rsid w:val="44943661"/>
    <w:rsid w:val="44950E83"/>
    <w:rsid w:val="44966BDF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410FD"/>
    <w:rsid w:val="455B779F"/>
    <w:rsid w:val="455D76E4"/>
    <w:rsid w:val="45646F33"/>
    <w:rsid w:val="45671007"/>
    <w:rsid w:val="456C331B"/>
    <w:rsid w:val="45765517"/>
    <w:rsid w:val="4583405B"/>
    <w:rsid w:val="458539AC"/>
    <w:rsid w:val="45950308"/>
    <w:rsid w:val="45A26739"/>
    <w:rsid w:val="45AC3B2C"/>
    <w:rsid w:val="45B07140"/>
    <w:rsid w:val="45B3407C"/>
    <w:rsid w:val="45C43431"/>
    <w:rsid w:val="45DD7344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E2098A"/>
    <w:rsid w:val="46F84006"/>
    <w:rsid w:val="470033AC"/>
    <w:rsid w:val="47081659"/>
    <w:rsid w:val="47123940"/>
    <w:rsid w:val="4726595C"/>
    <w:rsid w:val="47292AEA"/>
    <w:rsid w:val="472A74E5"/>
    <w:rsid w:val="4734181A"/>
    <w:rsid w:val="475073D7"/>
    <w:rsid w:val="47600773"/>
    <w:rsid w:val="47621D4A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9F062A"/>
    <w:rsid w:val="47A37CAA"/>
    <w:rsid w:val="47BF7C9C"/>
    <w:rsid w:val="47C2246C"/>
    <w:rsid w:val="47C40C58"/>
    <w:rsid w:val="47CA5F05"/>
    <w:rsid w:val="47D81075"/>
    <w:rsid w:val="47DA1720"/>
    <w:rsid w:val="47E11737"/>
    <w:rsid w:val="47E66258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84619D"/>
    <w:rsid w:val="48915636"/>
    <w:rsid w:val="4893353F"/>
    <w:rsid w:val="48985F31"/>
    <w:rsid w:val="48AC6E35"/>
    <w:rsid w:val="48B619BB"/>
    <w:rsid w:val="48BD43A0"/>
    <w:rsid w:val="48BF0F83"/>
    <w:rsid w:val="48C53CF5"/>
    <w:rsid w:val="48C96968"/>
    <w:rsid w:val="48E56510"/>
    <w:rsid w:val="48E977B9"/>
    <w:rsid w:val="48F84416"/>
    <w:rsid w:val="490874C4"/>
    <w:rsid w:val="491A6A98"/>
    <w:rsid w:val="491D4AAF"/>
    <w:rsid w:val="4921579A"/>
    <w:rsid w:val="4926292B"/>
    <w:rsid w:val="492F22AB"/>
    <w:rsid w:val="49371235"/>
    <w:rsid w:val="49406236"/>
    <w:rsid w:val="494324F6"/>
    <w:rsid w:val="49455D20"/>
    <w:rsid w:val="49524E56"/>
    <w:rsid w:val="4956636B"/>
    <w:rsid w:val="495C67D2"/>
    <w:rsid w:val="497B341F"/>
    <w:rsid w:val="498D72D3"/>
    <w:rsid w:val="49967AF4"/>
    <w:rsid w:val="49B415EE"/>
    <w:rsid w:val="49B63FD6"/>
    <w:rsid w:val="49BF4D00"/>
    <w:rsid w:val="49D1562B"/>
    <w:rsid w:val="49D93823"/>
    <w:rsid w:val="49DE1EF5"/>
    <w:rsid w:val="49E579C4"/>
    <w:rsid w:val="49EA2381"/>
    <w:rsid w:val="49F43753"/>
    <w:rsid w:val="49F54A10"/>
    <w:rsid w:val="49F94CE9"/>
    <w:rsid w:val="49FE0E45"/>
    <w:rsid w:val="4A040938"/>
    <w:rsid w:val="4A0C2B74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BE526B"/>
    <w:rsid w:val="4AC951F4"/>
    <w:rsid w:val="4AE008D2"/>
    <w:rsid w:val="4AE2639D"/>
    <w:rsid w:val="4AE65F92"/>
    <w:rsid w:val="4AF339B0"/>
    <w:rsid w:val="4AF40C8C"/>
    <w:rsid w:val="4AFD2046"/>
    <w:rsid w:val="4B076C12"/>
    <w:rsid w:val="4B0B3617"/>
    <w:rsid w:val="4B110177"/>
    <w:rsid w:val="4B1525EA"/>
    <w:rsid w:val="4B2815DF"/>
    <w:rsid w:val="4B2F0336"/>
    <w:rsid w:val="4B32137E"/>
    <w:rsid w:val="4B44389C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35265"/>
    <w:rsid w:val="4B885FA4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16C54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89719B"/>
    <w:rsid w:val="4C944B0C"/>
    <w:rsid w:val="4CA43125"/>
    <w:rsid w:val="4CA51C2A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CF51418"/>
    <w:rsid w:val="4CF65190"/>
    <w:rsid w:val="4D033F9C"/>
    <w:rsid w:val="4D055E23"/>
    <w:rsid w:val="4D1740EA"/>
    <w:rsid w:val="4D222C22"/>
    <w:rsid w:val="4D2249C0"/>
    <w:rsid w:val="4D2433AC"/>
    <w:rsid w:val="4D4070B0"/>
    <w:rsid w:val="4D4759EB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26C66"/>
    <w:rsid w:val="4D9877E4"/>
    <w:rsid w:val="4DA91767"/>
    <w:rsid w:val="4DBB5A90"/>
    <w:rsid w:val="4DBD22E7"/>
    <w:rsid w:val="4DC73507"/>
    <w:rsid w:val="4DCF1CB4"/>
    <w:rsid w:val="4DD3102D"/>
    <w:rsid w:val="4DDA6A5F"/>
    <w:rsid w:val="4DDB7205"/>
    <w:rsid w:val="4DDF772B"/>
    <w:rsid w:val="4DEB15AD"/>
    <w:rsid w:val="4DF87443"/>
    <w:rsid w:val="4E302009"/>
    <w:rsid w:val="4E325E79"/>
    <w:rsid w:val="4E370600"/>
    <w:rsid w:val="4E404914"/>
    <w:rsid w:val="4E435024"/>
    <w:rsid w:val="4E4E7E80"/>
    <w:rsid w:val="4E534A5B"/>
    <w:rsid w:val="4E5C5562"/>
    <w:rsid w:val="4E5F22C6"/>
    <w:rsid w:val="4E5F69A8"/>
    <w:rsid w:val="4E606D65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EFB083B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96E5C"/>
    <w:rsid w:val="4F3B5197"/>
    <w:rsid w:val="4F405D22"/>
    <w:rsid w:val="4F4E12B3"/>
    <w:rsid w:val="4F4E3061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AA733A"/>
    <w:rsid w:val="4FBF34BA"/>
    <w:rsid w:val="4FC633C3"/>
    <w:rsid w:val="4FC652ED"/>
    <w:rsid w:val="4FCA2B98"/>
    <w:rsid w:val="4FCB218A"/>
    <w:rsid w:val="4FCE7BAE"/>
    <w:rsid w:val="4FDD019D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10BDC"/>
    <w:rsid w:val="510A4FE4"/>
    <w:rsid w:val="510F2A7F"/>
    <w:rsid w:val="511300BE"/>
    <w:rsid w:val="51177359"/>
    <w:rsid w:val="512746EF"/>
    <w:rsid w:val="51283E4C"/>
    <w:rsid w:val="51291D35"/>
    <w:rsid w:val="512B3A7F"/>
    <w:rsid w:val="51300C4D"/>
    <w:rsid w:val="513049B1"/>
    <w:rsid w:val="513577D0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B6549"/>
    <w:rsid w:val="51AD7250"/>
    <w:rsid w:val="51CD43DD"/>
    <w:rsid w:val="51CE7CC8"/>
    <w:rsid w:val="51CF1465"/>
    <w:rsid w:val="51D1247D"/>
    <w:rsid w:val="51DE26CE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7E3C5D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B6777"/>
    <w:rsid w:val="52CC5ABE"/>
    <w:rsid w:val="52CD10CA"/>
    <w:rsid w:val="52CF6D34"/>
    <w:rsid w:val="52EB6F11"/>
    <w:rsid w:val="52F0249E"/>
    <w:rsid w:val="52FD636E"/>
    <w:rsid w:val="52FD6A32"/>
    <w:rsid w:val="530D6AAB"/>
    <w:rsid w:val="53177C0E"/>
    <w:rsid w:val="53191BD8"/>
    <w:rsid w:val="531973FC"/>
    <w:rsid w:val="532F31A9"/>
    <w:rsid w:val="53387CD2"/>
    <w:rsid w:val="53412EB7"/>
    <w:rsid w:val="534E188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62CDC"/>
    <w:rsid w:val="54191438"/>
    <w:rsid w:val="541E7BD0"/>
    <w:rsid w:val="542247A4"/>
    <w:rsid w:val="5427381E"/>
    <w:rsid w:val="543B788E"/>
    <w:rsid w:val="5442060B"/>
    <w:rsid w:val="54447CBB"/>
    <w:rsid w:val="544F31D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17F9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E42029"/>
    <w:rsid w:val="55F81C60"/>
    <w:rsid w:val="55FA0F14"/>
    <w:rsid w:val="56045286"/>
    <w:rsid w:val="56064377"/>
    <w:rsid w:val="56097F90"/>
    <w:rsid w:val="56107511"/>
    <w:rsid w:val="56133E90"/>
    <w:rsid w:val="561D553B"/>
    <w:rsid w:val="561F369F"/>
    <w:rsid w:val="56233F5F"/>
    <w:rsid w:val="5625126F"/>
    <w:rsid w:val="562C3D93"/>
    <w:rsid w:val="56344B27"/>
    <w:rsid w:val="563F747D"/>
    <w:rsid w:val="56466840"/>
    <w:rsid w:val="56474D43"/>
    <w:rsid w:val="564C1D1D"/>
    <w:rsid w:val="564E7DEA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6FC58A6"/>
    <w:rsid w:val="570D0322"/>
    <w:rsid w:val="57180ACE"/>
    <w:rsid w:val="5718113B"/>
    <w:rsid w:val="571B61B6"/>
    <w:rsid w:val="57213E7D"/>
    <w:rsid w:val="5723561B"/>
    <w:rsid w:val="572362C9"/>
    <w:rsid w:val="572D21B4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9C4021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4D343E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425F4"/>
    <w:rsid w:val="58FA7B16"/>
    <w:rsid w:val="58FB22A6"/>
    <w:rsid w:val="59003437"/>
    <w:rsid w:val="59035499"/>
    <w:rsid w:val="59182EE7"/>
    <w:rsid w:val="591D7A2A"/>
    <w:rsid w:val="5921212C"/>
    <w:rsid w:val="592A2449"/>
    <w:rsid w:val="5935330C"/>
    <w:rsid w:val="59386FD3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31BA0"/>
    <w:rsid w:val="59951C91"/>
    <w:rsid w:val="59982867"/>
    <w:rsid w:val="599E6993"/>
    <w:rsid w:val="59A11ED6"/>
    <w:rsid w:val="59AB0DFC"/>
    <w:rsid w:val="59B2243E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2275C4"/>
    <w:rsid w:val="5A3279A1"/>
    <w:rsid w:val="5A344FB0"/>
    <w:rsid w:val="5A360707"/>
    <w:rsid w:val="5A440589"/>
    <w:rsid w:val="5A482568"/>
    <w:rsid w:val="5A5755C9"/>
    <w:rsid w:val="5A5A13C0"/>
    <w:rsid w:val="5A6E64A5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A72002"/>
    <w:rsid w:val="5CAE60B4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73A29"/>
    <w:rsid w:val="5D592213"/>
    <w:rsid w:val="5D7067ED"/>
    <w:rsid w:val="5D77660D"/>
    <w:rsid w:val="5D7962D8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E4797B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75D57"/>
    <w:rsid w:val="5E7B3471"/>
    <w:rsid w:val="5E811840"/>
    <w:rsid w:val="5E93283E"/>
    <w:rsid w:val="5EAC620C"/>
    <w:rsid w:val="5EAF12A6"/>
    <w:rsid w:val="5EB56E43"/>
    <w:rsid w:val="5EBF60CC"/>
    <w:rsid w:val="5EBF6AA7"/>
    <w:rsid w:val="5ED82627"/>
    <w:rsid w:val="5EDB6E5E"/>
    <w:rsid w:val="5EE94B54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732FB"/>
    <w:rsid w:val="5F5D3310"/>
    <w:rsid w:val="5F792AFF"/>
    <w:rsid w:val="5F7C1524"/>
    <w:rsid w:val="5F826595"/>
    <w:rsid w:val="5F901AC8"/>
    <w:rsid w:val="5F993F7A"/>
    <w:rsid w:val="5FA342D5"/>
    <w:rsid w:val="5FA40581"/>
    <w:rsid w:val="5FBD1472"/>
    <w:rsid w:val="5FBF418B"/>
    <w:rsid w:val="5FC03F1C"/>
    <w:rsid w:val="5FC128D4"/>
    <w:rsid w:val="5FC577B3"/>
    <w:rsid w:val="5FD02E83"/>
    <w:rsid w:val="5FD75BE6"/>
    <w:rsid w:val="5FE15D7D"/>
    <w:rsid w:val="5FED681E"/>
    <w:rsid w:val="5FF00C77"/>
    <w:rsid w:val="5FFB751D"/>
    <w:rsid w:val="5FFC1DCE"/>
    <w:rsid w:val="600475A4"/>
    <w:rsid w:val="600532C8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736A8B"/>
    <w:rsid w:val="60811477"/>
    <w:rsid w:val="60844109"/>
    <w:rsid w:val="6090580E"/>
    <w:rsid w:val="60917251"/>
    <w:rsid w:val="60935B47"/>
    <w:rsid w:val="60C76F62"/>
    <w:rsid w:val="60CE1254"/>
    <w:rsid w:val="60D321CB"/>
    <w:rsid w:val="60D467A9"/>
    <w:rsid w:val="60D96580"/>
    <w:rsid w:val="60E05AE3"/>
    <w:rsid w:val="60E42575"/>
    <w:rsid w:val="60EA12BA"/>
    <w:rsid w:val="60EB3CE8"/>
    <w:rsid w:val="60EC092C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441E1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AB32F6"/>
    <w:rsid w:val="61B94C34"/>
    <w:rsid w:val="61BC38FA"/>
    <w:rsid w:val="61BE0E4F"/>
    <w:rsid w:val="61C85E7F"/>
    <w:rsid w:val="61CD42B9"/>
    <w:rsid w:val="61CD78CF"/>
    <w:rsid w:val="61DA14FE"/>
    <w:rsid w:val="61DF5D9B"/>
    <w:rsid w:val="61E53D34"/>
    <w:rsid w:val="61E73697"/>
    <w:rsid w:val="61EE3162"/>
    <w:rsid w:val="61F62056"/>
    <w:rsid w:val="620208E6"/>
    <w:rsid w:val="620677CB"/>
    <w:rsid w:val="62074A2F"/>
    <w:rsid w:val="620E46C5"/>
    <w:rsid w:val="620F37AC"/>
    <w:rsid w:val="62127F1E"/>
    <w:rsid w:val="621536B2"/>
    <w:rsid w:val="621C707C"/>
    <w:rsid w:val="621E0130"/>
    <w:rsid w:val="62271A32"/>
    <w:rsid w:val="62292F8A"/>
    <w:rsid w:val="622A199E"/>
    <w:rsid w:val="622D74F5"/>
    <w:rsid w:val="62373E29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03276"/>
    <w:rsid w:val="62B60A29"/>
    <w:rsid w:val="62BA5EE7"/>
    <w:rsid w:val="62D572CD"/>
    <w:rsid w:val="62DD4B35"/>
    <w:rsid w:val="62F04E93"/>
    <w:rsid w:val="62F14EED"/>
    <w:rsid w:val="62F936F2"/>
    <w:rsid w:val="62FA2AA0"/>
    <w:rsid w:val="62FF3767"/>
    <w:rsid w:val="63074094"/>
    <w:rsid w:val="631F1A5C"/>
    <w:rsid w:val="63256E52"/>
    <w:rsid w:val="6337684E"/>
    <w:rsid w:val="63403C73"/>
    <w:rsid w:val="634265E1"/>
    <w:rsid w:val="6351410B"/>
    <w:rsid w:val="635D4427"/>
    <w:rsid w:val="635F082F"/>
    <w:rsid w:val="63710CD7"/>
    <w:rsid w:val="637D427E"/>
    <w:rsid w:val="63837FA0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1E704E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763953"/>
    <w:rsid w:val="64864D44"/>
    <w:rsid w:val="648A6492"/>
    <w:rsid w:val="64937DBE"/>
    <w:rsid w:val="649C0A5D"/>
    <w:rsid w:val="649E2AD6"/>
    <w:rsid w:val="64A01013"/>
    <w:rsid w:val="64A81CAF"/>
    <w:rsid w:val="64B83FE9"/>
    <w:rsid w:val="64BD699D"/>
    <w:rsid w:val="64C76164"/>
    <w:rsid w:val="64D3186F"/>
    <w:rsid w:val="64D67929"/>
    <w:rsid w:val="64EF2266"/>
    <w:rsid w:val="64F33559"/>
    <w:rsid w:val="64FD2EEA"/>
    <w:rsid w:val="64FF1ABC"/>
    <w:rsid w:val="650B22E3"/>
    <w:rsid w:val="650E3520"/>
    <w:rsid w:val="651D0967"/>
    <w:rsid w:val="651E6BDA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C92FEA"/>
    <w:rsid w:val="65CE23AE"/>
    <w:rsid w:val="65CE776D"/>
    <w:rsid w:val="65E82859"/>
    <w:rsid w:val="65EA1755"/>
    <w:rsid w:val="65F22562"/>
    <w:rsid w:val="65F65692"/>
    <w:rsid w:val="66024F99"/>
    <w:rsid w:val="6602637E"/>
    <w:rsid w:val="660404C6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947C2"/>
    <w:rsid w:val="667A19E6"/>
    <w:rsid w:val="667E5965"/>
    <w:rsid w:val="667F58D3"/>
    <w:rsid w:val="66805D9E"/>
    <w:rsid w:val="66836399"/>
    <w:rsid w:val="668C5B9C"/>
    <w:rsid w:val="66A421AD"/>
    <w:rsid w:val="66B21902"/>
    <w:rsid w:val="66BC0B99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309C0"/>
    <w:rsid w:val="67190033"/>
    <w:rsid w:val="671F2137"/>
    <w:rsid w:val="67256725"/>
    <w:rsid w:val="672B2043"/>
    <w:rsid w:val="672C3BD3"/>
    <w:rsid w:val="672C55DE"/>
    <w:rsid w:val="672D06BC"/>
    <w:rsid w:val="673821D5"/>
    <w:rsid w:val="67441F0C"/>
    <w:rsid w:val="674465E9"/>
    <w:rsid w:val="67456CEF"/>
    <w:rsid w:val="67484FA1"/>
    <w:rsid w:val="67594618"/>
    <w:rsid w:val="675B3954"/>
    <w:rsid w:val="675F4E37"/>
    <w:rsid w:val="676B6466"/>
    <w:rsid w:val="6776404D"/>
    <w:rsid w:val="677B0314"/>
    <w:rsid w:val="67890C82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325A0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4D3A5E"/>
    <w:rsid w:val="68516552"/>
    <w:rsid w:val="685819BA"/>
    <w:rsid w:val="685D249D"/>
    <w:rsid w:val="68600066"/>
    <w:rsid w:val="686142B9"/>
    <w:rsid w:val="6861776A"/>
    <w:rsid w:val="687222C2"/>
    <w:rsid w:val="6879445C"/>
    <w:rsid w:val="687A5897"/>
    <w:rsid w:val="687D194E"/>
    <w:rsid w:val="687F5BE1"/>
    <w:rsid w:val="68945561"/>
    <w:rsid w:val="689D6C87"/>
    <w:rsid w:val="689E42BA"/>
    <w:rsid w:val="68A05E34"/>
    <w:rsid w:val="68A45648"/>
    <w:rsid w:val="68A67612"/>
    <w:rsid w:val="68AD0074"/>
    <w:rsid w:val="68CF78A2"/>
    <w:rsid w:val="68D4182F"/>
    <w:rsid w:val="68DA458B"/>
    <w:rsid w:val="68E565D8"/>
    <w:rsid w:val="68ED4DA7"/>
    <w:rsid w:val="68FC5EBD"/>
    <w:rsid w:val="690D65A1"/>
    <w:rsid w:val="69104359"/>
    <w:rsid w:val="69122538"/>
    <w:rsid w:val="69194FE8"/>
    <w:rsid w:val="691D6C1E"/>
    <w:rsid w:val="691F4315"/>
    <w:rsid w:val="692C2AEA"/>
    <w:rsid w:val="69315911"/>
    <w:rsid w:val="69383028"/>
    <w:rsid w:val="694B09D7"/>
    <w:rsid w:val="694D0C27"/>
    <w:rsid w:val="69544350"/>
    <w:rsid w:val="696740B2"/>
    <w:rsid w:val="696C0671"/>
    <w:rsid w:val="69703FA0"/>
    <w:rsid w:val="698455B8"/>
    <w:rsid w:val="69997B9C"/>
    <w:rsid w:val="69A53B11"/>
    <w:rsid w:val="69A578CA"/>
    <w:rsid w:val="69A84304"/>
    <w:rsid w:val="69AC5DA1"/>
    <w:rsid w:val="69AE4A9D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23C50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E306AA"/>
    <w:rsid w:val="6AF12E6D"/>
    <w:rsid w:val="6AFA5927"/>
    <w:rsid w:val="6B0F06C2"/>
    <w:rsid w:val="6B2807B2"/>
    <w:rsid w:val="6B2B6878"/>
    <w:rsid w:val="6B313A43"/>
    <w:rsid w:val="6B3E3B32"/>
    <w:rsid w:val="6B4E3E49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255926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A95923"/>
    <w:rsid w:val="6CB10385"/>
    <w:rsid w:val="6CDF0F3A"/>
    <w:rsid w:val="6CE47854"/>
    <w:rsid w:val="6CE72999"/>
    <w:rsid w:val="6CF941B4"/>
    <w:rsid w:val="6D011AA2"/>
    <w:rsid w:val="6D0D25B8"/>
    <w:rsid w:val="6D192AA9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5433C"/>
    <w:rsid w:val="6DAE5920"/>
    <w:rsid w:val="6DB664EE"/>
    <w:rsid w:val="6DC325DE"/>
    <w:rsid w:val="6DC64BAC"/>
    <w:rsid w:val="6DC91BE5"/>
    <w:rsid w:val="6DDA4BA3"/>
    <w:rsid w:val="6DFE6BFE"/>
    <w:rsid w:val="6E011D6E"/>
    <w:rsid w:val="6E037AD7"/>
    <w:rsid w:val="6E056523"/>
    <w:rsid w:val="6E074EC9"/>
    <w:rsid w:val="6E0F5F0C"/>
    <w:rsid w:val="6E10402A"/>
    <w:rsid w:val="6E160E52"/>
    <w:rsid w:val="6E18518F"/>
    <w:rsid w:val="6E217E67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81A51"/>
    <w:rsid w:val="6E7A30D3"/>
    <w:rsid w:val="6E7B3BEF"/>
    <w:rsid w:val="6E7B5CAB"/>
    <w:rsid w:val="6E7F3D55"/>
    <w:rsid w:val="6E80227A"/>
    <w:rsid w:val="6E862451"/>
    <w:rsid w:val="6E936F9B"/>
    <w:rsid w:val="6E9C74ED"/>
    <w:rsid w:val="6EAA56FE"/>
    <w:rsid w:val="6EB37B5B"/>
    <w:rsid w:val="6EB936B8"/>
    <w:rsid w:val="6EC1762C"/>
    <w:rsid w:val="6ED50081"/>
    <w:rsid w:val="6ED70BA2"/>
    <w:rsid w:val="6EDB7671"/>
    <w:rsid w:val="6EF77260"/>
    <w:rsid w:val="6EF81860"/>
    <w:rsid w:val="6F0B4C6A"/>
    <w:rsid w:val="6F226923"/>
    <w:rsid w:val="6F2302E3"/>
    <w:rsid w:val="6F303077"/>
    <w:rsid w:val="6F314C13"/>
    <w:rsid w:val="6F382FA6"/>
    <w:rsid w:val="6F391F60"/>
    <w:rsid w:val="6F694006"/>
    <w:rsid w:val="6F6C5490"/>
    <w:rsid w:val="6F6D23E0"/>
    <w:rsid w:val="6F6D4CE5"/>
    <w:rsid w:val="6F6D6A5C"/>
    <w:rsid w:val="6F6F22BA"/>
    <w:rsid w:val="6F75014C"/>
    <w:rsid w:val="6F761900"/>
    <w:rsid w:val="6F771D08"/>
    <w:rsid w:val="6F981B86"/>
    <w:rsid w:val="6FA71AD5"/>
    <w:rsid w:val="6FAF2607"/>
    <w:rsid w:val="6FC328B5"/>
    <w:rsid w:val="6FD34CE8"/>
    <w:rsid w:val="6FD47D24"/>
    <w:rsid w:val="6FDB4045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020FD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0FF5B11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AA7714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1D44A4"/>
    <w:rsid w:val="72341FD3"/>
    <w:rsid w:val="72364FB6"/>
    <w:rsid w:val="723B04C8"/>
    <w:rsid w:val="724266AF"/>
    <w:rsid w:val="724E6817"/>
    <w:rsid w:val="725B73F5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1108D"/>
    <w:rsid w:val="72BD1FAF"/>
    <w:rsid w:val="72BD5C84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84242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B1BF9"/>
    <w:rsid w:val="746C713B"/>
    <w:rsid w:val="748D2368"/>
    <w:rsid w:val="749217E0"/>
    <w:rsid w:val="749D7B3F"/>
    <w:rsid w:val="74B22D8C"/>
    <w:rsid w:val="74BE437E"/>
    <w:rsid w:val="74C26B38"/>
    <w:rsid w:val="74C55FC1"/>
    <w:rsid w:val="74CC7EC1"/>
    <w:rsid w:val="74D06B63"/>
    <w:rsid w:val="74DA7552"/>
    <w:rsid w:val="74E41FDD"/>
    <w:rsid w:val="74E97204"/>
    <w:rsid w:val="74EF6361"/>
    <w:rsid w:val="74F00D7B"/>
    <w:rsid w:val="74F347DF"/>
    <w:rsid w:val="74FA7FE6"/>
    <w:rsid w:val="74FB4333"/>
    <w:rsid w:val="74FD4A9B"/>
    <w:rsid w:val="75036430"/>
    <w:rsid w:val="750B11C6"/>
    <w:rsid w:val="750C3FF3"/>
    <w:rsid w:val="750D1BC6"/>
    <w:rsid w:val="750E6C81"/>
    <w:rsid w:val="751D43A6"/>
    <w:rsid w:val="75230A9A"/>
    <w:rsid w:val="75331EE9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AE07E3"/>
    <w:rsid w:val="75BD313A"/>
    <w:rsid w:val="75BF09C7"/>
    <w:rsid w:val="75BF6D3D"/>
    <w:rsid w:val="75CB06B8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C55FB"/>
    <w:rsid w:val="762D6256"/>
    <w:rsid w:val="7637074A"/>
    <w:rsid w:val="763B63B0"/>
    <w:rsid w:val="764772A3"/>
    <w:rsid w:val="765E32DA"/>
    <w:rsid w:val="765E57E3"/>
    <w:rsid w:val="766D176F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5647B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0905E2"/>
    <w:rsid w:val="771670C1"/>
    <w:rsid w:val="772C164B"/>
    <w:rsid w:val="772C16E9"/>
    <w:rsid w:val="772E1F8C"/>
    <w:rsid w:val="77316A71"/>
    <w:rsid w:val="773736A8"/>
    <w:rsid w:val="77536779"/>
    <w:rsid w:val="776112D4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4A5B52"/>
    <w:rsid w:val="78555C26"/>
    <w:rsid w:val="7857093C"/>
    <w:rsid w:val="785A4EEE"/>
    <w:rsid w:val="78640057"/>
    <w:rsid w:val="786F115C"/>
    <w:rsid w:val="787755B6"/>
    <w:rsid w:val="787C3EEC"/>
    <w:rsid w:val="788039DC"/>
    <w:rsid w:val="78810787"/>
    <w:rsid w:val="78826969"/>
    <w:rsid w:val="788E3AAC"/>
    <w:rsid w:val="78970D25"/>
    <w:rsid w:val="78AB6B00"/>
    <w:rsid w:val="78B515B5"/>
    <w:rsid w:val="78BC6FFF"/>
    <w:rsid w:val="78BD1F5B"/>
    <w:rsid w:val="78C107B1"/>
    <w:rsid w:val="78C21620"/>
    <w:rsid w:val="78CE2D76"/>
    <w:rsid w:val="78EE2375"/>
    <w:rsid w:val="78FA244C"/>
    <w:rsid w:val="78FE1B78"/>
    <w:rsid w:val="79024116"/>
    <w:rsid w:val="790B5E4F"/>
    <w:rsid w:val="790C34C1"/>
    <w:rsid w:val="790D572F"/>
    <w:rsid w:val="7911339B"/>
    <w:rsid w:val="79233654"/>
    <w:rsid w:val="79294073"/>
    <w:rsid w:val="793E4F07"/>
    <w:rsid w:val="79455569"/>
    <w:rsid w:val="79470AE2"/>
    <w:rsid w:val="794D2D86"/>
    <w:rsid w:val="795123A8"/>
    <w:rsid w:val="79524E02"/>
    <w:rsid w:val="79535AC3"/>
    <w:rsid w:val="795B7FA5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8F7F06"/>
    <w:rsid w:val="7A92679C"/>
    <w:rsid w:val="7A955810"/>
    <w:rsid w:val="7A985E92"/>
    <w:rsid w:val="7A9A1D5D"/>
    <w:rsid w:val="7A9C2E47"/>
    <w:rsid w:val="7AA97E33"/>
    <w:rsid w:val="7AAD2A82"/>
    <w:rsid w:val="7AC019FF"/>
    <w:rsid w:val="7ACA6FB9"/>
    <w:rsid w:val="7AF46C5F"/>
    <w:rsid w:val="7AF679AD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4C77FE"/>
    <w:rsid w:val="7B6B35F1"/>
    <w:rsid w:val="7B763C81"/>
    <w:rsid w:val="7B783675"/>
    <w:rsid w:val="7B796807"/>
    <w:rsid w:val="7B8352C9"/>
    <w:rsid w:val="7B9553D2"/>
    <w:rsid w:val="7B9D48A5"/>
    <w:rsid w:val="7BAA07E8"/>
    <w:rsid w:val="7BAB6832"/>
    <w:rsid w:val="7BAC2D3A"/>
    <w:rsid w:val="7BAE3C97"/>
    <w:rsid w:val="7BB16076"/>
    <w:rsid w:val="7BB46DB9"/>
    <w:rsid w:val="7BC12C72"/>
    <w:rsid w:val="7BD06A28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2C097F"/>
    <w:rsid w:val="7D435AB3"/>
    <w:rsid w:val="7D4B3993"/>
    <w:rsid w:val="7D5F5E30"/>
    <w:rsid w:val="7D656BAD"/>
    <w:rsid w:val="7D680D06"/>
    <w:rsid w:val="7D6B45FB"/>
    <w:rsid w:val="7D6C208F"/>
    <w:rsid w:val="7D755AD9"/>
    <w:rsid w:val="7D84389F"/>
    <w:rsid w:val="7D857B5D"/>
    <w:rsid w:val="7D897D56"/>
    <w:rsid w:val="7D8F519C"/>
    <w:rsid w:val="7D985324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D5A40"/>
    <w:rsid w:val="7DD45912"/>
    <w:rsid w:val="7DD93D26"/>
    <w:rsid w:val="7DF32EA2"/>
    <w:rsid w:val="7DF51E1E"/>
    <w:rsid w:val="7E0D4E8F"/>
    <w:rsid w:val="7E107D04"/>
    <w:rsid w:val="7E202441"/>
    <w:rsid w:val="7E214E29"/>
    <w:rsid w:val="7E2E0E57"/>
    <w:rsid w:val="7E304C9A"/>
    <w:rsid w:val="7E3F359E"/>
    <w:rsid w:val="7E5341B1"/>
    <w:rsid w:val="7E613E8F"/>
    <w:rsid w:val="7E61605D"/>
    <w:rsid w:val="7E616C7B"/>
    <w:rsid w:val="7E7318ED"/>
    <w:rsid w:val="7E733A70"/>
    <w:rsid w:val="7E7B6F02"/>
    <w:rsid w:val="7E7C322C"/>
    <w:rsid w:val="7E8A0780"/>
    <w:rsid w:val="7E974F26"/>
    <w:rsid w:val="7EA574A2"/>
    <w:rsid w:val="7EAF5D14"/>
    <w:rsid w:val="7EBB0DC0"/>
    <w:rsid w:val="7EC02D84"/>
    <w:rsid w:val="7EC42E15"/>
    <w:rsid w:val="7EC50C54"/>
    <w:rsid w:val="7ED11A3C"/>
    <w:rsid w:val="7ED22AB7"/>
    <w:rsid w:val="7ED91C72"/>
    <w:rsid w:val="7EEB5BB3"/>
    <w:rsid w:val="7EF05AD7"/>
    <w:rsid w:val="7EF90044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toa heading"/>
    <w:basedOn w:val="1"/>
    <w:next w:val="1"/>
    <w:unhideWhenUsed/>
    <w:qFormat/>
    <w:uiPriority w:val="99"/>
    <w:pPr>
      <w:spacing w:before="120" w:beforeLines="0" w:after="200" w:afterLines="0" w:line="276" w:lineRule="auto"/>
    </w:pPr>
    <w:rPr>
      <w:rFonts w:hint="eastAsia" w:ascii="Arial" w:hAnsi="Arial"/>
      <w:sz w:val="24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qFormat/>
    <w:uiPriority w:val="0"/>
    <w:rPr>
      <w:b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4124</Words>
  <Characters>4649</Characters>
  <Lines>0</Lines>
  <Paragraphs>0</Paragraphs>
  <TotalTime>10</TotalTime>
  <ScaleCrop>false</ScaleCrop>
  <LinksUpToDate>false</LinksUpToDate>
  <CharactersWithSpaces>4691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WPS_1677719076</cp:lastModifiedBy>
  <cp:lastPrinted>2025-07-11T04:51:00Z</cp:lastPrinted>
  <dcterms:modified xsi:type="dcterms:W3CDTF">2026-08-25T03:52:58Z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EBA39070C2A948649E6F011B89620782_13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