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13CC57D">
      <w:pPr>
        <w:spacing w:after="120" w:line="60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4ADEC079">
      <w:pPr>
        <w:spacing w:after="120" w:line="60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30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0BD67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BDE7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310D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C09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21F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  <w:t>控制率</w:t>
            </w:r>
          </w:p>
        </w:tc>
      </w:tr>
      <w:tr w14:paraId="024D6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5D3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6E70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7729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8455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 w14:paraId="7F1A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8A6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1A626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6F96B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9A0F2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  <w:t>年决算数</w:t>
            </w:r>
          </w:p>
        </w:tc>
      </w:tr>
      <w:tr w14:paraId="12C96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F52D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6FFD3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B4095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36103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</w:tr>
      <w:tr w14:paraId="30205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6729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B7BBA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E2BCC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040FB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1EB9B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6925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8CEEE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ECDCE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CEAD9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67E1A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58B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EA9AD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EB4F6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A6759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6E27D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7E9B4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8CB32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0F020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F5B68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2BF2B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ED69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BADAD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C4038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ABDC8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7FCD0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7E67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556DB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CE5CF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89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8FB88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289.83</w:t>
            </w:r>
          </w:p>
        </w:tc>
      </w:tr>
      <w:tr w14:paraId="1FABA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6AF5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6008B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00955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89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B5BFF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289.83</w:t>
            </w:r>
          </w:p>
        </w:tc>
      </w:tr>
      <w:tr w14:paraId="5E525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5B7EF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6ED09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C8A06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28903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6F4CB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33D6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E956E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0799D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8DE00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E2F5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6A48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3E309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323.25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4F540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50.4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00786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73.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4</w:t>
            </w:r>
          </w:p>
        </w:tc>
      </w:tr>
      <w:tr w14:paraId="48C46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F2C0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9ABE7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34.10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FBA59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46.10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00C7E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47.34</w:t>
            </w:r>
          </w:p>
        </w:tc>
      </w:tr>
      <w:tr w14:paraId="670DD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6D607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52978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0.55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5D821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ECB6E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0.89</w:t>
            </w:r>
          </w:p>
        </w:tc>
      </w:tr>
      <w:tr w14:paraId="18087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404A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3A96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0.54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4BF2C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DE660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1.45</w:t>
            </w:r>
          </w:p>
        </w:tc>
      </w:tr>
      <w:tr w14:paraId="5A7EE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63D9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6C58E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108.33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65FB0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61.1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96E30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162.76</w:t>
            </w:r>
          </w:p>
        </w:tc>
      </w:tr>
      <w:tr w14:paraId="5B399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BF26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0D119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87E81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208.77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4386B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</w:tr>
      <w:tr w14:paraId="4C5F3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C89F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8B4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582D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B5B7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6834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2C57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829F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4EE80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086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C5AE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C190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BD50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5A83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1AAE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624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09E0D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6FA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1AD5E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开展“节约型机关”创建，建章立制，从严控制“三公”经费，提倡节俭，倡导环保节能。</w:t>
            </w:r>
          </w:p>
        </w:tc>
      </w:tr>
    </w:tbl>
    <w:p w14:paraId="39067604">
      <w:pPr>
        <w:widowControl/>
        <w:spacing w:after="0" w:line="4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 w:clear="all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2A49AAB1">
      <w:pPr>
        <w:widowControl/>
        <w:spacing w:after="12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30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4"/>
        <w:gridCol w:w="1270"/>
        <w:gridCol w:w="1311"/>
        <w:gridCol w:w="1301"/>
        <w:gridCol w:w="681"/>
        <w:gridCol w:w="854"/>
        <w:gridCol w:w="1468"/>
      </w:tblGrid>
      <w:tr w14:paraId="3AFB8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7FC5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28A8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岳阳市岳阳楼区科技和工业信息化局</w:t>
            </w:r>
          </w:p>
        </w:tc>
      </w:tr>
      <w:tr w14:paraId="24F2E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DB80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 w14:paraId="15BB422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DB92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EB89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5D4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31B8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CCF5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86C2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A086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21E54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090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FD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1CE2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709.63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796B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1184.41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9754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962.36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DEDA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10996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81.25%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8681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8.13</w:t>
            </w:r>
          </w:p>
        </w:tc>
      </w:tr>
      <w:tr w14:paraId="4BB4B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668F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0683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1E34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按支出性质分：</w:t>
            </w:r>
          </w:p>
        </w:tc>
      </w:tr>
      <w:tr w14:paraId="2291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EDE3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4A0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962.36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2234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672.53</w:t>
            </w:r>
          </w:p>
        </w:tc>
      </w:tr>
      <w:tr w14:paraId="6332A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AE25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E1A3A">
            <w:pPr>
              <w:widowControl/>
              <w:spacing w:line="240" w:lineRule="exact"/>
              <w:ind w:firstLine="80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政府性基金拨款：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88D1">
            <w:pPr>
              <w:widowControl/>
              <w:spacing w:line="240" w:lineRule="exact"/>
              <w:ind w:firstLine="60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项目支出：289.83</w:t>
            </w:r>
          </w:p>
        </w:tc>
      </w:tr>
      <w:tr w14:paraId="0090B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1D32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0B8F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纳入专户管理的非税收入拨款：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A811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C5CD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5B0EA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F637">
            <w:pPr>
              <w:widowControl/>
              <w:spacing w:line="240" w:lineRule="exact"/>
              <w:ind w:firstLine="140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2867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935B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7C04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47094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BC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</w:t>
            </w:r>
          </w:p>
        </w:tc>
      </w:tr>
      <w:tr w14:paraId="6CD54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AA8E2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615C81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围绕区域经济社会发展规划，优化科技资源配置；</w:t>
            </w:r>
          </w:p>
          <w:p w14:paraId="65F94E0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强化工业经济监测，提升信息化服务水平；</w:t>
            </w:r>
          </w:p>
          <w:p w14:paraId="689D7C7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推动工业增加值稳步增长，科技型企业数量持续增加；</w:t>
            </w:r>
          </w:p>
          <w:p w14:paraId="4C1AE5A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信息化基础设施覆盖范围进一步扩大；</w:t>
            </w:r>
          </w:p>
          <w:p w14:paraId="2870635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为区域产业高质量发展提供有力支撑。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6AB0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全年入库科技型中小企业160家，同比增长38％，完成率全市排名第三；</w:t>
            </w:r>
          </w:p>
          <w:p w14:paraId="7C59D38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同步建立2025年高企培育库，目前入库培育企业5家；</w:t>
            </w:r>
          </w:p>
          <w:p w14:paraId="2614DCB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认证技术合同金额35亿元，同比增长18％，科技成果登记10项已全部达到目标；</w:t>
            </w:r>
          </w:p>
          <w:p w14:paraId="009C6B8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全年我区财政科技支出3200余万元，同比增加28％；</w:t>
            </w:r>
          </w:p>
          <w:p w14:paraId="3032A3A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我区约完成数字经济增加值88亿元，同比增长约2.6%，其中软件和信息化服务全年约完成销售收入3.77亿元，同比增长约44.8%，全市排名第一。</w:t>
            </w:r>
          </w:p>
          <w:p w14:paraId="468422D5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推动中国航发长江投入5000万打造科创平台。</w:t>
            </w:r>
          </w:p>
        </w:tc>
      </w:tr>
      <w:tr w14:paraId="5E206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D01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6431A05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609E228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5C40CE7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 w14:paraId="6820220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7FC5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E6E8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A06D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E67D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4DDD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7ED0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B6EC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93F8"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0B310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7A3B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F129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40F9454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0554F5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292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数量指标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89DF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落实省委、区委巡视巡查反馈问题整改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D2CB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全部整改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C4EF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38个具体问题，已全部完成整改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6FC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BFF6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A3C43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2864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ECA71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D4FE1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4413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E321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全区规工企业累积完成工业产值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8AD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14亿元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D70B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14亿元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5449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9F5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377BA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FC70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E551F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E5DB5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8349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7744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建立规上企业培育库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D01F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5家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CAC7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5家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97277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355F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6756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37A8D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52E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0B4C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B01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8B14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工作完成率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82F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%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C34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%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07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5CAC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4050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4D46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29AD0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2066A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ABAC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26DB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在规定时间内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312D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28C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B902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C60B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9281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2744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9CB5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C996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92F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EA84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在预算内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BEEE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1184.41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万元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1696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962.36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万元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D49A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A3AC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75CC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EC25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8E75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55BD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26AB268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5B7320A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0664ED5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77D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00EC9C6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5CF8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促进工业高质量发展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8F8F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有所促进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D662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有所促进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D1DD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0F98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A26F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E760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0A5F3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05AE6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DDEB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68779FB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748D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有序推进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乡村振兴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科技助农专题讲座宣讲活动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241D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8场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8533D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10场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BF25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07D3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26C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6F55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29F35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CB1E4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FC1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F00BF4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77AB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按照国家政策，引导企业转型升级，促进企业节能发展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4EA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有所促进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E503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有所促进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AB61B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AC5BD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14AC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1226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B78C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41F4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7079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3AEC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highlight w:val="none"/>
              </w:rPr>
              <w:t>进一步加大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highlight w:val="none"/>
                <w:lang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highlight w:val="none"/>
              </w:rPr>
              <w:t>中小企业的金融支持力度，促进经济、金融发展，形成良性互动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B1C9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进一步提升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859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进一步提升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09C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E697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FA77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0A2C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20B72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93E5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5BFB25B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2904A70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3585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F837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</w:t>
            </w:r>
          </w:p>
          <w:p w14:paraId="3779BA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2A8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≥95%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9764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98%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F1C4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5A40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0C0E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B654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1063B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5AB2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FE85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98.13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8A97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</w:tbl>
    <w:p w14:paraId="7BCA86E8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br w:type="page" w:clear="all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 xml:space="preserve">附件 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1214D792">
      <w:pPr>
        <w:widowControl/>
        <w:spacing w:after="12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eastAsia="zh-CN"/>
        </w:rPr>
        <w:t>2024年度项目支出绩效自评表</w:t>
      </w:r>
    </w:p>
    <w:tbl>
      <w:tblPr>
        <w:tblStyle w:val="30"/>
        <w:tblW w:w="10357" w:type="dxa"/>
        <w:tblInd w:w="-1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83"/>
        <w:gridCol w:w="1710"/>
        <w:gridCol w:w="1740"/>
        <w:gridCol w:w="1515"/>
        <w:gridCol w:w="1380"/>
        <w:gridCol w:w="600"/>
        <w:gridCol w:w="999"/>
        <w:gridCol w:w="846"/>
      </w:tblGrid>
      <w:tr w14:paraId="136E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B0D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项目支出名称</w:t>
            </w:r>
          </w:p>
        </w:tc>
        <w:tc>
          <w:tcPr>
            <w:tcW w:w="87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918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业务工作经费</w:t>
            </w:r>
          </w:p>
        </w:tc>
      </w:tr>
      <w:tr w14:paraId="1D312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CD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主管部门</w:t>
            </w:r>
          </w:p>
        </w:tc>
        <w:tc>
          <w:tcPr>
            <w:tcW w:w="584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25A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岳阳市岳阳楼区科技和工业信息化局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89F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实施单位</w:t>
            </w:r>
          </w:p>
        </w:tc>
        <w:tc>
          <w:tcPr>
            <w:tcW w:w="244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0BC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岳阳市岳阳楼区科技和工业信息化局</w:t>
            </w:r>
          </w:p>
        </w:tc>
      </w:tr>
      <w:tr w14:paraId="1C06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6DA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项目资金(万元)</w:t>
            </w:r>
          </w:p>
        </w:tc>
        <w:tc>
          <w:tcPr>
            <w:tcW w:w="2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55F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E7A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年初预算数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38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全年预算数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52E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全年执行数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10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分值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A3E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执行率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DE1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自评得分</w:t>
            </w:r>
          </w:p>
        </w:tc>
      </w:tr>
      <w:tr w14:paraId="1D19A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C57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FE2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年度资金总额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0EE1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89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438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355.01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E94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289.83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F4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3CC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81.64%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B608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8.16</w:t>
            </w:r>
          </w:p>
        </w:tc>
      </w:tr>
      <w:tr w14:paraId="04A2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A8F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296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其中:当年财政拨款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620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89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.00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698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355.01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929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289.83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8336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D50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8EBC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35BB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D72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442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   上年结转金额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9F0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A21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6B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694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353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05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E27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084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0E9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   其它资金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1A0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E1F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557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38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89D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C204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8B7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879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年度总体目标</w:t>
            </w:r>
          </w:p>
        </w:tc>
        <w:tc>
          <w:tcPr>
            <w:tcW w:w="5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425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预期目标</w:t>
            </w:r>
          </w:p>
        </w:tc>
        <w:tc>
          <w:tcPr>
            <w:tcW w:w="38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A7B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实际完成情况　</w:t>
            </w:r>
          </w:p>
        </w:tc>
      </w:tr>
      <w:tr w14:paraId="7FF5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14F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456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围绕区域经济社会发展规划，优化科技资源配置；</w:t>
            </w:r>
          </w:p>
          <w:p w14:paraId="1E5135E0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强化工业经济监测，提升信息化服务水平；</w:t>
            </w:r>
          </w:p>
          <w:p w14:paraId="697740F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推动工业增加值稳步增长，科技型企业数量持续增加；</w:t>
            </w:r>
          </w:p>
          <w:p w14:paraId="6C4F6E8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信息化基础设施覆盖范围进一步扩大；</w:t>
            </w:r>
          </w:p>
          <w:p w14:paraId="0548E78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为区域产业高质量发展提供有力支撑。</w:t>
            </w:r>
          </w:p>
        </w:tc>
        <w:tc>
          <w:tcPr>
            <w:tcW w:w="38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525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全年入库科技型中小企业160家，同比增长38％，完成率全市排名第三；</w:t>
            </w:r>
          </w:p>
          <w:p w14:paraId="6365EAB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同步建立2025年高企培育库，目前入库培育企业5家；</w:t>
            </w:r>
          </w:p>
          <w:p w14:paraId="5836946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认证技术合同金额35亿元，同比增长18％，科技成果登记10项已全部达到目标；</w:t>
            </w:r>
          </w:p>
          <w:p w14:paraId="025924C4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全年我区财政科技支出3200余万元，同比增加28％；</w:t>
            </w:r>
          </w:p>
          <w:p w14:paraId="6EEEACA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我区约完成数字经济增加值88亿元，同比增长约2.6%，其中软件和信息化服务全年约完成销售收入3.77亿元，同比增长约44.8%，全市排名第一。</w:t>
            </w:r>
          </w:p>
          <w:p w14:paraId="63235DE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推动中国航发长江投入5000万打造科创平台。</w:t>
            </w:r>
          </w:p>
        </w:tc>
      </w:tr>
      <w:tr w14:paraId="2E0F8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B6A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绩效指标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7D8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一级指标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1E7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二级指标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0CC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三级指标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8BC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年度指标值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24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实际完成值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B19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分值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A95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得分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ADD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偏差原因分析及改进措施</w:t>
            </w:r>
          </w:p>
        </w:tc>
      </w:tr>
      <w:tr w14:paraId="6314E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29F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291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产出指标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BCA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数量指标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BA8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建立2025年高企培育库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D6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97A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3E2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7024B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6A8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FBCC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11A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513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22C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78A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引进外国高端人才数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CA6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4人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9A2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01C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B3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EED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6C0A2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CC4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CC2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171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质量指标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D79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数字经济增加值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294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80亿元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078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88亿元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07C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DADC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C63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321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FA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211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F75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时效指标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D5E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项目实施及时性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C90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B93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按时完成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E38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A4E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54B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4B7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101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A60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594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成本指标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5CB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控制预算成本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AFC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355.01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万元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46F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289.83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万元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A4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D11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9CD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72DC7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4E8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8C1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效益指标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166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经济效益指标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568D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推动中国航发长江打造科创平台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D11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投入5000万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A6B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投入5000万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CA7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328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C0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E8E8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842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C3F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FE2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社会效益指标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58D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项目实施的社会效益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A20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有序推进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FB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有序推进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699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F82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D72C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2BFC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80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872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0A6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生态效益指标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76D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生态环境改善情况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880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8F7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有所改善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F03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D75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43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0504F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57B2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E5F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408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可持续影响指标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070D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加强岳阳楼区中小企业公共服务平台管理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C7B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有所加强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98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有所加强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20D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4A60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EE8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59C45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573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987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满意度指标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DCB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服务对象满意度指标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87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</w:t>
            </w:r>
          </w:p>
          <w:p w14:paraId="022E4E6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度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8F3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≥95%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027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D0F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450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FFA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28B3C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D99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总分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255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80D0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98.16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B51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01046C3A">
      <w:pPr>
        <w:widowControl/>
        <w:spacing w:line="240" w:lineRule="exact"/>
        <w:jc w:val="center"/>
        <w:rPr>
          <w:rFonts w:hint="eastAsia" w:ascii="仿宋_GB2312" w:hAnsi="仿宋_GB2312" w:eastAsia="仿宋_GB2312" w:cs="仿宋_GB2312"/>
          <w:color w:val="000000"/>
          <w:sz w:val="20"/>
          <w:szCs w:val="20"/>
          <w:highlight w:val="none"/>
        </w:rPr>
      </w:pPr>
    </w:p>
    <w:p w14:paraId="0A81556E">
      <w:pPr>
        <w:widowControl/>
        <w:spacing w:line="240" w:lineRule="exact"/>
        <w:jc w:val="center"/>
        <w:rPr>
          <w:rFonts w:hint="eastAsia" w:ascii="仿宋_GB2312" w:hAnsi="仿宋_GB2312" w:eastAsia="仿宋_GB2312" w:cs="仿宋_GB2312"/>
          <w:color w:val="000000"/>
          <w:sz w:val="20"/>
          <w:szCs w:val="20"/>
          <w:highlight w:val="none"/>
        </w:rPr>
      </w:pPr>
    </w:p>
    <w:p w14:paraId="07601CEB">
      <w:pPr>
        <w:widowControl/>
        <w:spacing w:line="240" w:lineRule="exact"/>
        <w:jc w:val="both"/>
        <w:rPr>
          <w:sz w:val="22"/>
          <w:szCs w:val="22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</w:p>
    <w:p w14:paraId="6DFB3077">
      <w:pP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4</w:t>
      </w:r>
    </w:p>
    <w:p w14:paraId="7725813C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14260B6F">
      <w:pPr>
        <w:pStyle w:val="14"/>
        <w:ind w:left="0" w:leftChars="0" w:firstLine="0" w:firstLineChars="0"/>
        <w:rPr>
          <w:rFonts w:hint="default"/>
        </w:rPr>
      </w:pPr>
    </w:p>
    <w:p w14:paraId="5C4B1303">
      <w:pPr>
        <w:rPr>
          <w:rFonts w:hint="default"/>
        </w:rPr>
      </w:pPr>
    </w:p>
    <w:p w14:paraId="33258A3C">
      <w:pPr>
        <w:pStyle w:val="13"/>
        <w:rPr>
          <w:rFonts w:hint="default"/>
        </w:rPr>
      </w:pPr>
    </w:p>
    <w:p w14:paraId="472BD45D">
      <w:pPr>
        <w:pStyle w:val="14"/>
        <w:rPr>
          <w:rFonts w:hint="default"/>
        </w:rPr>
      </w:pPr>
    </w:p>
    <w:p w14:paraId="667F3043">
      <w:pPr>
        <w:rPr>
          <w:rFonts w:hint="default"/>
        </w:rPr>
      </w:pPr>
    </w:p>
    <w:p w14:paraId="6750ABB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年度岳阳市岳阳楼区科技和工业信息化局整体支出绩效自评报告</w:t>
      </w:r>
    </w:p>
    <w:p w14:paraId="5261221C"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 w14:paraId="0F6BCA74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C2C5B04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7BECC0DF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1E8DD28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4990353D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041FF3C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8EAFA6F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B9F7FB6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6CE0FFB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6FDA3EC"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576DBA4D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77BB287D">
      <w:pPr>
        <w:pStyle w:val="13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7AD2511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4B0C6B3">
      <w:pPr>
        <w:rPr>
          <w:rFonts w:hint="default"/>
        </w:rPr>
      </w:pPr>
    </w:p>
    <w:p w14:paraId="0A818798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16BD9EC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BFE1140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1F13A684"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  月  日</w:t>
      </w:r>
    </w:p>
    <w:p w14:paraId="62F1D52B"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6A8F87F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 w:clear="all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年度岳阳市岳阳楼区科技和工业信息化局整体支出绩效自评报告</w:t>
      </w:r>
    </w:p>
    <w:p w14:paraId="0E72EA96">
      <w:pPr>
        <w:keepNext w:val="0"/>
        <w:keepLines w:val="0"/>
        <w:pageBreakBefore w:val="0"/>
        <w:spacing w:line="640" w:lineRule="exact"/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B5A0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一、部门基本情况</w:t>
      </w:r>
    </w:p>
    <w:p w14:paraId="6572C55D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/>
        <w:jc w:val="both"/>
        <w:textAlignment w:val="center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（一）职能职责</w:t>
      </w:r>
    </w:p>
    <w:p w14:paraId="21619BE3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 1、负责工业经济的日常运行调节、编制并组织实施近期监测、分析工业经济运行态势统计相关信息，协调解决经济运行中的突出问题并向区政府提出意见和建议。</w:t>
      </w:r>
    </w:p>
    <w:p w14:paraId="4A6F09AA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2、拟定新型工业化的发展战略，规划和相关政策措施并组织实施。</w:t>
      </w:r>
    </w:p>
    <w:p w14:paraId="712876C7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3、做好中小企业融资和融资担保服务与协调工作，指导中小企业法律顾问工作，推进全民创业。</w:t>
      </w:r>
    </w:p>
    <w:p w14:paraId="4ADAD489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4、负责工业节能工作，参与编制生态建设规划，参与协调工业环境保护。</w:t>
      </w:r>
    </w:p>
    <w:p w14:paraId="34C6714F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5、组织实施科技重大专项工作。</w:t>
      </w:r>
    </w:p>
    <w:p w14:paraId="29ECB435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/>
        <w:jc w:val="both"/>
        <w:textAlignment w:val="center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（二）机构设置</w:t>
      </w:r>
    </w:p>
    <w:p w14:paraId="55AD62B3">
      <w:pPr>
        <w:pStyle w:val="2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年初预算时，本部门公务员1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人，事业编1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人，退休人数77人。目前我局共设10个内设股室：办公室、政工人事股、科技发展股、高新计划股、经济运行股、中小企业服务股、综合法规股、信访安全股、财务审计股、工会。</w:t>
      </w:r>
    </w:p>
    <w:p w14:paraId="55A22B76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235DF51C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6E9F7793">
      <w:pPr>
        <w:pStyle w:val="2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/>
        <w:rPr>
          <w:rFonts w:hint="default" w:ascii="仿宋" w:hAnsi="仿宋" w:eastAsia="仿宋_GB2312" w:cs="Times New Roman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_GB2312" w:cs="Times New Roman"/>
          <w:bCs w:val="0"/>
          <w:color w:val="auto"/>
          <w:sz w:val="32"/>
          <w:szCs w:val="32"/>
          <w:lang w:val="en-US" w:eastAsia="zh-CN" w:bidi="ar-SA"/>
        </w:rPr>
        <w:t>2024</w:t>
      </w:r>
      <w:r>
        <w:rPr>
          <w:rFonts w:hint="default" w:ascii="仿宋" w:hAnsi="仿宋" w:eastAsia="仿宋_GB2312" w:cs="Times New Roman"/>
          <w:bCs w:val="0"/>
          <w:color w:val="auto"/>
          <w:sz w:val="32"/>
          <w:szCs w:val="32"/>
          <w:lang w:val="en-US" w:eastAsia="zh-CN" w:bidi="ar-SA"/>
        </w:rPr>
        <w:t>年基本支出预算数</w:t>
      </w:r>
      <w:r>
        <w:rPr>
          <w:rFonts w:hint="eastAsia" w:ascii="仿宋" w:hAnsi="仿宋" w:eastAsia="仿宋_GB2312" w:cs="Times New Roman"/>
          <w:bCs w:val="0"/>
          <w:color w:val="auto"/>
          <w:sz w:val="32"/>
          <w:szCs w:val="32"/>
          <w:lang w:val="en-US" w:eastAsia="zh-CN" w:bidi="ar-SA"/>
        </w:rPr>
        <w:t>829.4</w:t>
      </w:r>
      <w:r>
        <w:rPr>
          <w:rFonts w:hint="eastAsia" w:eastAsia="仿宋_GB2312" w:cs="Times New Roman"/>
          <w:bCs w:val="0"/>
          <w:color w:val="auto"/>
          <w:sz w:val="32"/>
          <w:szCs w:val="32"/>
          <w:lang w:val="en-US" w:eastAsia="zh-CN" w:bidi="ar-SA"/>
        </w:rPr>
        <w:t>0</w:t>
      </w:r>
      <w:r>
        <w:rPr>
          <w:rFonts w:hint="default" w:ascii="仿宋" w:hAnsi="仿宋" w:eastAsia="仿宋_GB2312" w:cs="Times New Roman"/>
          <w:bCs w:val="0"/>
          <w:color w:val="auto"/>
          <w:sz w:val="32"/>
          <w:szCs w:val="32"/>
          <w:lang w:val="en-US" w:eastAsia="zh-CN" w:bidi="ar-SA"/>
        </w:rPr>
        <w:t>万元，实际支出决算数</w:t>
      </w:r>
      <w:r>
        <w:rPr>
          <w:rFonts w:hint="eastAsia" w:ascii="仿宋" w:hAnsi="仿宋" w:eastAsia="仿宋_GB2312" w:cs="Times New Roman"/>
          <w:bCs w:val="0"/>
          <w:color w:val="auto"/>
          <w:sz w:val="32"/>
          <w:szCs w:val="32"/>
          <w:lang w:val="en-US" w:eastAsia="zh-CN" w:bidi="ar-SA"/>
        </w:rPr>
        <w:t>672.53</w:t>
      </w:r>
      <w:r>
        <w:rPr>
          <w:rFonts w:hint="default" w:ascii="仿宋" w:hAnsi="仿宋" w:eastAsia="仿宋_GB2312" w:cs="Times New Roman"/>
          <w:bCs w:val="0"/>
          <w:color w:val="auto"/>
          <w:sz w:val="32"/>
          <w:szCs w:val="32"/>
          <w:lang w:val="en-US" w:eastAsia="zh-CN" w:bidi="ar-SA"/>
        </w:rPr>
        <w:t>万元。主要包括：基本工资、津贴补贴、奖金、绩效工资、机关事业单位基本养老保险缴费、职工基本医疗保险缴费、其他社会保障缴费、住房公积金等、其他工资福利支出、生活补助；办公费、印刷费、水费、电费、邮电费、维修（护）费、培训费、劳务费、工会经费、其他商品和服务支出等。</w:t>
      </w:r>
    </w:p>
    <w:p w14:paraId="6495FA44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/>
        <w:jc w:val="both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（二）项目支出情况</w:t>
      </w:r>
    </w:p>
    <w:p w14:paraId="34B2E0B2">
      <w:pPr>
        <w:pStyle w:val="2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全年项目支出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289.83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万元。主要用于单位各种业务工作经费、规上企业培育、化工企业搬迁费用、科技创新奖、科技三项、科技专家服务、留守厂长经理生活补助、统计服务、长动科创园、中小企业发展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、中小企业服务平台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等其他商品服务支出。</w:t>
      </w:r>
    </w:p>
    <w:p w14:paraId="39503D3A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三、政府性基金预算支出情况</w:t>
      </w:r>
    </w:p>
    <w:p w14:paraId="3D675C8E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2024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年度本单位无政府性基金安排的支出。</w:t>
      </w:r>
    </w:p>
    <w:p w14:paraId="3440AEB4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四、国有资本经营预算支出情况</w:t>
      </w:r>
    </w:p>
    <w:p w14:paraId="205783AB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2024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年度本单位无国有资本经营预算支出。</w:t>
      </w:r>
    </w:p>
    <w:p w14:paraId="3FD28BB9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五、社会保险基金预算支出情况</w:t>
      </w:r>
    </w:p>
    <w:p w14:paraId="297E9DED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2024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年度本单位无国有资本经营预算支出。</w:t>
      </w:r>
    </w:p>
    <w:p w14:paraId="7880E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 w14:paraId="003A4A34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本单位各项资金其主要用途是确保单位的正常运转，促进各项工作任务顺利完成。在人员经费支出、公共支出严格执行区政府的各项制度；在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各项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经费的使用上，在保证各项任务顺利完成的同时，严格落实厉行节约的原则；三公经费的使用严格控制在预算申报的范围内。</w:t>
      </w:r>
    </w:p>
    <w:p w14:paraId="7CDFBF3E">
      <w:pPr>
        <w:pStyle w:val="18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 w14:paraId="60807A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rPr>
          <w:rFonts w:hint="eastAsia" w:eastAsia="仿宋_GB2312" w:cs="Times New Roman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 w:val="0"/>
          <w:color w:val="auto"/>
          <w:sz w:val="32"/>
          <w:szCs w:val="32"/>
          <w:lang w:val="en-US" w:eastAsia="zh-CN" w:bidi="ar-SA"/>
        </w:rPr>
        <w:t>（一）预算编制不够精准。由于科技和工业信息化工作的复杂性和不确定性，部分项目在预算编制时难以准确预测项目成本和资金需求，导致预算编制与实际支出存在一定偏差。</w:t>
      </w:r>
    </w:p>
    <w:p w14:paraId="06DEBB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rPr>
          <w:rFonts w:hint="default" w:eastAsia="仿宋_GB2312" w:cs="Times New Roman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 w:val="0"/>
          <w:color w:val="auto"/>
          <w:sz w:val="32"/>
          <w:szCs w:val="32"/>
          <w:lang w:val="en-US" w:eastAsia="zh-CN" w:bidi="ar-SA"/>
        </w:rPr>
        <w:t>（二）绩效管理水平有待提升。 虽然我局已开展了绩效自评工作，但在绩效管理方面仍存在一些问题，如绩效指标体系不够完善，绩效评价方法不够科学，绩效评价结果应用不够充分，影响了绩效管理工作的质量和效果。</w:t>
      </w:r>
    </w:p>
    <w:p w14:paraId="74A9F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八、下一步改进措施</w:t>
      </w:r>
    </w:p>
    <w:p w14:paraId="5A2A2C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rPr>
          <w:rFonts w:hint="default" w:eastAsia="仿宋_GB2312" w:cs="Times New Roman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 w:val="0"/>
          <w:color w:val="auto"/>
          <w:sz w:val="32"/>
          <w:szCs w:val="32"/>
          <w:lang w:val="en-US" w:eastAsia="zh-CN" w:bidi="ar-SA"/>
        </w:rPr>
        <w:t>一</w:t>
      </w:r>
      <w:r>
        <w:rPr>
          <w:rFonts w:hint="eastAsia" w:ascii="Times New Roman" w:hAnsi="Times New Roman" w:eastAsia="仿宋_GB2312" w:cs="Times New Roman"/>
          <w:bCs w:val="0"/>
          <w:color w:val="auto"/>
          <w:sz w:val="32"/>
          <w:szCs w:val="32"/>
          <w:lang w:val="en-US" w:eastAsia="zh-CN" w:bidi="ar-SA"/>
        </w:rPr>
        <w:t>是提高预算编制的科学性和准确性，加强对项目的前期调研和论证，充分考虑项目实施过程中可能出现的各种因素，合理确定项目预算。同时，建立预算编制与执行的沟通协调机制，及时调整预算偏差，确保预算执行的严肃性。</w:t>
      </w:r>
    </w:p>
    <w:p w14:paraId="6F4587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rPr>
          <w:rFonts w:hint="default" w:ascii="Times New Roman" w:hAnsi="Times New Roman" w:eastAsia="仿宋_GB2312" w:cs="Times New Roman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Cs w:val="0"/>
          <w:color w:val="auto"/>
          <w:sz w:val="32"/>
          <w:szCs w:val="32"/>
          <w:lang w:val="en-US" w:eastAsia="zh-CN" w:bidi="ar-SA"/>
        </w:rPr>
        <w:t>二是进一步完善绩效指标体系，科学合理设置绩效指标，提高绩效指标的可衡量性和可操作性。改进绩效评价方法，综合运用定量评价和定性评价相结合的方法，确保绩效评价结果客观、公正。加强绩效评价结果应用，将绩效评价结果作为预算安排、项目审批和单位考核的重要依据，充分发挥绩效管理的激励约束作用。</w:t>
      </w:r>
    </w:p>
    <w:p w14:paraId="038C561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部门整体支出绩效自评结果拟应用和公开情况</w:t>
      </w:r>
    </w:p>
    <w:p w14:paraId="174F88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绩效自评结果可以进一步规范财政资金管理，强化部门绩效和责任意识，切实提高财政资金使用效益，同时编制下一年的部门预算可以参考绩效自评结果，以提高预算编制的精准性。已按相关要求及时进行预决算公开及整体支出绩效自评的公开。</w:t>
      </w:r>
    </w:p>
    <w:p w14:paraId="2F46B8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十、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 w14:paraId="6F0320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1486108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/>
          <w:lang w:eastAsia="zh-CN"/>
        </w:rPr>
      </w:pPr>
    </w:p>
    <w:p w14:paraId="362BEE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附件：</w:t>
      </w:r>
    </w:p>
    <w:p w14:paraId="66CC0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部门整体支出绩效评价基础数据表</w:t>
      </w:r>
    </w:p>
    <w:p w14:paraId="552C5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部门整体支出绩效自评表</w:t>
      </w:r>
    </w:p>
    <w:p w14:paraId="02E31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项目支出绩效自评表</w:t>
      </w: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FAFA6">
    <w:pPr>
      <w:pStyle w:val="1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9D2BE">
                          <w:pPr>
                            <w:pStyle w:val="18"/>
                            <w:tabs>
                              <w:tab w:val="center" w:pos="4153"/>
                              <w:tab w:val="right" w:pos="8306"/>
                              <w:tab w:val="clear" w:pos="7143"/>
                              <w:tab w:val="clear" w:pos="14287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9D2BE">
                    <w:pPr>
                      <w:pStyle w:val="18"/>
                      <w:tabs>
                        <w:tab w:val="center" w:pos="4153"/>
                        <w:tab w:val="right" w:pos="8306"/>
                        <w:tab w:val="clear" w:pos="7143"/>
                        <w:tab w:val="clear" w:pos="14287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00000000"/>
    <w:rsid w:val="019B1263"/>
    <w:rsid w:val="01AC75F0"/>
    <w:rsid w:val="02DF6C0B"/>
    <w:rsid w:val="087A259C"/>
    <w:rsid w:val="09821381"/>
    <w:rsid w:val="0B8C5500"/>
    <w:rsid w:val="0CAA2ACE"/>
    <w:rsid w:val="0DAE00D1"/>
    <w:rsid w:val="0FBD6192"/>
    <w:rsid w:val="130F70EA"/>
    <w:rsid w:val="154934A1"/>
    <w:rsid w:val="180F222F"/>
    <w:rsid w:val="191915B7"/>
    <w:rsid w:val="193D1391"/>
    <w:rsid w:val="1A773FE9"/>
    <w:rsid w:val="21A67760"/>
    <w:rsid w:val="220B3A67"/>
    <w:rsid w:val="293A020F"/>
    <w:rsid w:val="2B27151F"/>
    <w:rsid w:val="2C2427DC"/>
    <w:rsid w:val="333C43C8"/>
    <w:rsid w:val="34B66670"/>
    <w:rsid w:val="36FE1612"/>
    <w:rsid w:val="38233741"/>
    <w:rsid w:val="39064F0C"/>
    <w:rsid w:val="3C44609B"/>
    <w:rsid w:val="3CC343BF"/>
    <w:rsid w:val="3F206F07"/>
    <w:rsid w:val="405A40DF"/>
    <w:rsid w:val="43B724A2"/>
    <w:rsid w:val="447F0988"/>
    <w:rsid w:val="49976419"/>
    <w:rsid w:val="4A81613F"/>
    <w:rsid w:val="4AA93C99"/>
    <w:rsid w:val="4B880599"/>
    <w:rsid w:val="4BCF27D1"/>
    <w:rsid w:val="51394468"/>
    <w:rsid w:val="5BF014BE"/>
    <w:rsid w:val="5D6E034F"/>
    <w:rsid w:val="5D8C4DBE"/>
    <w:rsid w:val="61193193"/>
    <w:rsid w:val="62EE2739"/>
    <w:rsid w:val="6868496F"/>
    <w:rsid w:val="6894193D"/>
    <w:rsid w:val="69F8234A"/>
    <w:rsid w:val="6EB365E5"/>
    <w:rsid w:val="6F8E0EED"/>
    <w:rsid w:val="72516841"/>
    <w:rsid w:val="72FF629D"/>
    <w:rsid w:val="750202C6"/>
    <w:rsid w:val="75FA0295"/>
    <w:rsid w:val="7C363AB8"/>
    <w:rsid w:val="7D90492D"/>
    <w:rsid w:val="7E8C4DCA"/>
    <w:rsid w:val="7EBE04CB"/>
    <w:rsid w:val="7ECC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nhideWhenUsed="0" w:uiPriority="0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仿宋" w:hAnsi="仿宋" w:eastAsia="宋体" w:cs="Times New Roman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qFormat/>
    <w:uiPriority w:val="0"/>
  </w:style>
  <w:style w:type="table" w:default="1" w:styleId="3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14">
    <w:name w:val="toc 5"/>
    <w:basedOn w:val="1"/>
    <w:next w:val="1"/>
    <w:qFormat/>
    <w:uiPriority w:val="0"/>
    <w:pPr>
      <w:ind w:left="168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29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6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7">
    <w:name w:val="Subtitle Char"/>
    <w:basedOn w:val="32"/>
    <w:link w:val="22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qFormat/>
    <w:uiPriority w:val="30"/>
    <w:rPr>
      <w:i/>
    </w:rPr>
  </w:style>
  <w:style w:type="character" w:customStyle="1" w:styleId="52">
    <w:name w:val="Header Char"/>
    <w:basedOn w:val="32"/>
    <w:link w:val="19"/>
    <w:qFormat/>
    <w:uiPriority w:val="99"/>
  </w:style>
  <w:style w:type="character" w:customStyle="1" w:styleId="53">
    <w:name w:val="Footer Char"/>
    <w:basedOn w:val="32"/>
    <w:link w:val="18"/>
    <w:qFormat/>
    <w:uiPriority w:val="99"/>
  </w:style>
  <w:style w:type="character" w:customStyle="1" w:styleId="54">
    <w:name w:val="Caption Char"/>
    <w:link w:val="18"/>
    <w:qFormat/>
    <w:uiPriority w:val="99"/>
  </w:style>
  <w:style w:type="table" w:customStyle="1" w:styleId="55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0">
    <w:name w:val="Footnote Text Char"/>
    <w:link w:val="23"/>
    <w:qFormat/>
    <w:uiPriority w:val="99"/>
    <w:rPr>
      <w:sz w:val="18"/>
    </w:rPr>
  </w:style>
  <w:style w:type="character" w:customStyle="1" w:styleId="181">
    <w:name w:val="Endnote Text Char"/>
    <w:link w:val="17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3">
    <w:name w:val="列出段落1"/>
    <w:basedOn w:val="1"/>
    <w:qFormat/>
    <w:uiPriority w:val="34"/>
    <w:pPr>
      <w:ind w:firstLine="420"/>
    </w:pPr>
  </w:style>
  <w:style w:type="paragraph" w:styleId="184">
    <w:name w:val="List Paragraph"/>
    <w:basedOn w:val="1"/>
    <w:qFormat/>
    <w:uiPriority w:val="99"/>
    <w:pPr>
      <w:ind w:firstLine="420"/>
    </w:pPr>
    <w:rPr>
      <w:rFonts w:ascii="Calibri" w:hAnsi="Calibri"/>
      <w:szCs w:val="22"/>
    </w:rPr>
  </w:style>
  <w:style w:type="character" w:customStyle="1" w:styleId="185">
    <w:name w:val="font41"/>
    <w:basedOn w:val="32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186">
    <w:name w:val="font71"/>
    <w:basedOn w:val="3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998</Words>
  <Characters>1220</Characters>
  <TotalTime>8</TotalTime>
  <ScaleCrop>false</ScaleCrop>
  <LinksUpToDate>false</LinksUpToDate>
  <CharactersWithSpaces>1287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烟雨胡同</cp:lastModifiedBy>
  <dcterms:modified xsi:type="dcterms:W3CDTF">2026-08-31T08:49:49Z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95C1D88F4619442FA64D6CDFB5277A11_13</vt:lpwstr>
  </property>
  <property fmtid="{D5CDD505-2E9C-101B-9397-08002B2CF9AE}" pid="4" name="KSOTemplateDocerSaveRecord">
    <vt:lpwstr>eyJoZGlkIjoiZWFkMzQ0MzRlNzcyNjcwMGM5NjNmNDc2MTJiNzBhYzgiLCJ1c2VySWQiOiI0MTIxMDY5NjYifQ==</vt:lpwstr>
  </property>
</Properties>
</file>