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F704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bCs/>
          <w:sz w:val="44"/>
          <w:szCs w:val="44"/>
          <w:lang w:val="en-US" w:eastAsia="zh-CN"/>
        </w:rPr>
      </w:pPr>
    </w:p>
    <w:p w14:paraId="6141285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岳阳楼区参加城乡居民基本养老保险低保等</w:t>
      </w:r>
    </w:p>
    <w:p w14:paraId="22EC78D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特殊困难群体丧葬补助金制度（征求意见稿</w:t>
      </w:r>
      <w:bookmarkStart w:id="3" w:name="_GoBack"/>
      <w:bookmarkEnd w:id="3"/>
      <w:r>
        <w:rPr>
          <w:rFonts w:hint="eastAsia" w:ascii="方正小标宋简体" w:hAnsi="方正小标宋简体" w:eastAsia="方正小标宋简体" w:cs="方正小标宋简体"/>
          <w:bCs/>
          <w:sz w:val="44"/>
          <w:szCs w:val="44"/>
          <w:lang w:val="en-US" w:eastAsia="zh-CN"/>
        </w:rPr>
        <w:t>）</w:t>
      </w:r>
    </w:p>
    <w:p w14:paraId="74BE3B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p>
    <w:p w14:paraId="247DF9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为进一步完善我区城乡居民基本养老保险制度，贯彻落实《中共湖南省委办公厅</w:t>
      </w: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lang w:eastAsia="zh-CN"/>
        </w:rPr>
        <w:t>湖南省人民政府办公厅关于印发2026年全省重点民生实事项目实施方案的通知》（湘办发电〔2026〕7号）文件精神，切实保障我区参加城乡居民基本养老保险低保等特殊困难群体的养老保险待遇，按照《国务院关于建立统一的城乡居民基本养老保险制度的意见》（国发〔2014〕8号）、《湖南省人民政府关于完善城乡居民基本养老保险制度的实施意见》（湘政发〔2020〕19号）、《湖南省人力资源和</w:t>
      </w:r>
      <w:r>
        <w:rPr>
          <w:rFonts w:hint="eastAsia" w:ascii="仿宋_GB2312" w:hAnsi="仿宋_GB2312" w:eastAsia="仿宋_GB2312" w:cs="仿宋_GB2312"/>
          <w:snapToGrid/>
          <w:kern w:val="2"/>
          <w:sz w:val="32"/>
          <w:szCs w:val="32"/>
          <w:lang w:val="en-US" w:eastAsia="zh-CN"/>
        </w:rPr>
        <w:t>社</w:t>
      </w:r>
      <w:r>
        <w:rPr>
          <w:rFonts w:hint="eastAsia" w:ascii="仿宋_GB2312" w:hAnsi="仿宋_GB2312" w:eastAsia="仿宋_GB2312" w:cs="仿宋_GB2312"/>
          <w:snapToGrid/>
          <w:kern w:val="2"/>
          <w:sz w:val="32"/>
          <w:szCs w:val="32"/>
          <w:lang w:eastAsia="zh-CN"/>
        </w:rPr>
        <w:t>会保障厅</w:t>
      </w: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lang w:eastAsia="zh-CN"/>
        </w:rPr>
        <w:t>湖南省财政厅关于建立参加城乡居民基本养老保险低保等特殊困难群体丧葬补助金制度的通知》（湘人社函〔2026〕34号）要求，经区政府同意，决定在全区建立参加城乡居民基本养老保险低保等特殊困难群体丧葬补助金制度。（以下简称《</w:t>
      </w:r>
      <w:r>
        <w:rPr>
          <w:rFonts w:hint="eastAsia" w:ascii="仿宋_GB2312" w:hAnsi="仿宋_GB2312" w:eastAsia="仿宋_GB2312" w:cs="仿宋_GB2312"/>
          <w:snapToGrid/>
          <w:kern w:val="2"/>
          <w:sz w:val="32"/>
          <w:szCs w:val="32"/>
          <w:lang w:val="en-US" w:eastAsia="zh-CN"/>
        </w:rPr>
        <w:t>制度</w:t>
      </w:r>
      <w:r>
        <w:rPr>
          <w:rFonts w:hint="eastAsia" w:ascii="仿宋_GB2312" w:hAnsi="仿宋_GB2312" w:eastAsia="仿宋_GB2312" w:cs="仿宋_GB2312"/>
          <w:snapToGrid/>
          <w:kern w:val="2"/>
          <w:sz w:val="32"/>
          <w:szCs w:val="32"/>
          <w:lang w:eastAsia="zh-CN"/>
        </w:rPr>
        <w:t>》）。</w:t>
      </w:r>
    </w:p>
    <w:p w14:paraId="0E436A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一、目标任务</w:t>
      </w:r>
    </w:p>
    <w:p w14:paraId="3AF972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自2026年1月1日起，按照城乡统筹、惠民利民的原则，在全区优先建立参加城乡居民基本养老保险低保等特殊困难群体丧葬补助金制度，逐步推进建立全区统一的城乡居民养老保险丧葬补助金制度。</w:t>
      </w:r>
    </w:p>
    <w:p w14:paraId="3433BF91">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both"/>
        <w:textAlignment w:val="auto"/>
        <w:rPr>
          <w:rFonts w:ascii="黑体" w:hAnsi="黑体" w:eastAsia="黑体" w:cs="黑体"/>
          <w:color w:val="auto"/>
          <w:sz w:val="32"/>
          <w:szCs w:val="32"/>
          <w:lang w:eastAsia="zh-CN"/>
        </w:rPr>
      </w:pPr>
      <w:r>
        <w:rPr>
          <w:rFonts w:ascii="黑体" w:hAnsi="黑体" w:eastAsia="黑体" w:cs="黑体"/>
          <w:color w:val="auto"/>
          <w:spacing w:val="-5"/>
          <w:sz w:val="32"/>
          <w:szCs w:val="32"/>
          <w:lang w:eastAsia="zh-CN"/>
        </w:rPr>
        <w:t>二、补助范围</w:t>
      </w:r>
    </w:p>
    <w:p w14:paraId="408853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参加本区城乡居民基本养老保险的参保人员死亡，</w:t>
      </w:r>
      <w:r>
        <w:rPr>
          <w:rFonts w:hint="eastAsia" w:ascii="仿宋_GB2312" w:hAnsi="仿宋_GB2312" w:eastAsia="仿宋_GB2312" w:cs="仿宋_GB2312"/>
          <w:snapToGrid/>
          <w:kern w:val="2"/>
          <w:sz w:val="32"/>
          <w:szCs w:val="32"/>
          <w:lang w:val="en-US" w:eastAsia="zh-CN"/>
        </w:rPr>
        <w:t>且</w:t>
      </w:r>
      <w:r>
        <w:rPr>
          <w:rFonts w:hint="eastAsia" w:ascii="仿宋_GB2312" w:hAnsi="仿宋_GB2312" w:eastAsia="仿宋_GB2312" w:cs="仿宋_GB2312"/>
          <w:snapToGrid/>
          <w:kern w:val="2"/>
          <w:sz w:val="32"/>
          <w:szCs w:val="32"/>
          <w:lang w:eastAsia="zh-CN"/>
        </w:rPr>
        <w:t>死亡当年属于重度残疾人、特困人员、低保对象、返贫致贫人</w:t>
      </w:r>
      <w:r>
        <w:rPr>
          <w:rFonts w:hint="eastAsia" w:ascii="仿宋_GB2312" w:hAnsi="仿宋_GB2312" w:eastAsia="仿宋_GB2312" w:cs="仿宋_GB2312"/>
          <w:snapToGrid/>
          <w:kern w:val="2"/>
          <w:sz w:val="32"/>
          <w:szCs w:val="32"/>
          <w:lang w:val="en-US" w:eastAsia="zh-CN"/>
        </w:rPr>
        <w:t>员</w:t>
      </w:r>
      <w:r>
        <w:rPr>
          <w:rFonts w:hint="eastAsia" w:ascii="仿宋_GB2312" w:hAnsi="仿宋_GB2312" w:eastAsia="仿宋_GB2312" w:cs="仿宋_GB2312"/>
          <w:snapToGrid/>
          <w:kern w:val="2"/>
          <w:sz w:val="32"/>
          <w:szCs w:val="32"/>
          <w:lang w:eastAsia="zh-CN"/>
        </w:rPr>
        <w:t>等特殊困难群体身份的，其指定受益人或法定继承人可以领取一次性丧葬补助金。</w:t>
      </w:r>
    </w:p>
    <w:p w14:paraId="2B40E7EE">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both"/>
        <w:textAlignment w:val="auto"/>
        <w:rPr>
          <w:rFonts w:hint="eastAsia" w:ascii="黑体" w:hAnsi="黑体" w:eastAsia="黑体" w:cs="黑体"/>
          <w:color w:val="auto"/>
          <w:spacing w:val="-5"/>
          <w:sz w:val="32"/>
          <w:szCs w:val="32"/>
          <w:lang w:eastAsia="zh-CN"/>
        </w:rPr>
      </w:pPr>
      <w:r>
        <w:rPr>
          <w:rFonts w:hint="eastAsia" w:ascii="黑体" w:hAnsi="黑体" w:eastAsia="黑体" w:cs="黑体"/>
          <w:color w:val="auto"/>
          <w:spacing w:val="-5"/>
          <w:sz w:val="32"/>
          <w:szCs w:val="32"/>
          <w:lang w:eastAsia="zh-CN"/>
        </w:rPr>
        <w:t>三、申领条件</w:t>
      </w:r>
    </w:p>
    <w:p w14:paraId="3C5E73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（一）特殊困难群体参保人员死亡后，申领人应在其死亡之日起3个月内，办理死亡人员城乡居民基本养老保险关系注销手续。</w:t>
      </w:r>
    </w:p>
    <w:p w14:paraId="749C53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特殊困难群体参保人员死亡后，同时符合职工养老保险、工伤保险、失业保险丧葬补助和城乡居民养老保险特殊困难群体丧葬补助等丧葬补助条件的，其指定受益人或法定继承人只能选择其中一种领取，不得重复领取。</w:t>
      </w:r>
    </w:p>
    <w:p w14:paraId="257255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（三）在本《</w:t>
      </w:r>
      <w:r>
        <w:rPr>
          <w:rFonts w:hint="eastAsia" w:ascii="仿宋_GB2312" w:hAnsi="仿宋_GB2312" w:eastAsia="仿宋_GB2312" w:cs="仿宋_GB2312"/>
          <w:snapToGrid/>
          <w:kern w:val="2"/>
          <w:sz w:val="32"/>
          <w:szCs w:val="32"/>
          <w:lang w:val="en-US" w:eastAsia="zh-CN"/>
        </w:rPr>
        <w:t>制度</w:t>
      </w:r>
      <w:r>
        <w:rPr>
          <w:rFonts w:hint="eastAsia" w:ascii="仿宋_GB2312" w:hAnsi="仿宋_GB2312" w:eastAsia="仿宋_GB2312" w:cs="仿宋_GB2312"/>
          <w:snapToGrid/>
          <w:kern w:val="2"/>
          <w:sz w:val="32"/>
          <w:szCs w:val="32"/>
          <w:lang w:eastAsia="zh-CN"/>
        </w:rPr>
        <w:t>》规定实施日期前已死亡的，不享受补助。</w:t>
      </w:r>
    </w:p>
    <w:p w14:paraId="101003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（四）死亡的待遇领取人员存在多领取养老金的，需先行退回多领资金，或同意由经办机构在丧葬补助金中抵扣。</w:t>
      </w:r>
    </w:p>
    <w:p w14:paraId="6FB925CB">
      <w:pPr>
        <w:keepNext w:val="0"/>
        <w:keepLines w:val="0"/>
        <w:pageBreakBefore w:val="0"/>
        <w:widowControl w:val="0"/>
        <w:kinsoku/>
        <w:wordWrap/>
        <w:overflowPunct/>
        <w:topLinePunct w:val="0"/>
        <w:autoSpaceDE/>
        <w:autoSpaceDN/>
        <w:bidi w:val="0"/>
        <w:adjustRightInd/>
        <w:snapToGrid/>
        <w:spacing w:line="560" w:lineRule="exact"/>
        <w:ind w:firstLine="636" w:firstLineChars="200"/>
        <w:jc w:val="both"/>
        <w:textAlignment w:val="auto"/>
        <w:rPr>
          <w:rFonts w:ascii="黑体" w:hAnsi="黑体" w:eastAsia="黑体" w:cs="黑体"/>
          <w:color w:val="auto"/>
          <w:sz w:val="31"/>
          <w:szCs w:val="31"/>
          <w:lang w:eastAsia="zh-CN"/>
        </w:rPr>
      </w:pPr>
      <w:r>
        <w:rPr>
          <w:rFonts w:ascii="黑体" w:hAnsi="黑体" w:eastAsia="黑体" w:cs="黑体"/>
          <w:color w:val="auto"/>
          <w:spacing w:val="4"/>
          <w:sz w:val="31"/>
          <w:szCs w:val="31"/>
          <w:lang w:eastAsia="zh-CN"/>
        </w:rPr>
        <w:t>四、补助标准</w:t>
      </w:r>
    </w:p>
    <w:p w14:paraId="0C4142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特殊困难群体丧葬补助金标准为每人</w:t>
      </w:r>
      <w:r>
        <w:rPr>
          <w:rFonts w:hint="eastAsia" w:ascii="仿宋_GB2312" w:hAnsi="仿宋_GB2312" w:eastAsia="仿宋_GB2312" w:cs="仿宋_GB2312"/>
          <w:snapToGrid/>
          <w:kern w:val="2"/>
          <w:sz w:val="32"/>
          <w:szCs w:val="32"/>
          <w:lang w:val="en-US" w:eastAsia="zh-CN"/>
        </w:rPr>
        <w:t>1200</w:t>
      </w:r>
      <w:r>
        <w:rPr>
          <w:rFonts w:hint="eastAsia" w:ascii="仿宋_GB2312" w:hAnsi="仿宋_GB2312" w:eastAsia="仿宋_GB2312" w:cs="仿宋_GB2312"/>
          <w:snapToGrid/>
          <w:kern w:val="2"/>
          <w:sz w:val="32"/>
          <w:szCs w:val="32"/>
          <w:lang w:eastAsia="zh-CN"/>
        </w:rPr>
        <w:t>元。</w:t>
      </w:r>
    </w:p>
    <w:p w14:paraId="3AEA1453">
      <w:pPr>
        <w:keepNext w:val="0"/>
        <w:keepLines w:val="0"/>
        <w:pageBreakBefore w:val="0"/>
        <w:widowControl w:val="0"/>
        <w:kinsoku/>
        <w:wordWrap/>
        <w:overflowPunct/>
        <w:topLinePunct w:val="0"/>
        <w:autoSpaceDE/>
        <w:autoSpaceDN/>
        <w:bidi w:val="0"/>
        <w:adjustRightInd/>
        <w:snapToGrid/>
        <w:spacing w:line="560" w:lineRule="exact"/>
        <w:ind w:firstLine="636" w:firstLineChars="200"/>
        <w:jc w:val="both"/>
        <w:textAlignment w:val="auto"/>
        <w:rPr>
          <w:rFonts w:hint="eastAsia" w:ascii="黑体" w:hAnsi="黑体" w:eastAsia="黑体" w:cs="黑体"/>
          <w:color w:val="auto"/>
          <w:spacing w:val="4"/>
          <w:sz w:val="31"/>
          <w:szCs w:val="31"/>
          <w:lang w:eastAsia="zh-CN"/>
        </w:rPr>
      </w:pPr>
      <w:r>
        <w:rPr>
          <w:rFonts w:hint="eastAsia" w:ascii="黑体" w:hAnsi="黑体" w:eastAsia="黑体" w:cs="黑体"/>
          <w:color w:val="auto"/>
          <w:spacing w:val="4"/>
          <w:sz w:val="31"/>
          <w:szCs w:val="31"/>
          <w:lang w:eastAsia="zh-CN"/>
        </w:rPr>
        <w:t>五、办理程序</w:t>
      </w:r>
    </w:p>
    <w:p w14:paraId="466D5A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（一）申报时间：补助对象死亡日之后3个月内（本《</w:t>
      </w:r>
      <w:r>
        <w:rPr>
          <w:rFonts w:hint="eastAsia" w:ascii="仿宋_GB2312" w:hAnsi="仿宋_GB2312" w:eastAsia="仿宋_GB2312" w:cs="仿宋_GB2312"/>
          <w:snapToGrid/>
          <w:kern w:val="2"/>
          <w:sz w:val="32"/>
          <w:szCs w:val="32"/>
          <w:lang w:val="en-US" w:eastAsia="zh-CN"/>
        </w:rPr>
        <w:t>制度</w:t>
      </w:r>
      <w:r>
        <w:rPr>
          <w:rFonts w:hint="eastAsia" w:ascii="仿宋_GB2312" w:hAnsi="仿宋_GB2312" w:eastAsia="仿宋_GB2312" w:cs="仿宋_GB2312"/>
          <w:snapToGrid/>
          <w:kern w:val="2"/>
          <w:sz w:val="32"/>
          <w:szCs w:val="32"/>
          <w:lang w:eastAsia="zh-CN"/>
        </w:rPr>
        <w:t>》规定实施日至发布之日期间死亡的，自《</w:t>
      </w:r>
      <w:r>
        <w:rPr>
          <w:rFonts w:hint="eastAsia" w:ascii="仿宋_GB2312" w:hAnsi="仿宋_GB2312" w:eastAsia="仿宋_GB2312" w:cs="仿宋_GB2312"/>
          <w:snapToGrid/>
          <w:kern w:val="2"/>
          <w:sz w:val="32"/>
          <w:szCs w:val="32"/>
          <w:lang w:val="en-US" w:eastAsia="zh-CN"/>
        </w:rPr>
        <w:t>制度</w:t>
      </w:r>
      <w:r>
        <w:rPr>
          <w:rFonts w:hint="eastAsia" w:ascii="仿宋_GB2312" w:hAnsi="仿宋_GB2312" w:eastAsia="仿宋_GB2312" w:cs="仿宋_GB2312"/>
          <w:snapToGrid/>
          <w:kern w:val="2"/>
          <w:sz w:val="32"/>
          <w:szCs w:val="32"/>
          <w:lang w:eastAsia="zh-CN"/>
        </w:rPr>
        <w:t>》发布之日起顺延3个月）。</w:t>
      </w:r>
    </w:p>
    <w:p w14:paraId="7DC345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（二）申请人：指定受益人或法定继承人</w:t>
      </w:r>
    </w:p>
    <w:p w14:paraId="50823C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eastAsia="zh-CN"/>
        </w:rPr>
        <w:t>（三）申报流程：申请人主要按照如下流程申报补助对象丧葬补助金（见附件1）。</w:t>
      </w:r>
    </w:p>
    <w:p w14:paraId="0A6293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申请人在规定时间内，持本人身份证原件、特殊困难群体身份证明材料、死亡证明材料、参保人社会保障卡原件等凭证资料，到参保人员养老保险关系所在地的街道（乡镇、管理处）、村（社区）填报丧葬补助金申领表（见附件2）；</w:t>
      </w:r>
    </w:p>
    <w:p w14:paraId="2435F2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2.街道（乡镇、管理处）受理申报资料，审核确认符合条件后送至区级社会保险经办机构；</w:t>
      </w:r>
    </w:p>
    <w:p w14:paraId="1894E7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3.区级社会保险经办机构根据街道（乡镇、管理处）提供的申报资料办理养老保险关系注销手续；</w:t>
      </w:r>
    </w:p>
    <w:p w14:paraId="0496FF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4.社会保险经办机构可通过数据共享方式审核有效身份信息、死亡证明；无法通过数据共享核验的，可实行告知承诺制办理；对因下落不明被人民法院宣告死亡的，死亡日期以人民法院宣告死亡判决日期为准。</w:t>
      </w:r>
    </w:p>
    <w:p w14:paraId="56D93B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5.区级社会保险经办机构审核确认合格的，于次月底前将丧葬补助金发放至补助对象的社会保障卡银行账户内。</w:t>
      </w:r>
    </w:p>
    <w:p w14:paraId="0BE18B18">
      <w:pPr>
        <w:keepNext w:val="0"/>
        <w:keepLines w:val="0"/>
        <w:pageBreakBefore w:val="0"/>
        <w:widowControl w:val="0"/>
        <w:kinsoku/>
        <w:wordWrap/>
        <w:overflowPunct/>
        <w:topLinePunct w:val="0"/>
        <w:autoSpaceDE/>
        <w:autoSpaceDN/>
        <w:bidi w:val="0"/>
        <w:adjustRightInd/>
        <w:snapToGrid/>
        <w:spacing w:line="560" w:lineRule="exact"/>
        <w:ind w:firstLine="636" w:firstLineChars="200"/>
        <w:jc w:val="both"/>
        <w:textAlignment w:val="auto"/>
        <w:rPr>
          <w:rFonts w:hint="eastAsia" w:ascii="黑体" w:hAnsi="黑体" w:eastAsia="黑体" w:cs="黑体"/>
          <w:color w:val="auto"/>
          <w:spacing w:val="4"/>
          <w:sz w:val="31"/>
          <w:szCs w:val="31"/>
          <w:lang w:eastAsia="zh-CN"/>
        </w:rPr>
      </w:pPr>
      <w:r>
        <w:rPr>
          <w:rFonts w:hint="eastAsia" w:ascii="黑体" w:hAnsi="黑体" w:eastAsia="黑体" w:cs="黑体"/>
          <w:color w:val="auto"/>
          <w:spacing w:val="4"/>
          <w:sz w:val="31"/>
          <w:szCs w:val="31"/>
          <w:lang w:eastAsia="zh-CN"/>
        </w:rPr>
        <w:t>六、资金渠道</w:t>
      </w:r>
    </w:p>
    <w:p w14:paraId="7F8A57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特殊困难群体丧葬补助金由省与市县按照基本公共服务领域共同财政事权和支出责任划分办法分担，列入各级年度预算，专款专用，确保资金及时足额到位。丧葬补助金不得从城乡居民养老保险基金支付。</w:t>
      </w:r>
    </w:p>
    <w:p w14:paraId="3761E843">
      <w:pPr>
        <w:keepNext w:val="0"/>
        <w:keepLines w:val="0"/>
        <w:pageBreakBefore w:val="0"/>
        <w:widowControl w:val="0"/>
        <w:kinsoku/>
        <w:wordWrap/>
        <w:overflowPunct/>
        <w:topLinePunct w:val="0"/>
        <w:autoSpaceDE/>
        <w:autoSpaceDN/>
        <w:bidi w:val="0"/>
        <w:adjustRightInd/>
        <w:snapToGrid/>
        <w:spacing w:line="560" w:lineRule="exact"/>
        <w:ind w:firstLine="628" w:firstLineChars="200"/>
        <w:jc w:val="both"/>
        <w:textAlignment w:val="auto"/>
        <w:rPr>
          <w:rFonts w:ascii="黑体" w:hAnsi="黑体" w:eastAsia="黑体" w:cs="黑体"/>
          <w:color w:val="auto"/>
          <w:spacing w:val="2"/>
          <w:sz w:val="31"/>
          <w:szCs w:val="31"/>
          <w:lang w:eastAsia="zh-CN"/>
        </w:rPr>
      </w:pPr>
      <w:r>
        <w:rPr>
          <w:rFonts w:ascii="黑体" w:hAnsi="黑体" w:eastAsia="黑体" w:cs="黑体"/>
          <w:color w:val="auto"/>
          <w:spacing w:val="2"/>
          <w:sz w:val="31"/>
          <w:szCs w:val="31"/>
          <w:lang w:eastAsia="zh-CN"/>
        </w:rPr>
        <w:t>七、工作要求</w:t>
      </w:r>
    </w:p>
    <w:p w14:paraId="57EE8F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切实加强组织领导和部门协同，各相关部门、街道（乡镇、管理处）、村（社区）要各司其职、密切配合，共同推动全区参加城乡居民基本养老保险低保等特殊困难群体丧葬补助金制度的健康发展。人社部门负责牵头政策制定、养老保险经办、丧葬补助金发放、补助资金稽核与监管等工作；财政部门负责补助资金的预算、拨付与管理；民政部门负责低保对象、特困人员身份审核；残联部门负责重度残疾人员身份审核；农业农村部门负责返贫致贫人员身份审核；街道（乡镇、管理处）负责补助资料受理、初审和身份审核；村（社区）负责补助政策宣传、业务指导等。本《</w:t>
      </w:r>
      <w:r>
        <w:rPr>
          <w:rFonts w:hint="eastAsia" w:ascii="仿宋_GB2312" w:hAnsi="仿宋_GB2312" w:eastAsia="仿宋_GB2312" w:cs="仿宋_GB2312"/>
          <w:snapToGrid/>
          <w:kern w:val="2"/>
          <w:sz w:val="32"/>
          <w:szCs w:val="32"/>
          <w:lang w:val="en-US" w:eastAsia="zh-CN"/>
        </w:rPr>
        <w:t>制度</w:t>
      </w:r>
      <w:r>
        <w:rPr>
          <w:rFonts w:hint="eastAsia" w:ascii="仿宋_GB2312" w:hAnsi="仿宋_GB2312" w:eastAsia="仿宋_GB2312" w:cs="仿宋_GB2312"/>
          <w:snapToGrid/>
          <w:kern w:val="2"/>
          <w:sz w:val="32"/>
          <w:szCs w:val="32"/>
          <w:lang w:eastAsia="zh-CN"/>
        </w:rPr>
        <w:t>》自2026年1月1日起施行，有效期2年。如遇国家政策调整，按照国家规定执行。</w:t>
      </w:r>
    </w:p>
    <w:p w14:paraId="099BEC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p>
    <w:p w14:paraId="424408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附件：</w:t>
      </w:r>
    </w:p>
    <w:p w14:paraId="0646C1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1.岳阳楼区参加城乡居民基本养老保险低保等特殊困难群体丧葬补助流程</w:t>
      </w:r>
    </w:p>
    <w:p w14:paraId="32FC5D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2.湖南省参加城乡居民基本养老保险低保等特殊困难</w:t>
      </w:r>
    </w:p>
    <w:p w14:paraId="23C6052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napToGrid/>
          <w:kern w:val="2"/>
          <w:sz w:val="32"/>
          <w:szCs w:val="32"/>
          <w:lang w:val="en-US" w:eastAsia="zh-CN"/>
        </w:rPr>
        <w:sectPr>
          <w:footerReference r:id="rId3" w:type="default"/>
          <w:pgSz w:w="11880" w:h="16820"/>
          <w:pgMar w:top="1429" w:right="1502" w:bottom="1429" w:left="1504" w:header="0" w:footer="893" w:gutter="0"/>
          <w:cols w:space="720" w:num="1"/>
        </w:sectPr>
      </w:pPr>
      <w:r>
        <w:rPr>
          <w:rFonts w:hint="eastAsia" w:ascii="仿宋_GB2312" w:hAnsi="仿宋_GB2312" w:eastAsia="仿宋_GB2312" w:cs="仿宋_GB2312"/>
          <w:snapToGrid/>
          <w:kern w:val="2"/>
          <w:sz w:val="32"/>
          <w:szCs w:val="32"/>
          <w:lang w:eastAsia="zh-CN"/>
        </w:rPr>
        <w:t>群体丧葬补助金申领</w:t>
      </w:r>
      <w:r>
        <w:rPr>
          <w:rFonts w:hint="eastAsia" w:ascii="仿宋_GB2312" w:hAnsi="仿宋_GB2312" w:eastAsia="仿宋_GB2312" w:cs="仿宋_GB2312"/>
          <w:snapToGrid/>
          <w:kern w:val="2"/>
          <w:sz w:val="32"/>
          <w:szCs w:val="32"/>
          <w:lang w:val="en-US" w:eastAsia="zh-CN"/>
        </w:rPr>
        <w:t>表</w:t>
      </w:r>
    </w:p>
    <w:p w14:paraId="6C8F407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附件1：</w:t>
      </w:r>
    </w:p>
    <w:p w14:paraId="5EC83F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kern w:val="2"/>
          <w:sz w:val="44"/>
          <w:szCs w:val="44"/>
          <w:lang w:val="en-US" w:eastAsia="zh-CN"/>
        </w:rPr>
      </w:pPr>
      <w:r>
        <w:rPr>
          <w:rFonts w:hint="eastAsia" w:ascii="方正小标宋简体" w:hAnsi="方正小标宋简体" w:eastAsia="方正小标宋简体" w:cs="方正小标宋简体"/>
          <w:snapToGrid/>
          <w:kern w:val="2"/>
          <w:sz w:val="44"/>
          <w:szCs w:val="44"/>
          <w:lang w:val="en-US" w:eastAsia="zh-CN"/>
        </w:rPr>
        <w:t>岳阳楼区参加城乡居民基本养老保险低保等</w:t>
      </w:r>
    </w:p>
    <w:p w14:paraId="2C3A9D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kern w:val="2"/>
          <w:sz w:val="44"/>
          <w:szCs w:val="44"/>
          <w:lang w:val="en-US" w:eastAsia="zh-CN"/>
        </w:rPr>
      </w:pPr>
      <w:r>
        <w:rPr>
          <w:rFonts w:hint="eastAsia" w:ascii="方正小标宋简体" w:hAnsi="方正小标宋简体" w:eastAsia="方正小标宋简体" w:cs="方正小标宋简体"/>
          <w:snapToGrid/>
          <w:kern w:val="2"/>
          <w:sz w:val="44"/>
          <w:szCs w:val="44"/>
          <w:lang w:val="en-US" w:eastAsia="zh-CN"/>
        </w:rPr>
        <w:t>特殊困难群体丧葬补助流程</w:t>
      </w:r>
    </w:p>
    <w:p w14:paraId="493A07A8">
      <w:pPr>
        <w:pStyle w:val="2"/>
        <w:keepNext w:val="0"/>
        <w:keepLines w:val="0"/>
        <w:pageBreakBefore w:val="0"/>
        <w:numPr>
          <w:ilvl w:val="0"/>
          <w:numId w:val="0"/>
        </w:numPr>
        <w:wordWrap/>
        <w:overflowPunct/>
        <w:topLinePunct w:val="0"/>
        <w:bidi w:val="0"/>
        <w:spacing w:line="560" w:lineRule="exact"/>
        <w:ind w:leftChars="0" w:right="0" w:rightChars="0" w:firstLine="620" w:firstLineChars="200"/>
        <w:rPr>
          <w:rFonts w:ascii="黑体" w:hAnsi="黑体" w:eastAsia="黑体" w:cs="黑体"/>
          <w:color w:val="auto"/>
          <w:spacing w:val="-5"/>
          <w:sz w:val="32"/>
          <w:szCs w:val="32"/>
        </w:rPr>
      </w:pPr>
      <w:r>
        <w:rPr>
          <w:rFonts w:hint="eastAsia" w:ascii="黑体" w:hAnsi="黑体" w:eastAsia="黑体" w:cs="黑体"/>
          <w:color w:val="auto"/>
          <w:spacing w:val="-5"/>
          <w:sz w:val="32"/>
          <w:szCs w:val="32"/>
          <w:lang w:val="en-US" w:eastAsia="zh-CN"/>
        </w:rPr>
        <w:t>一、</w:t>
      </w:r>
      <w:r>
        <w:rPr>
          <w:rFonts w:ascii="黑体" w:hAnsi="黑体" w:eastAsia="黑体" w:cs="黑体"/>
          <w:color w:val="auto"/>
          <w:spacing w:val="-5"/>
          <w:sz w:val="32"/>
          <w:szCs w:val="32"/>
        </w:rPr>
        <w:t>申请资料</w:t>
      </w:r>
    </w:p>
    <w:p w14:paraId="055C535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1.派出所出具的户口注销证明</w:t>
      </w:r>
      <w:r>
        <w:rPr>
          <w:rFonts w:hint="eastAsia" w:ascii="仿宋_GB2312" w:hAnsi="仿宋_GB2312" w:eastAsia="仿宋_GB2312" w:cs="仿宋_GB2312"/>
          <w:b/>
          <w:bCs/>
          <w:snapToGrid/>
          <w:kern w:val="2"/>
          <w:sz w:val="32"/>
          <w:szCs w:val="32"/>
          <w:lang w:eastAsia="zh-CN"/>
        </w:rPr>
        <w:t>（必收）</w:t>
      </w:r>
      <w:r>
        <w:rPr>
          <w:rFonts w:hint="eastAsia" w:ascii="仿宋_GB2312" w:hAnsi="仿宋_GB2312" w:eastAsia="仿宋_GB2312" w:cs="仿宋_GB2312"/>
          <w:snapToGrid/>
          <w:kern w:val="2"/>
          <w:sz w:val="32"/>
          <w:szCs w:val="32"/>
          <w:lang w:eastAsia="zh-CN"/>
        </w:rPr>
        <w:t>、民政部门出具的火化证明（原件）或医院出具的死亡证明（原件）或社区开具的死亡证明</w:t>
      </w:r>
      <w:r>
        <w:rPr>
          <w:rFonts w:hint="eastAsia" w:ascii="仿宋_GB2312" w:hAnsi="仿宋_GB2312" w:eastAsia="仿宋_GB2312" w:cs="仿宋_GB2312"/>
          <w:b/>
          <w:bCs/>
          <w:snapToGrid/>
          <w:kern w:val="2"/>
          <w:sz w:val="32"/>
          <w:szCs w:val="32"/>
          <w:lang w:eastAsia="zh-CN"/>
        </w:rPr>
        <w:t>（以上三选一）；</w:t>
      </w:r>
    </w:p>
    <w:p w14:paraId="7B24C2B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2.注销登记表</w:t>
      </w:r>
      <w:r>
        <w:rPr>
          <w:rFonts w:hint="eastAsia" w:ascii="仿宋_GB2312" w:hAnsi="仿宋_GB2312" w:eastAsia="仿宋_GB2312" w:cs="仿宋_GB2312"/>
          <w:snapToGrid/>
          <w:kern w:val="2"/>
          <w:sz w:val="32"/>
          <w:szCs w:val="32"/>
          <w:lang w:val="en-US" w:eastAsia="zh-CN"/>
        </w:rPr>
        <w:t>[</w:t>
      </w:r>
      <w:r>
        <w:rPr>
          <w:rFonts w:hint="eastAsia" w:ascii="仿宋_GB2312" w:hAnsi="仿宋_GB2312" w:eastAsia="仿宋_GB2312" w:cs="仿宋_GB2312"/>
          <w:snapToGrid/>
          <w:kern w:val="2"/>
          <w:sz w:val="32"/>
          <w:szCs w:val="32"/>
          <w:lang w:eastAsia="zh-CN"/>
        </w:rPr>
        <w:t>“乡（街道）审核意见”栏审核人签章</w:t>
      </w:r>
      <w:r>
        <w:rPr>
          <w:rFonts w:hint="eastAsia" w:ascii="仿宋_GB2312" w:hAnsi="仿宋_GB2312" w:eastAsia="仿宋_GB2312" w:cs="仿宋_GB2312"/>
          <w:snapToGrid/>
          <w:kern w:val="2"/>
          <w:sz w:val="32"/>
          <w:szCs w:val="32"/>
          <w:lang w:val="en-US" w:eastAsia="zh-CN"/>
        </w:rPr>
        <w:t>]</w:t>
      </w:r>
      <w:r>
        <w:rPr>
          <w:rFonts w:hint="eastAsia" w:ascii="仿宋_GB2312" w:hAnsi="仿宋_GB2312" w:eastAsia="仿宋_GB2312" w:cs="仿宋_GB2312"/>
          <w:snapToGrid/>
          <w:kern w:val="2"/>
          <w:sz w:val="32"/>
          <w:szCs w:val="32"/>
          <w:lang w:eastAsia="zh-CN"/>
        </w:rPr>
        <w:t>；</w:t>
      </w:r>
    </w:p>
    <w:p w14:paraId="2B0CE110">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3.办理人身份证复印件、死者本人社保卡复印件；</w:t>
      </w:r>
    </w:p>
    <w:p w14:paraId="323D202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4.承诺书；</w:t>
      </w:r>
    </w:p>
    <w:p w14:paraId="38D90363">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5.特殊困难群体丧葬补助金申领表、特殊困难群体身份证明材料；</w:t>
      </w:r>
    </w:p>
    <w:p w14:paraId="0F29C444">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textAlignment w:val="auto"/>
        <w:rPr>
          <w:rFonts w:hint="eastAsia" w:ascii="仿宋_GB2312" w:hAnsi="仿宋_GB2312" w:eastAsia="仿宋_GB2312" w:cs="仿宋_GB2312"/>
          <w:b/>
          <w:bCs/>
          <w:snapToGrid/>
          <w:kern w:val="2"/>
          <w:sz w:val="32"/>
          <w:szCs w:val="32"/>
          <w:lang w:eastAsia="zh-CN"/>
        </w:rPr>
      </w:pPr>
      <w:r>
        <w:rPr>
          <w:rFonts w:hint="eastAsia" w:ascii="仿宋_GB2312" w:hAnsi="仿宋_GB2312" w:eastAsia="仿宋_GB2312" w:cs="仿宋_GB2312"/>
          <w:b/>
          <w:bCs/>
          <w:snapToGrid/>
          <w:kern w:val="2"/>
          <w:sz w:val="32"/>
          <w:szCs w:val="32"/>
          <w:lang w:eastAsia="zh-CN"/>
        </w:rPr>
        <w:t>若需将丧葬费打给他人，则需提供指定受益人或法定继承人身份证复印件及领取丧葬金的代领关系证明。</w:t>
      </w:r>
    </w:p>
    <w:p w14:paraId="4FAEAA0D">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代领人顺序为：</w:t>
      </w:r>
    </w:p>
    <w:p w14:paraId="66AE3CE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（1）配偶（附：结婚证复印件或者能够证明关系的户口簿复印件或者社区出具的关系证明）；</w:t>
      </w:r>
    </w:p>
    <w:p w14:paraId="21B5C63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（2）子女</w:t>
      </w:r>
      <w:r>
        <w:rPr>
          <w:rFonts w:hint="eastAsia" w:ascii="仿宋_GB2312" w:hAnsi="仿宋_GB2312" w:eastAsia="仿宋_GB2312" w:cs="仿宋_GB2312"/>
          <w:snapToGrid/>
          <w:kern w:val="2"/>
          <w:sz w:val="32"/>
          <w:szCs w:val="32"/>
          <w:lang w:val="en-US" w:eastAsia="zh-CN"/>
        </w:rPr>
        <w:t>[</w:t>
      </w:r>
      <w:r>
        <w:rPr>
          <w:rFonts w:hint="eastAsia" w:ascii="仿宋_GB2312" w:hAnsi="仿宋_GB2312" w:eastAsia="仿宋_GB2312" w:cs="仿宋_GB2312"/>
          <w:snapToGrid/>
          <w:kern w:val="2"/>
          <w:sz w:val="32"/>
          <w:szCs w:val="32"/>
          <w:lang w:eastAsia="zh-CN"/>
        </w:rPr>
        <w:t>社区出具的关系证明或者能够证明关系的户口簿复印件、委托书（多子女）或者独生子女证（只有一个子女）</w:t>
      </w:r>
      <w:r>
        <w:rPr>
          <w:rFonts w:hint="eastAsia" w:ascii="仿宋_GB2312" w:hAnsi="仿宋_GB2312" w:eastAsia="仿宋_GB2312" w:cs="仿宋_GB2312"/>
          <w:snapToGrid/>
          <w:kern w:val="2"/>
          <w:sz w:val="32"/>
          <w:szCs w:val="32"/>
          <w:lang w:val="en-US" w:eastAsia="zh-CN"/>
        </w:rPr>
        <w:t>]</w:t>
      </w:r>
      <w:r>
        <w:rPr>
          <w:rFonts w:hint="eastAsia" w:ascii="仿宋_GB2312" w:hAnsi="仿宋_GB2312" w:eastAsia="仿宋_GB2312" w:cs="仿宋_GB2312"/>
          <w:snapToGrid/>
          <w:kern w:val="2"/>
          <w:sz w:val="32"/>
          <w:szCs w:val="32"/>
          <w:lang w:eastAsia="zh-CN"/>
        </w:rPr>
        <w:t>；</w:t>
      </w:r>
    </w:p>
    <w:p w14:paraId="751487C0">
      <w:pPr>
        <w:keepNext w:val="0"/>
        <w:keepLines w:val="0"/>
        <w:pageBreakBefore w:val="0"/>
        <w:wordWrap/>
        <w:overflowPunct/>
        <w:topLinePunct w:val="0"/>
        <w:bidi w:val="0"/>
        <w:spacing w:line="560" w:lineRule="exact"/>
        <w:ind w:left="0" w:right="0" w:firstLine="620" w:firstLineChars="200"/>
        <w:rPr>
          <w:rFonts w:ascii="黑体" w:hAnsi="黑体" w:eastAsia="黑体" w:cs="黑体"/>
          <w:snapToGrid w:val="0"/>
          <w:color w:val="auto"/>
          <w:spacing w:val="-5"/>
          <w:sz w:val="32"/>
          <w:szCs w:val="32"/>
          <w:lang w:val="en-US" w:eastAsia="zh-CN" w:bidi="ar-SA"/>
        </w:rPr>
      </w:pPr>
      <w:r>
        <w:rPr>
          <w:rFonts w:ascii="黑体" w:hAnsi="黑体" w:eastAsia="黑体" w:cs="黑体"/>
          <w:snapToGrid w:val="0"/>
          <w:color w:val="auto"/>
          <w:spacing w:val="-5"/>
          <w:sz w:val="32"/>
          <w:szCs w:val="32"/>
          <w:lang w:val="en-US" w:eastAsia="zh-CN" w:bidi="ar-SA"/>
        </w:rPr>
        <w:t>二、申报流程</w:t>
      </w:r>
    </w:p>
    <w:p w14:paraId="514DB894">
      <w:pPr>
        <w:keepNext w:val="0"/>
        <w:keepLines w:val="0"/>
        <w:pageBreakBefore w:val="0"/>
        <w:wordWrap/>
        <w:overflowPunct/>
        <w:topLinePunct w:val="0"/>
        <w:bidi w:val="0"/>
        <w:spacing w:line="560" w:lineRule="exact"/>
        <w:ind w:left="0" w:right="0" w:firstLine="587" w:firstLineChars="200"/>
        <w:outlineLvl w:val="1"/>
        <w:rPr>
          <w:rFonts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pacing w:val="-14"/>
          <w:sz w:val="32"/>
          <w:szCs w:val="32"/>
          <w:lang w:eastAsia="zh-CN"/>
        </w:rPr>
        <w:t>（一）</w:t>
      </w:r>
      <w:r>
        <w:rPr>
          <w:rFonts w:hint="eastAsia" w:ascii="楷体_GB2312" w:hAnsi="楷体_GB2312" w:eastAsia="楷体_GB2312" w:cs="楷体_GB2312"/>
          <w:b/>
          <w:bCs/>
          <w:color w:val="auto"/>
          <w:spacing w:val="-14"/>
          <w:sz w:val="32"/>
          <w:szCs w:val="32"/>
          <w:lang w:val="en-US" w:eastAsia="zh-CN"/>
        </w:rPr>
        <w:t>街道（</w:t>
      </w:r>
      <w:r>
        <w:rPr>
          <w:rFonts w:hint="eastAsia" w:ascii="楷体_GB2312" w:hAnsi="楷体_GB2312" w:eastAsia="楷体_GB2312" w:cs="楷体_GB2312"/>
          <w:b/>
          <w:bCs/>
          <w:color w:val="auto"/>
          <w:spacing w:val="-14"/>
          <w:sz w:val="32"/>
          <w:szCs w:val="32"/>
          <w:lang w:eastAsia="zh-CN"/>
        </w:rPr>
        <w:t>乡镇、</w:t>
      </w:r>
      <w:r>
        <w:rPr>
          <w:rFonts w:hint="eastAsia" w:ascii="楷体_GB2312" w:hAnsi="楷体_GB2312" w:eastAsia="楷体_GB2312" w:cs="楷体_GB2312"/>
          <w:b/>
          <w:bCs/>
          <w:color w:val="auto"/>
          <w:spacing w:val="-14"/>
          <w:sz w:val="32"/>
          <w:szCs w:val="32"/>
          <w:lang w:val="en-US" w:eastAsia="zh-CN"/>
        </w:rPr>
        <w:t>管理处）</w:t>
      </w:r>
      <w:r>
        <w:rPr>
          <w:rFonts w:hint="eastAsia" w:ascii="楷体_GB2312" w:hAnsi="楷体_GB2312" w:eastAsia="楷体_GB2312" w:cs="楷体_GB2312"/>
          <w:b/>
          <w:bCs/>
          <w:color w:val="auto"/>
          <w:spacing w:val="-14"/>
          <w:sz w:val="32"/>
          <w:szCs w:val="32"/>
          <w:lang w:eastAsia="zh-CN"/>
        </w:rPr>
        <w:t>受理：初审资料、核实身份</w:t>
      </w:r>
    </w:p>
    <w:p w14:paraId="4A1C1610">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申请人持本人身份证原件、补助对象社会保障卡原件、《死亡证明》《销户证明》或其他能够证明死亡的材料等凭证资料，到补助对象养老保险关系所在地的村（社区）申报死亡、终止养老保险关系、申领丧葬补助金，并填写注销登记表、承诺书、《湖南省参加城乡居民基本养老保险低保等特殊困难群体丧葬补助金申领表》；</w:t>
      </w:r>
    </w:p>
    <w:p w14:paraId="6ED403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2.街道（乡镇、管理处）受理申报资料，审核确认符合条件后送至区级社会保险经办机构；</w:t>
      </w:r>
    </w:p>
    <w:p w14:paraId="47055D60">
      <w:pPr>
        <w:keepNext w:val="0"/>
        <w:keepLines w:val="0"/>
        <w:pageBreakBefore w:val="0"/>
        <w:widowControl w:val="0"/>
        <w:kinsoku/>
        <w:wordWrap/>
        <w:overflowPunct/>
        <w:topLinePunct w:val="0"/>
        <w:autoSpaceDE/>
        <w:autoSpaceDN/>
        <w:bidi w:val="0"/>
        <w:adjustRightInd/>
        <w:snapToGrid/>
        <w:spacing w:line="560" w:lineRule="exact"/>
        <w:ind w:firstLine="587" w:firstLineChars="200"/>
        <w:jc w:val="both"/>
        <w:textAlignment w:val="auto"/>
        <w:rPr>
          <w:rFonts w:ascii="楷体_GB2312" w:hAnsi="楷体_GB2312" w:eastAsia="楷体_GB2312" w:cs="楷体_GB2312"/>
          <w:b/>
          <w:bCs/>
          <w:color w:val="auto"/>
          <w:spacing w:val="-14"/>
          <w:sz w:val="32"/>
          <w:szCs w:val="32"/>
          <w:lang w:eastAsia="zh-CN"/>
        </w:rPr>
      </w:pPr>
      <w:r>
        <w:rPr>
          <w:rFonts w:hint="eastAsia" w:ascii="楷体_GB2312" w:hAnsi="楷体_GB2312" w:eastAsia="楷体_GB2312" w:cs="楷体_GB2312"/>
          <w:b/>
          <w:bCs/>
          <w:color w:val="auto"/>
          <w:spacing w:val="-14"/>
          <w:sz w:val="32"/>
          <w:szCs w:val="32"/>
          <w:lang w:eastAsia="zh-CN"/>
        </w:rPr>
        <w:t>（二）区级确认：复审资料、审定身份、发放补助</w:t>
      </w:r>
    </w:p>
    <w:p w14:paraId="0047B3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3.区级社会保险经办机构根据街道（乡镇、管理处）提供的申报资料办理养老保险关系注销手续；</w:t>
      </w:r>
    </w:p>
    <w:p w14:paraId="723C4A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4.社会保险经办机构可通过数据共享方式审核有效身份信息、死亡证明；无法通过数据共享核验的，可实行告知承诺制办理；对因下落不明被人民法院宣告死亡的，死亡日期以人民法院宣告死亡判决日期为准。</w:t>
      </w:r>
    </w:p>
    <w:p w14:paraId="56C367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sectPr>
          <w:pgSz w:w="11880" w:h="16820"/>
          <w:pgMar w:top="1429" w:right="1502" w:bottom="1429" w:left="1504" w:header="0" w:footer="893" w:gutter="0"/>
          <w:cols w:space="720" w:num="1"/>
        </w:sectPr>
      </w:pPr>
      <w:r>
        <w:rPr>
          <w:rFonts w:hint="eastAsia" w:ascii="仿宋_GB2312" w:hAnsi="仿宋_GB2312" w:eastAsia="仿宋_GB2312" w:cs="仿宋_GB2312"/>
          <w:snapToGrid/>
          <w:kern w:val="2"/>
          <w:sz w:val="32"/>
          <w:szCs w:val="32"/>
          <w:lang w:eastAsia="zh-CN"/>
        </w:rPr>
        <w:t>5.区级社会保险经办机构审核确认合格的，于次月底前将丧葬补助金发放至补助对象的社会保障卡银行账户。</w:t>
      </w:r>
    </w:p>
    <w:p w14:paraId="5BE7079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附件2：</w:t>
      </w:r>
    </w:p>
    <w:p w14:paraId="7568E5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kern w:val="2"/>
          <w:sz w:val="44"/>
          <w:szCs w:val="44"/>
          <w:lang w:val="en-US" w:eastAsia="zh-CN"/>
        </w:rPr>
      </w:pPr>
      <w:r>
        <w:rPr>
          <w:rFonts w:hint="eastAsia" w:ascii="方正小标宋简体" w:hAnsi="方正小标宋简体" w:eastAsia="方正小标宋简体" w:cs="方正小标宋简体"/>
          <w:snapToGrid/>
          <w:kern w:val="2"/>
          <w:sz w:val="44"/>
          <w:szCs w:val="44"/>
          <w:lang w:val="en-US" w:eastAsia="zh-CN"/>
        </w:rPr>
        <w:t>湖南省参加城乡居民基本养老保险低保等特殊困难群体丧葬补助金申领表</w:t>
      </w:r>
    </w:p>
    <w:p w14:paraId="638F3BF5">
      <w:pPr>
        <w:pStyle w:val="2"/>
        <w:spacing w:before="214" w:line="228" w:lineRule="auto"/>
        <w:ind w:left="5164" w:firstLine="696" w:firstLineChars="300"/>
        <w:rPr>
          <w:color w:val="auto"/>
          <w:sz w:val="24"/>
          <w:szCs w:val="24"/>
          <w:lang w:eastAsia="zh-CN"/>
        </w:rPr>
      </w:pPr>
      <w:r>
        <w:rPr>
          <w:color w:val="auto"/>
          <w:spacing w:val="-4"/>
          <w:sz w:val="24"/>
          <w:szCs w:val="24"/>
        </w:rPr>
        <w:t>填表时间：</w:t>
      </w:r>
      <w:r>
        <w:rPr>
          <w:rFonts w:hint="eastAsia"/>
          <w:color w:val="auto"/>
          <w:spacing w:val="-4"/>
          <w:sz w:val="24"/>
          <w:szCs w:val="24"/>
          <w:lang w:val="en-US" w:eastAsia="zh-CN"/>
        </w:rPr>
        <w:t xml:space="preserve">     </w:t>
      </w:r>
      <w:r>
        <w:rPr>
          <w:color w:val="auto"/>
          <w:spacing w:val="-4"/>
          <w:sz w:val="24"/>
          <w:szCs w:val="24"/>
        </w:rPr>
        <w:t>年</w:t>
      </w:r>
      <w:r>
        <w:rPr>
          <w:rFonts w:hint="eastAsia"/>
          <w:color w:val="auto"/>
          <w:spacing w:val="-4"/>
          <w:sz w:val="24"/>
          <w:szCs w:val="24"/>
          <w:lang w:val="en-US" w:eastAsia="zh-CN"/>
        </w:rPr>
        <w:t xml:space="preserve">   </w:t>
      </w:r>
      <w:r>
        <w:rPr>
          <w:color w:val="auto"/>
          <w:spacing w:val="-4"/>
          <w:sz w:val="24"/>
          <w:szCs w:val="24"/>
        </w:rPr>
        <w:t>月</w:t>
      </w:r>
      <w:r>
        <w:rPr>
          <w:rFonts w:hint="eastAsia"/>
          <w:color w:val="auto"/>
          <w:spacing w:val="-4"/>
          <w:sz w:val="24"/>
          <w:szCs w:val="24"/>
          <w:lang w:eastAsia="zh-CN"/>
        </w:rPr>
        <w:t xml:space="preserve">   日</w:t>
      </w:r>
    </w:p>
    <w:p w14:paraId="65393242">
      <w:pPr>
        <w:spacing w:line="96" w:lineRule="auto"/>
        <w:rPr>
          <w:color w:val="auto"/>
          <w:sz w:val="2"/>
        </w:rPr>
      </w:pPr>
    </w:p>
    <w:tbl>
      <w:tblPr>
        <w:tblStyle w:val="8"/>
        <w:tblW w:w="91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1109"/>
        <w:gridCol w:w="1318"/>
        <w:gridCol w:w="1252"/>
        <w:gridCol w:w="1860"/>
        <w:gridCol w:w="1622"/>
        <w:gridCol w:w="1084"/>
      </w:tblGrid>
      <w:tr w14:paraId="36532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54" w:type="dxa"/>
            <w:vMerge w:val="restart"/>
            <w:tcBorders>
              <w:bottom w:val="nil"/>
            </w:tcBorders>
          </w:tcPr>
          <w:p w14:paraId="70F2563A">
            <w:pPr>
              <w:spacing w:line="313" w:lineRule="auto"/>
              <w:rPr>
                <w:color w:val="auto"/>
              </w:rPr>
            </w:pPr>
          </w:p>
          <w:p w14:paraId="1FA511DF">
            <w:pPr>
              <w:spacing w:line="313" w:lineRule="auto"/>
              <w:rPr>
                <w:color w:val="auto"/>
              </w:rPr>
            </w:pPr>
          </w:p>
          <w:p w14:paraId="10DA8717">
            <w:pPr>
              <w:pStyle w:val="9"/>
              <w:spacing w:before="72" w:line="221" w:lineRule="auto"/>
              <w:ind w:left="138"/>
              <w:rPr>
                <w:color w:val="auto"/>
              </w:rPr>
            </w:pPr>
            <w:r>
              <w:rPr>
                <w:b/>
                <w:bCs/>
                <w:color w:val="auto"/>
                <w:spacing w:val="-5"/>
              </w:rPr>
              <w:t>死亡人</w:t>
            </w:r>
          </w:p>
          <w:p w14:paraId="5EBD721B">
            <w:pPr>
              <w:pStyle w:val="9"/>
              <w:spacing w:before="45" w:line="272" w:lineRule="auto"/>
              <w:ind w:left="248" w:right="154" w:hanging="110"/>
              <w:rPr>
                <w:color w:val="auto"/>
              </w:rPr>
            </w:pPr>
            <w:r>
              <w:rPr>
                <w:b/>
                <w:bCs/>
                <w:color w:val="auto"/>
                <w:spacing w:val="-6"/>
              </w:rPr>
              <w:t>员基本</w:t>
            </w:r>
            <w:r>
              <w:rPr>
                <w:b/>
                <w:bCs/>
                <w:color w:val="auto"/>
                <w:spacing w:val="-5"/>
              </w:rPr>
              <w:t>情况</w:t>
            </w:r>
          </w:p>
        </w:tc>
        <w:tc>
          <w:tcPr>
            <w:tcW w:w="1109" w:type="dxa"/>
          </w:tcPr>
          <w:p w14:paraId="487D1660">
            <w:pPr>
              <w:pStyle w:val="9"/>
              <w:spacing w:before="174" w:line="219" w:lineRule="auto"/>
              <w:ind w:left="320"/>
              <w:rPr>
                <w:color w:val="auto"/>
              </w:rPr>
            </w:pPr>
            <w:r>
              <w:rPr>
                <w:color w:val="auto"/>
                <w:spacing w:val="-5"/>
              </w:rPr>
              <w:t>姓名</w:t>
            </w:r>
          </w:p>
        </w:tc>
        <w:tc>
          <w:tcPr>
            <w:tcW w:w="1318" w:type="dxa"/>
          </w:tcPr>
          <w:p w14:paraId="166373CB">
            <w:pPr>
              <w:rPr>
                <w:color w:val="auto"/>
              </w:rPr>
            </w:pPr>
          </w:p>
        </w:tc>
        <w:tc>
          <w:tcPr>
            <w:tcW w:w="1252" w:type="dxa"/>
          </w:tcPr>
          <w:p w14:paraId="5B295146">
            <w:pPr>
              <w:pStyle w:val="9"/>
              <w:spacing w:before="174" w:line="219" w:lineRule="auto"/>
              <w:ind w:left="123"/>
              <w:rPr>
                <w:color w:val="auto"/>
              </w:rPr>
            </w:pPr>
            <w:r>
              <w:rPr>
                <w:color w:val="auto"/>
                <w:spacing w:val="2"/>
              </w:rPr>
              <w:t>身份证号码</w:t>
            </w:r>
          </w:p>
        </w:tc>
        <w:tc>
          <w:tcPr>
            <w:tcW w:w="4566" w:type="dxa"/>
            <w:gridSpan w:val="3"/>
          </w:tcPr>
          <w:p w14:paraId="7B185D7D">
            <w:pPr>
              <w:rPr>
                <w:color w:val="auto"/>
              </w:rPr>
            </w:pPr>
          </w:p>
        </w:tc>
      </w:tr>
      <w:tr w14:paraId="1E996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54" w:type="dxa"/>
            <w:vMerge w:val="continue"/>
            <w:tcBorders>
              <w:top w:val="nil"/>
              <w:bottom w:val="nil"/>
            </w:tcBorders>
          </w:tcPr>
          <w:p w14:paraId="680980FE">
            <w:pPr>
              <w:rPr>
                <w:color w:val="auto"/>
              </w:rPr>
            </w:pPr>
          </w:p>
        </w:tc>
        <w:tc>
          <w:tcPr>
            <w:tcW w:w="1109" w:type="dxa"/>
          </w:tcPr>
          <w:p w14:paraId="7C9539C4">
            <w:pPr>
              <w:pStyle w:val="9"/>
              <w:spacing w:before="210" w:line="220" w:lineRule="auto"/>
              <w:ind w:left="320"/>
              <w:rPr>
                <w:color w:val="auto"/>
              </w:rPr>
            </w:pPr>
            <w:r>
              <w:rPr>
                <w:color w:val="auto"/>
                <w:spacing w:val="9"/>
              </w:rPr>
              <w:t>性别</w:t>
            </w:r>
          </w:p>
        </w:tc>
        <w:tc>
          <w:tcPr>
            <w:tcW w:w="1318" w:type="dxa"/>
          </w:tcPr>
          <w:p w14:paraId="059FD505">
            <w:pPr>
              <w:rPr>
                <w:color w:val="auto"/>
              </w:rPr>
            </w:pPr>
          </w:p>
        </w:tc>
        <w:tc>
          <w:tcPr>
            <w:tcW w:w="1252" w:type="dxa"/>
          </w:tcPr>
          <w:p w14:paraId="31155DB3">
            <w:pPr>
              <w:pStyle w:val="9"/>
              <w:spacing w:before="210" w:line="219" w:lineRule="auto"/>
              <w:ind w:left="233"/>
              <w:rPr>
                <w:color w:val="auto"/>
              </w:rPr>
            </w:pPr>
            <w:r>
              <w:rPr>
                <w:color w:val="auto"/>
                <w:spacing w:val="-2"/>
              </w:rPr>
              <w:t>人员身份</w:t>
            </w:r>
          </w:p>
        </w:tc>
        <w:tc>
          <w:tcPr>
            <w:tcW w:w="4566" w:type="dxa"/>
            <w:gridSpan w:val="3"/>
          </w:tcPr>
          <w:p w14:paraId="222A1A78">
            <w:pPr>
              <w:pStyle w:val="9"/>
              <w:spacing w:before="19" w:line="229" w:lineRule="auto"/>
              <w:ind w:left="245"/>
              <w:rPr>
                <w:color w:val="auto"/>
                <w:lang w:eastAsia="zh-CN"/>
              </w:rPr>
            </w:pPr>
            <w:r>
              <w:rPr>
                <w:color w:val="auto"/>
                <w:spacing w:val="-2"/>
                <w:lang w:eastAsia="zh-CN"/>
              </w:rPr>
              <w:t>口</w:t>
            </w:r>
            <w:r>
              <w:rPr>
                <w:color w:val="auto"/>
                <w:spacing w:val="2"/>
                <w:position w:val="-1"/>
                <w:lang w:eastAsia="zh-CN"/>
              </w:rPr>
              <w:t xml:space="preserve">重度残疾人      </w:t>
            </w:r>
            <w:r>
              <w:rPr>
                <w:color w:val="auto"/>
                <w:spacing w:val="-2"/>
                <w:lang w:eastAsia="zh-CN"/>
              </w:rPr>
              <w:t>口</w:t>
            </w:r>
            <w:r>
              <w:rPr>
                <w:color w:val="auto"/>
                <w:spacing w:val="2"/>
                <w:position w:val="1"/>
                <w:lang w:eastAsia="zh-CN"/>
              </w:rPr>
              <w:t>特困人员</w:t>
            </w:r>
          </w:p>
          <w:p w14:paraId="61D5981C">
            <w:pPr>
              <w:pStyle w:val="9"/>
              <w:spacing w:before="48" w:line="225" w:lineRule="auto"/>
              <w:ind w:left="245"/>
              <w:rPr>
                <w:rFonts w:hint="default"/>
                <w:color w:val="auto"/>
                <w:lang w:val="en-US" w:eastAsia="zh-CN"/>
              </w:rPr>
            </w:pPr>
            <w:bookmarkStart w:id="0" w:name="OLE_LINK3"/>
            <w:r>
              <w:rPr>
                <w:color w:val="auto"/>
                <w:spacing w:val="-2"/>
                <w:lang w:eastAsia="zh-CN"/>
              </w:rPr>
              <w:t>口</w:t>
            </w:r>
            <w:bookmarkEnd w:id="0"/>
            <w:r>
              <w:rPr>
                <w:color w:val="auto"/>
                <w:spacing w:val="3"/>
                <w:lang w:eastAsia="zh-CN"/>
              </w:rPr>
              <w:t>低保对象</w:t>
            </w:r>
            <w:r>
              <w:rPr>
                <w:rFonts w:hint="eastAsia"/>
                <w:color w:val="auto"/>
                <w:spacing w:val="3"/>
                <w:lang w:val="en-US" w:eastAsia="zh-CN"/>
              </w:rPr>
              <w:t xml:space="preserve">        </w:t>
            </w:r>
            <w:r>
              <w:rPr>
                <w:color w:val="auto"/>
                <w:spacing w:val="-2"/>
                <w:lang w:eastAsia="zh-CN"/>
              </w:rPr>
              <w:t>口</w:t>
            </w:r>
            <w:r>
              <w:rPr>
                <w:color w:val="auto"/>
                <w:spacing w:val="3"/>
                <w:lang w:eastAsia="zh-CN"/>
              </w:rPr>
              <w:t>返贫致贫人</w:t>
            </w:r>
            <w:r>
              <w:rPr>
                <w:rFonts w:hint="eastAsia"/>
                <w:color w:val="auto"/>
                <w:spacing w:val="3"/>
                <w:lang w:val="en-US" w:eastAsia="zh-CN"/>
              </w:rPr>
              <w:t>员</w:t>
            </w:r>
          </w:p>
        </w:tc>
      </w:tr>
      <w:tr w14:paraId="3C1CA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54" w:type="dxa"/>
            <w:vMerge w:val="continue"/>
            <w:tcBorders>
              <w:top w:val="nil"/>
              <w:bottom w:val="nil"/>
            </w:tcBorders>
          </w:tcPr>
          <w:p w14:paraId="4F14C237">
            <w:pPr>
              <w:rPr>
                <w:color w:val="auto"/>
                <w:lang w:eastAsia="zh-CN"/>
              </w:rPr>
            </w:pPr>
          </w:p>
        </w:tc>
        <w:tc>
          <w:tcPr>
            <w:tcW w:w="1109" w:type="dxa"/>
            <w:vMerge w:val="restart"/>
            <w:tcBorders>
              <w:bottom w:val="nil"/>
            </w:tcBorders>
          </w:tcPr>
          <w:p w14:paraId="66179C11">
            <w:pPr>
              <w:spacing w:line="331" w:lineRule="auto"/>
              <w:rPr>
                <w:color w:val="auto"/>
                <w:lang w:eastAsia="zh-CN"/>
              </w:rPr>
            </w:pPr>
          </w:p>
          <w:p w14:paraId="667E844D">
            <w:pPr>
              <w:pStyle w:val="9"/>
              <w:spacing w:before="71" w:line="222" w:lineRule="auto"/>
              <w:ind w:left="100"/>
              <w:rPr>
                <w:color w:val="auto"/>
              </w:rPr>
            </w:pPr>
            <w:r>
              <w:rPr>
                <w:color w:val="auto"/>
                <w:spacing w:val="5"/>
              </w:rPr>
              <w:t>终止原因</w:t>
            </w:r>
          </w:p>
        </w:tc>
        <w:tc>
          <w:tcPr>
            <w:tcW w:w="2570" w:type="dxa"/>
            <w:gridSpan w:val="2"/>
            <w:vMerge w:val="restart"/>
            <w:tcBorders>
              <w:bottom w:val="nil"/>
            </w:tcBorders>
          </w:tcPr>
          <w:p w14:paraId="53916598">
            <w:pPr>
              <w:spacing w:line="325" w:lineRule="auto"/>
              <w:rPr>
                <w:color w:val="auto"/>
              </w:rPr>
            </w:pPr>
          </w:p>
          <w:p w14:paraId="630EF5DF">
            <w:pPr>
              <w:pStyle w:val="9"/>
              <w:spacing w:before="72" w:line="218" w:lineRule="auto"/>
              <w:ind w:firstLine="216" w:firstLineChars="100"/>
              <w:rPr>
                <w:color w:val="auto"/>
              </w:rPr>
            </w:pPr>
            <w:r>
              <w:rPr>
                <w:color w:val="auto"/>
                <w:spacing w:val="-2"/>
                <w:lang w:eastAsia="zh-CN"/>
              </w:rPr>
              <w:t>口</w:t>
            </w:r>
            <w:r>
              <w:rPr>
                <w:color w:val="auto"/>
                <w:spacing w:val="-2"/>
              </w:rPr>
              <w:t>死亡</w:t>
            </w:r>
            <w:r>
              <w:rPr>
                <w:rFonts w:hint="eastAsia"/>
                <w:color w:val="auto"/>
                <w:spacing w:val="-2"/>
                <w:lang w:eastAsia="zh-CN"/>
              </w:rPr>
              <w:t>口</w:t>
            </w:r>
            <w:r>
              <w:rPr>
                <w:color w:val="auto"/>
                <w:spacing w:val="-2"/>
              </w:rPr>
              <w:t>法院宣告死亡</w:t>
            </w:r>
          </w:p>
        </w:tc>
        <w:tc>
          <w:tcPr>
            <w:tcW w:w="1860" w:type="dxa"/>
          </w:tcPr>
          <w:p w14:paraId="3AC9E335">
            <w:pPr>
              <w:pStyle w:val="9"/>
              <w:spacing w:before="151" w:line="219" w:lineRule="auto"/>
              <w:ind w:left="366"/>
              <w:rPr>
                <w:color w:val="auto"/>
              </w:rPr>
            </w:pPr>
            <w:r>
              <w:rPr>
                <w:color w:val="auto"/>
                <w:spacing w:val="4"/>
              </w:rPr>
              <w:t>人员类别</w:t>
            </w:r>
          </w:p>
        </w:tc>
        <w:tc>
          <w:tcPr>
            <w:tcW w:w="2706" w:type="dxa"/>
            <w:gridSpan w:val="2"/>
          </w:tcPr>
          <w:p w14:paraId="6C771367">
            <w:pPr>
              <w:pStyle w:val="9"/>
              <w:spacing w:before="151" w:line="219" w:lineRule="auto"/>
              <w:ind w:right="2"/>
              <w:jc w:val="right"/>
              <w:rPr>
                <w:color w:val="auto"/>
                <w:lang w:eastAsia="zh-CN"/>
              </w:rPr>
            </w:pPr>
            <w:bookmarkStart w:id="1" w:name="OLE_LINK2"/>
            <w:bookmarkStart w:id="2" w:name="OLE_LINK1"/>
            <w:r>
              <w:rPr>
                <w:color w:val="auto"/>
                <w:spacing w:val="-2"/>
                <w:lang w:eastAsia="zh-CN"/>
              </w:rPr>
              <w:t>口</w:t>
            </w:r>
            <w:bookmarkEnd w:id="1"/>
            <w:bookmarkEnd w:id="2"/>
            <w:r>
              <w:rPr>
                <w:color w:val="auto"/>
                <w:spacing w:val="-2"/>
                <w:lang w:eastAsia="zh-CN"/>
              </w:rPr>
              <w:t>缴费人员口待遇领取人员</w:t>
            </w:r>
          </w:p>
        </w:tc>
      </w:tr>
      <w:tr w14:paraId="6053A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954" w:type="dxa"/>
            <w:vMerge w:val="continue"/>
            <w:tcBorders>
              <w:top w:val="nil"/>
            </w:tcBorders>
          </w:tcPr>
          <w:p w14:paraId="5CCCC1EB">
            <w:pPr>
              <w:rPr>
                <w:color w:val="auto"/>
                <w:lang w:eastAsia="zh-CN"/>
              </w:rPr>
            </w:pPr>
          </w:p>
        </w:tc>
        <w:tc>
          <w:tcPr>
            <w:tcW w:w="1109" w:type="dxa"/>
            <w:vMerge w:val="continue"/>
            <w:tcBorders>
              <w:top w:val="nil"/>
            </w:tcBorders>
          </w:tcPr>
          <w:p w14:paraId="00D2E0EF">
            <w:pPr>
              <w:rPr>
                <w:color w:val="auto"/>
                <w:lang w:eastAsia="zh-CN"/>
              </w:rPr>
            </w:pPr>
          </w:p>
        </w:tc>
        <w:tc>
          <w:tcPr>
            <w:tcW w:w="2570" w:type="dxa"/>
            <w:gridSpan w:val="2"/>
            <w:vMerge w:val="continue"/>
            <w:tcBorders>
              <w:top w:val="nil"/>
            </w:tcBorders>
          </w:tcPr>
          <w:p w14:paraId="21ED7279">
            <w:pPr>
              <w:rPr>
                <w:color w:val="auto"/>
                <w:lang w:eastAsia="zh-CN"/>
              </w:rPr>
            </w:pPr>
          </w:p>
        </w:tc>
        <w:tc>
          <w:tcPr>
            <w:tcW w:w="1860" w:type="dxa"/>
          </w:tcPr>
          <w:p w14:paraId="48B4CEB9">
            <w:pPr>
              <w:pStyle w:val="9"/>
              <w:spacing w:before="141" w:line="220" w:lineRule="auto"/>
              <w:ind w:left="86"/>
              <w:rPr>
                <w:color w:val="auto"/>
              </w:rPr>
            </w:pPr>
            <w:r>
              <w:rPr>
                <w:color w:val="auto"/>
                <w:spacing w:val="2"/>
              </w:rPr>
              <w:t>死亡/失踪日期</w:t>
            </w:r>
          </w:p>
        </w:tc>
        <w:tc>
          <w:tcPr>
            <w:tcW w:w="2706" w:type="dxa"/>
            <w:gridSpan w:val="2"/>
          </w:tcPr>
          <w:p w14:paraId="2F87847C">
            <w:pPr>
              <w:pStyle w:val="9"/>
              <w:spacing w:before="133" w:line="219" w:lineRule="auto"/>
              <w:ind w:firstLine="1020" w:firstLineChars="500"/>
              <w:rPr>
                <w:color w:val="auto"/>
              </w:rPr>
            </w:pPr>
            <w:r>
              <w:rPr>
                <w:color w:val="auto"/>
                <w:spacing w:val="-8"/>
              </w:rPr>
              <w:t>年</w:t>
            </w:r>
            <w:r>
              <w:rPr>
                <w:rFonts w:hint="eastAsia"/>
                <w:color w:val="auto"/>
                <w:spacing w:val="-8"/>
                <w:lang w:val="en-US" w:eastAsia="zh-CN"/>
              </w:rPr>
              <w:t xml:space="preserve">  </w:t>
            </w:r>
            <w:r>
              <w:rPr>
                <w:color w:val="auto"/>
                <w:spacing w:val="-8"/>
              </w:rPr>
              <w:t>月</w:t>
            </w:r>
            <w:r>
              <w:rPr>
                <w:rFonts w:hint="eastAsia"/>
                <w:color w:val="auto"/>
                <w:spacing w:val="-8"/>
                <w:lang w:val="en-US" w:eastAsia="zh-CN"/>
              </w:rPr>
              <w:t xml:space="preserve">   </w:t>
            </w:r>
            <w:r>
              <w:rPr>
                <w:color w:val="auto"/>
                <w:spacing w:val="-8"/>
              </w:rPr>
              <w:t>日</w:t>
            </w:r>
          </w:p>
        </w:tc>
      </w:tr>
      <w:tr w14:paraId="0F9D4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954" w:type="dxa"/>
            <w:vMerge w:val="restart"/>
            <w:tcBorders>
              <w:bottom w:val="nil"/>
            </w:tcBorders>
          </w:tcPr>
          <w:p w14:paraId="513FFB09">
            <w:pPr>
              <w:pStyle w:val="9"/>
              <w:spacing w:before="268" w:line="219" w:lineRule="auto"/>
              <w:ind w:left="138"/>
              <w:rPr>
                <w:color w:val="auto"/>
              </w:rPr>
            </w:pPr>
            <w:r>
              <w:rPr>
                <w:b/>
                <w:bCs/>
                <w:color w:val="auto"/>
                <w:spacing w:val="-2"/>
              </w:rPr>
              <w:t>申请人</w:t>
            </w:r>
          </w:p>
          <w:p w14:paraId="12C5C5D2">
            <w:pPr>
              <w:pStyle w:val="9"/>
              <w:spacing w:before="109" w:line="219" w:lineRule="auto"/>
              <w:ind w:left="248"/>
              <w:rPr>
                <w:color w:val="auto"/>
              </w:rPr>
            </w:pPr>
            <w:r>
              <w:rPr>
                <w:b/>
                <w:bCs/>
                <w:color w:val="auto"/>
                <w:spacing w:val="-5"/>
              </w:rPr>
              <w:t>信息</w:t>
            </w:r>
          </w:p>
        </w:tc>
        <w:tc>
          <w:tcPr>
            <w:tcW w:w="1109" w:type="dxa"/>
            <w:vAlign w:val="center"/>
          </w:tcPr>
          <w:p w14:paraId="1B0599A1">
            <w:pPr>
              <w:pStyle w:val="9"/>
              <w:spacing w:before="182" w:line="219" w:lineRule="auto"/>
              <w:ind w:left="320"/>
              <w:jc w:val="both"/>
              <w:rPr>
                <w:color w:val="auto"/>
              </w:rPr>
            </w:pPr>
            <w:r>
              <w:rPr>
                <w:color w:val="auto"/>
                <w:spacing w:val="14"/>
              </w:rPr>
              <w:t>姓名</w:t>
            </w:r>
          </w:p>
        </w:tc>
        <w:tc>
          <w:tcPr>
            <w:tcW w:w="1318" w:type="dxa"/>
            <w:vAlign w:val="center"/>
          </w:tcPr>
          <w:p w14:paraId="436F728D">
            <w:pPr>
              <w:jc w:val="center"/>
              <w:rPr>
                <w:rFonts w:hint="eastAsia" w:eastAsia="宋体"/>
                <w:color w:val="auto"/>
                <w:lang w:val="en-US" w:eastAsia="zh-CN"/>
              </w:rPr>
            </w:pPr>
          </w:p>
          <w:p w14:paraId="51A7AA63">
            <w:pPr>
              <w:jc w:val="center"/>
              <w:rPr>
                <w:rFonts w:hint="eastAsia" w:eastAsia="宋体"/>
                <w:color w:val="auto"/>
                <w:lang w:val="en-US" w:eastAsia="zh-CN"/>
              </w:rPr>
            </w:pPr>
          </w:p>
          <w:p w14:paraId="28F6C0E3">
            <w:pPr>
              <w:jc w:val="center"/>
              <w:rPr>
                <w:rFonts w:hint="eastAsia" w:eastAsia="宋体"/>
                <w:color w:val="auto"/>
                <w:lang w:val="en-US" w:eastAsia="zh-CN"/>
              </w:rPr>
            </w:pPr>
          </w:p>
        </w:tc>
        <w:tc>
          <w:tcPr>
            <w:tcW w:w="1252" w:type="dxa"/>
            <w:vAlign w:val="center"/>
          </w:tcPr>
          <w:p w14:paraId="13249587">
            <w:pPr>
              <w:pStyle w:val="9"/>
              <w:spacing w:before="182" w:line="219" w:lineRule="auto"/>
              <w:jc w:val="center"/>
              <w:rPr>
                <w:color w:val="auto"/>
              </w:rPr>
            </w:pPr>
            <w:r>
              <w:rPr>
                <w:color w:val="auto"/>
                <w:spacing w:val="2"/>
              </w:rPr>
              <w:t>身份证号码</w:t>
            </w:r>
          </w:p>
        </w:tc>
        <w:tc>
          <w:tcPr>
            <w:tcW w:w="1860" w:type="dxa"/>
            <w:vAlign w:val="center"/>
          </w:tcPr>
          <w:p w14:paraId="3E860E89">
            <w:pPr>
              <w:jc w:val="center"/>
              <w:rPr>
                <w:color w:val="auto"/>
              </w:rPr>
            </w:pPr>
          </w:p>
        </w:tc>
        <w:tc>
          <w:tcPr>
            <w:tcW w:w="1622" w:type="dxa"/>
            <w:vAlign w:val="center"/>
          </w:tcPr>
          <w:p w14:paraId="5DDA3950">
            <w:pPr>
              <w:pStyle w:val="9"/>
              <w:spacing w:before="182" w:line="220" w:lineRule="auto"/>
              <w:ind w:right="9"/>
              <w:jc w:val="center"/>
              <w:rPr>
                <w:color w:val="auto"/>
              </w:rPr>
            </w:pPr>
            <w:r>
              <w:rPr>
                <w:color w:val="auto"/>
                <w:spacing w:val="2"/>
              </w:rPr>
              <w:t>与死亡人员关系</w:t>
            </w:r>
          </w:p>
        </w:tc>
        <w:tc>
          <w:tcPr>
            <w:tcW w:w="1084" w:type="dxa"/>
          </w:tcPr>
          <w:p w14:paraId="72743ADF">
            <w:pPr>
              <w:rPr>
                <w:color w:val="auto"/>
              </w:rPr>
            </w:pPr>
          </w:p>
        </w:tc>
      </w:tr>
      <w:tr w14:paraId="1F7ED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54" w:type="dxa"/>
            <w:vMerge w:val="continue"/>
            <w:tcBorders>
              <w:top w:val="nil"/>
            </w:tcBorders>
          </w:tcPr>
          <w:p w14:paraId="352D0963">
            <w:pPr>
              <w:rPr>
                <w:color w:val="auto"/>
              </w:rPr>
            </w:pPr>
          </w:p>
        </w:tc>
        <w:tc>
          <w:tcPr>
            <w:tcW w:w="1109" w:type="dxa"/>
          </w:tcPr>
          <w:p w14:paraId="38FCD1F0">
            <w:pPr>
              <w:pStyle w:val="9"/>
              <w:spacing w:before="163" w:line="220" w:lineRule="auto"/>
              <w:ind w:left="100"/>
              <w:rPr>
                <w:color w:val="auto"/>
              </w:rPr>
            </w:pPr>
            <w:r>
              <w:rPr>
                <w:color w:val="auto"/>
                <w:spacing w:val="2"/>
              </w:rPr>
              <w:t>居住地址</w:t>
            </w:r>
          </w:p>
        </w:tc>
        <w:tc>
          <w:tcPr>
            <w:tcW w:w="2570" w:type="dxa"/>
            <w:gridSpan w:val="2"/>
          </w:tcPr>
          <w:p w14:paraId="05C9FEAE">
            <w:pPr>
              <w:rPr>
                <w:color w:val="auto"/>
              </w:rPr>
            </w:pPr>
          </w:p>
        </w:tc>
        <w:tc>
          <w:tcPr>
            <w:tcW w:w="1860" w:type="dxa"/>
          </w:tcPr>
          <w:p w14:paraId="06FA1E52">
            <w:pPr>
              <w:pStyle w:val="9"/>
              <w:spacing w:before="165" w:line="221" w:lineRule="auto"/>
              <w:ind w:left="366"/>
              <w:rPr>
                <w:color w:val="auto"/>
              </w:rPr>
            </w:pPr>
            <w:r>
              <w:rPr>
                <w:color w:val="auto"/>
                <w:spacing w:val="-2"/>
              </w:rPr>
              <w:t>联系电话</w:t>
            </w:r>
          </w:p>
        </w:tc>
        <w:tc>
          <w:tcPr>
            <w:tcW w:w="2706" w:type="dxa"/>
            <w:gridSpan w:val="2"/>
          </w:tcPr>
          <w:p w14:paraId="5F1EC62A">
            <w:pPr>
              <w:rPr>
                <w:color w:val="auto"/>
              </w:rPr>
            </w:pPr>
          </w:p>
        </w:tc>
      </w:tr>
      <w:tr w14:paraId="6E5D5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3381" w:type="dxa"/>
            <w:gridSpan w:val="3"/>
          </w:tcPr>
          <w:p w14:paraId="2A88B13E">
            <w:pPr>
              <w:pStyle w:val="9"/>
              <w:spacing w:before="194" w:line="219" w:lineRule="auto"/>
              <w:ind w:left="375"/>
              <w:rPr>
                <w:color w:val="auto"/>
                <w:lang w:eastAsia="zh-CN"/>
              </w:rPr>
            </w:pPr>
            <w:r>
              <w:rPr>
                <w:color w:val="auto"/>
                <w:spacing w:val="3"/>
                <w:lang w:eastAsia="zh-CN"/>
              </w:rPr>
              <w:t>丧葬补助金发放账号</w:t>
            </w:r>
            <w:r>
              <w:rPr>
                <w:rFonts w:hint="eastAsia"/>
                <w:color w:val="auto"/>
                <w:spacing w:val="3"/>
                <w:lang w:eastAsia="zh-CN"/>
              </w:rPr>
              <w:t>（</w:t>
            </w:r>
            <w:r>
              <w:rPr>
                <w:color w:val="auto"/>
                <w:spacing w:val="3"/>
                <w:lang w:eastAsia="zh-CN"/>
              </w:rPr>
              <w:t>卡号</w:t>
            </w:r>
            <w:r>
              <w:rPr>
                <w:rFonts w:hint="eastAsia"/>
                <w:color w:val="auto"/>
                <w:spacing w:val="3"/>
                <w:lang w:eastAsia="zh-CN"/>
              </w:rPr>
              <w:t>）</w:t>
            </w:r>
          </w:p>
        </w:tc>
        <w:tc>
          <w:tcPr>
            <w:tcW w:w="5818" w:type="dxa"/>
            <w:gridSpan w:val="4"/>
          </w:tcPr>
          <w:p w14:paraId="3E21E68A">
            <w:pPr>
              <w:rPr>
                <w:color w:val="auto"/>
                <w:lang w:eastAsia="zh-CN"/>
              </w:rPr>
            </w:pPr>
          </w:p>
        </w:tc>
      </w:tr>
      <w:tr w14:paraId="4DC6B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7" w:hRule="atLeast"/>
        </w:trPr>
        <w:tc>
          <w:tcPr>
            <w:tcW w:w="9199" w:type="dxa"/>
            <w:gridSpan w:val="7"/>
          </w:tcPr>
          <w:p w14:paraId="56EC8AB0">
            <w:pPr>
              <w:pStyle w:val="9"/>
              <w:spacing w:before="48" w:line="218" w:lineRule="auto"/>
              <w:ind w:left="4288"/>
              <w:rPr>
                <w:color w:val="auto"/>
                <w:lang w:eastAsia="zh-CN"/>
              </w:rPr>
            </w:pPr>
            <w:r>
              <w:rPr>
                <w:b/>
                <w:bCs/>
                <w:color w:val="auto"/>
                <w:lang w:eastAsia="zh-CN"/>
              </w:rPr>
              <w:t>告知书</w:t>
            </w:r>
          </w:p>
          <w:p w14:paraId="3310F1C5">
            <w:pPr>
              <w:pStyle w:val="9"/>
              <w:spacing w:before="74" w:line="277" w:lineRule="auto"/>
              <w:ind w:left="14" w:right="166" w:firstLine="409"/>
              <w:rPr>
                <w:color w:val="auto"/>
                <w:lang w:eastAsia="zh-CN"/>
              </w:rPr>
            </w:pPr>
            <w:r>
              <w:rPr>
                <w:color w:val="auto"/>
                <w:lang w:eastAsia="zh-CN"/>
              </w:rPr>
              <w:t>特殊困难群体参保人员死亡后，同时符合职工养老保险、工伤保险、失业保险丧葬补助和城乡居民养老保险特殊困难群体丧葬补助等丧葬补助条件的，其指定</w:t>
            </w:r>
            <w:r>
              <w:rPr>
                <w:color w:val="auto"/>
                <w:spacing w:val="-1"/>
                <w:lang w:eastAsia="zh-CN"/>
              </w:rPr>
              <w:t>受益人或法定继承人选</w:t>
            </w:r>
          </w:p>
          <w:p w14:paraId="0069F61B">
            <w:pPr>
              <w:pStyle w:val="9"/>
              <w:spacing w:line="219" w:lineRule="auto"/>
              <w:ind w:left="14"/>
              <w:rPr>
                <w:color w:val="auto"/>
                <w:lang w:eastAsia="zh-CN"/>
              </w:rPr>
            </w:pPr>
            <w:r>
              <w:rPr>
                <w:color w:val="auto"/>
                <w:lang w:eastAsia="zh-CN"/>
              </w:rPr>
              <w:t>择其中一种领取，不得重复领取。</w:t>
            </w:r>
          </w:p>
          <w:p w14:paraId="69B8684A">
            <w:pPr>
              <w:pStyle w:val="9"/>
              <w:spacing w:before="87" w:line="218" w:lineRule="auto"/>
              <w:ind w:left="464"/>
              <w:rPr>
                <w:color w:val="auto"/>
                <w:lang w:eastAsia="zh-CN"/>
              </w:rPr>
            </w:pPr>
            <w:r>
              <w:rPr>
                <w:color w:val="auto"/>
                <w:lang w:eastAsia="zh-CN"/>
              </w:rPr>
              <w:t>本人已认真阅读告知内容，对社会保险公共服务事项证明义务和办理条件已充分知晓。</w:t>
            </w:r>
          </w:p>
          <w:p w14:paraId="1BEC23A1">
            <w:pPr>
              <w:spacing w:line="328" w:lineRule="auto"/>
              <w:rPr>
                <w:color w:val="auto"/>
                <w:lang w:eastAsia="zh-CN"/>
              </w:rPr>
            </w:pPr>
          </w:p>
          <w:p w14:paraId="7ED06CAB">
            <w:pPr>
              <w:pStyle w:val="9"/>
              <w:spacing w:before="72" w:line="219" w:lineRule="auto"/>
              <w:ind w:left="5104"/>
              <w:rPr>
                <w:color w:val="auto"/>
                <w:spacing w:val="5"/>
              </w:rPr>
            </w:pPr>
            <w:r>
              <w:rPr>
                <w:color w:val="auto"/>
                <w:spacing w:val="5"/>
              </w:rPr>
              <w:t>申领人</w:t>
            </w:r>
            <w:r>
              <w:rPr>
                <w:rFonts w:hint="eastAsia"/>
                <w:color w:val="auto"/>
                <w:spacing w:val="5"/>
                <w:lang w:eastAsia="zh-CN"/>
              </w:rPr>
              <w:t>（</w:t>
            </w:r>
            <w:r>
              <w:rPr>
                <w:color w:val="auto"/>
                <w:spacing w:val="5"/>
              </w:rPr>
              <w:t>签字</w:t>
            </w:r>
            <w:r>
              <w:rPr>
                <w:rFonts w:hint="eastAsia"/>
                <w:color w:val="auto"/>
                <w:spacing w:val="5"/>
                <w:lang w:eastAsia="zh-CN"/>
              </w:rPr>
              <w:t>）：</w:t>
            </w:r>
          </w:p>
          <w:p w14:paraId="6462CC62">
            <w:pPr>
              <w:pStyle w:val="9"/>
              <w:spacing w:before="72" w:line="219" w:lineRule="auto"/>
              <w:ind w:left="5104"/>
              <w:rPr>
                <w:color w:val="auto"/>
                <w:spacing w:val="5"/>
              </w:rPr>
            </w:pPr>
          </w:p>
          <w:p w14:paraId="66401875">
            <w:pPr>
              <w:pStyle w:val="9"/>
              <w:spacing w:before="69" w:line="219" w:lineRule="auto"/>
              <w:ind w:left="7075"/>
              <w:rPr>
                <w:color w:val="auto"/>
              </w:rPr>
            </w:pPr>
            <w:r>
              <w:rPr>
                <w:color w:val="auto"/>
                <w:spacing w:val="-8"/>
              </w:rPr>
              <w:t>年</w:t>
            </w:r>
            <w:r>
              <w:rPr>
                <w:rFonts w:hint="eastAsia"/>
                <w:color w:val="auto"/>
                <w:spacing w:val="-8"/>
                <w:lang w:val="en-US" w:eastAsia="zh-CN"/>
              </w:rPr>
              <w:t xml:space="preserve">   </w:t>
            </w:r>
            <w:r>
              <w:rPr>
                <w:color w:val="auto"/>
                <w:spacing w:val="-8"/>
              </w:rPr>
              <w:t>月</w:t>
            </w:r>
            <w:r>
              <w:rPr>
                <w:rFonts w:hint="eastAsia"/>
                <w:color w:val="auto"/>
                <w:spacing w:val="-8"/>
                <w:lang w:val="en-US" w:eastAsia="zh-CN"/>
              </w:rPr>
              <w:t xml:space="preserve">   </w:t>
            </w:r>
            <w:r>
              <w:rPr>
                <w:color w:val="auto"/>
                <w:spacing w:val="-8"/>
              </w:rPr>
              <w:t>日</w:t>
            </w:r>
          </w:p>
        </w:tc>
      </w:tr>
      <w:tr w14:paraId="48492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2" w:hRule="atLeast"/>
        </w:trPr>
        <w:tc>
          <w:tcPr>
            <w:tcW w:w="9199" w:type="dxa"/>
            <w:gridSpan w:val="7"/>
          </w:tcPr>
          <w:p w14:paraId="4B935CA8">
            <w:pPr>
              <w:pStyle w:val="9"/>
              <w:spacing w:before="52" w:line="219" w:lineRule="auto"/>
              <w:ind w:left="4288"/>
              <w:rPr>
                <w:color w:val="auto"/>
                <w:lang w:eastAsia="zh-CN"/>
              </w:rPr>
            </w:pPr>
            <w:r>
              <w:rPr>
                <w:b/>
                <w:bCs/>
                <w:color w:val="auto"/>
                <w:spacing w:val="-5"/>
                <w:lang w:eastAsia="zh-CN"/>
              </w:rPr>
              <w:t>承诺书</w:t>
            </w:r>
          </w:p>
          <w:p w14:paraId="0A82B06A">
            <w:pPr>
              <w:pStyle w:val="9"/>
              <w:spacing w:before="61" w:line="286" w:lineRule="auto"/>
              <w:ind w:left="14" w:right="390" w:firstLine="409"/>
              <w:rPr>
                <w:color w:val="auto"/>
                <w:lang w:eastAsia="zh-CN"/>
              </w:rPr>
            </w:pPr>
            <w:r>
              <w:rPr>
                <w:color w:val="auto"/>
                <w:lang w:eastAsia="zh-CN"/>
              </w:rPr>
              <w:t>申领人经指定受益人、法定继承人授权，本人代表全体受益人、法定继承人前来贵经办机构领取城乡居民基本养老保险丧葬补助金，本人承诺如</w:t>
            </w:r>
            <w:r>
              <w:rPr>
                <w:color w:val="auto"/>
                <w:spacing w:val="-1"/>
                <w:lang w:eastAsia="zh-CN"/>
              </w:rPr>
              <w:t>下：</w:t>
            </w:r>
          </w:p>
          <w:p w14:paraId="1344A554">
            <w:pPr>
              <w:pStyle w:val="9"/>
              <w:spacing w:before="1" w:line="263" w:lineRule="auto"/>
              <w:ind w:left="14" w:right="426" w:firstLine="380"/>
              <w:rPr>
                <w:color w:val="auto"/>
                <w:lang w:eastAsia="zh-CN"/>
              </w:rPr>
            </w:pPr>
            <w:r>
              <w:rPr>
                <w:color w:val="auto"/>
                <w:lang w:eastAsia="zh-CN"/>
              </w:rPr>
              <w:t>1.以上填写内容和提交的信息均真实、准确、完整、有效，并将代领的城乡居民养老保</w:t>
            </w:r>
            <w:r>
              <w:rPr>
                <w:color w:val="auto"/>
                <w:spacing w:val="-1"/>
                <w:lang w:eastAsia="zh-CN"/>
              </w:rPr>
              <w:t>险丧葬补助金及时告知其他受益人、继承人，</w:t>
            </w:r>
          </w:p>
          <w:p w14:paraId="619B7636">
            <w:pPr>
              <w:pStyle w:val="9"/>
              <w:spacing w:before="79" w:line="257" w:lineRule="auto"/>
              <w:ind w:left="14" w:right="424" w:firstLine="380"/>
              <w:rPr>
                <w:color w:val="auto"/>
                <w:spacing w:val="-1"/>
                <w:lang w:eastAsia="zh-CN"/>
              </w:rPr>
            </w:pPr>
            <w:r>
              <w:rPr>
                <w:color w:val="auto"/>
                <w:lang w:eastAsia="zh-CN"/>
              </w:rPr>
              <w:t>2.如因未及时告知或未按法律规定合理分配给其他受益人、继承人等原因，导致以上款</w:t>
            </w:r>
            <w:r>
              <w:rPr>
                <w:color w:val="auto"/>
                <w:spacing w:val="-1"/>
                <w:lang w:eastAsia="zh-CN"/>
              </w:rPr>
              <w:t>项出现的各种纠纷，由本人承担一切法律责任。</w:t>
            </w:r>
          </w:p>
          <w:p w14:paraId="6CB783D6">
            <w:pPr>
              <w:pStyle w:val="9"/>
              <w:spacing w:before="79" w:line="257" w:lineRule="auto"/>
              <w:ind w:left="14" w:right="424" w:firstLine="380"/>
              <w:rPr>
                <w:color w:val="auto"/>
                <w:spacing w:val="-1"/>
                <w:lang w:eastAsia="zh-CN"/>
              </w:rPr>
            </w:pPr>
          </w:p>
          <w:p w14:paraId="6BB9DC7E">
            <w:pPr>
              <w:pStyle w:val="9"/>
              <w:spacing w:before="80" w:line="219" w:lineRule="auto"/>
              <w:ind w:left="5104"/>
              <w:rPr>
                <w:color w:val="auto"/>
              </w:rPr>
            </w:pPr>
            <w:r>
              <w:rPr>
                <w:color w:val="auto"/>
                <w:spacing w:val="5"/>
              </w:rPr>
              <w:t>申领人</w:t>
            </w:r>
            <w:r>
              <w:rPr>
                <w:rFonts w:hint="eastAsia"/>
                <w:color w:val="auto"/>
                <w:spacing w:val="5"/>
                <w:lang w:eastAsia="zh-CN"/>
              </w:rPr>
              <w:t>（</w:t>
            </w:r>
            <w:r>
              <w:rPr>
                <w:color w:val="auto"/>
                <w:spacing w:val="5"/>
              </w:rPr>
              <w:t>签字</w:t>
            </w:r>
            <w:r>
              <w:rPr>
                <w:rFonts w:hint="eastAsia"/>
                <w:color w:val="auto"/>
                <w:spacing w:val="5"/>
                <w:lang w:eastAsia="zh-CN"/>
              </w:rPr>
              <w:t>）：</w:t>
            </w:r>
          </w:p>
          <w:p w14:paraId="1A8985F1">
            <w:pPr>
              <w:pStyle w:val="9"/>
              <w:spacing w:before="89" w:line="219" w:lineRule="auto"/>
              <w:ind w:left="7164"/>
              <w:rPr>
                <w:color w:val="auto"/>
                <w:spacing w:val="-8"/>
              </w:rPr>
            </w:pPr>
          </w:p>
          <w:p w14:paraId="4099BE82">
            <w:pPr>
              <w:pStyle w:val="9"/>
              <w:spacing w:before="89" w:line="219" w:lineRule="auto"/>
              <w:ind w:left="7164"/>
              <w:rPr>
                <w:color w:val="auto"/>
              </w:rPr>
            </w:pPr>
            <w:r>
              <w:rPr>
                <w:color w:val="auto"/>
                <w:spacing w:val="-8"/>
              </w:rPr>
              <w:t>年</w:t>
            </w:r>
            <w:r>
              <w:rPr>
                <w:rFonts w:hint="eastAsia"/>
                <w:color w:val="auto"/>
                <w:spacing w:val="-8"/>
                <w:lang w:val="en-US" w:eastAsia="zh-CN"/>
              </w:rPr>
              <w:t xml:space="preserve">   </w:t>
            </w:r>
            <w:r>
              <w:rPr>
                <w:color w:val="auto"/>
                <w:spacing w:val="-8"/>
              </w:rPr>
              <w:t>月</w:t>
            </w:r>
            <w:r>
              <w:rPr>
                <w:rFonts w:hint="eastAsia"/>
                <w:color w:val="auto"/>
                <w:spacing w:val="-8"/>
                <w:lang w:val="en-US" w:eastAsia="zh-CN"/>
              </w:rPr>
              <w:t xml:space="preserve">    </w:t>
            </w:r>
            <w:r>
              <w:rPr>
                <w:color w:val="auto"/>
                <w:spacing w:val="-8"/>
              </w:rPr>
              <w:t>日</w:t>
            </w:r>
          </w:p>
        </w:tc>
      </w:tr>
    </w:tbl>
    <w:p w14:paraId="5197C266">
      <w:pPr>
        <w:rPr>
          <w:color w:val="auto"/>
        </w:rPr>
      </w:pPr>
    </w:p>
    <w:sectPr>
      <w:footerReference r:id="rId4" w:type="default"/>
      <w:pgSz w:w="11880" w:h="16820"/>
      <w:pgMar w:top="1429" w:right="1254" w:bottom="938" w:left="1415" w:header="0" w:footer="65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C04656-734E-428A-A179-FF077FFDDC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E7B82C97-320C-4641-89DB-CAB03FF47A64}"/>
  </w:font>
  <w:font w:name="仿宋_GB2312">
    <w:panose1 w:val="02010609030101010101"/>
    <w:charset w:val="86"/>
    <w:family w:val="modern"/>
    <w:pitch w:val="default"/>
    <w:sig w:usb0="00000001" w:usb1="080E0000" w:usb2="00000000" w:usb3="00000000" w:csb0="00040000" w:csb1="00000000"/>
    <w:embedRegular r:id="rId3" w:fontKey="{0D3A21A2-29FE-48FB-B399-E91E532127A9}"/>
  </w:font>
  <w:font w:name="楷体_GB2312">
    <w:panose1 w:val="02010609030101010101"/>
    <w:charset w:val="86"/>
    <w:family w:val="modern"/>
    <w:pitch w:val="default"/>
    <w:sig w:usb0="00000001" w:usb1="080E0000" w:usb2="00000000" w:usb3="00000000" w:csb0="00040000" w:csb1="00000000"/>
    <w:embedRegular r:id="rId4" w:fontKey="{2B740AE7-4A3E-4CB8-AE15-8B98B88F60BF}"/>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7E420">
    <w:pPr>
      <w:pStyle w:val="2"/>
      <w:spacing w:line="231" w:lineRule="auto"/>
      <w:ind w:left="164"/>
      <w:rPr>
        <w:sz w:val="22"/>
        <w:szCs w:val="22"/>
      </w:rPr>
    </w:pPr>
    <w:r>
      <w:rPr>
        <w:sz w:val="22"/>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56235"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356235" cy="131445"/>
                      </a:xfrm>
                      <a:prstGeom prst="rect">
                        <a:avLst/>
                      </a:prstGeom>
                      <a:noFill/>
                      <a:ln w="6350">
                        <a:noFill/>
                      </a:ln>
                      <a:effectLst/>
                    </wps:spPr>
                    <wps:txbx>
                      <w:txbxContent>
                        <w:p w14:paraId="6EA201B1">
                          <w:pPr>
                            <w:pStyle w:val="4"/>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28.05pt;mso-position-horizontal:center;mso-position-horizontal-relative:margin;mso-wrap-style:none;z-index:251659264;mso-width-relative:page;mso-height-relative:page;" filled="f" stroked="f" coordsize="21600,21600" o:gfxdata="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0lgcKtMAAAADAQAADwAAAAAAAAABACAAAAAiAAAAZHJzL2Rvd25yZXYueG1s&#10;UEsBAhQAFAAAAAgAh07iQB4rlA02AgAAYQQAAA4AAAAAAAAAAQAgAAAAIgEAAGRycy9lMm9Eb2Mu&#10;eG1sUEsFBgAAAAAGAAYAWQEAAMoFAAAAAA==&#10;">
              <v:fill on="f" focussize="0,0"/>
              <v:stroke on="f" weight="0.5pt"/>
              <v:imagedata o:title=""/>
              <o:lock v:ext="edit" aspectratio="f"/>
              <v:textbox inset="0mm,0mm,0mm,0mm" style="mso-fit-shape-to-text:t;">
                <w:txbxContent>
                  <w:p w14:paraId="6EA201B1">
                    <w:pPr>
                      <w:pStyle w:val="4"/>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93697">
    <w:pPr>
      <w:pStyle w:val="2"/>
      <w:spacing w:line="231" w:lineRule="auto"/>
      <w:ind w:left="324"/>
      <w:rPr>
        <w:sz w:val="22"/>
        <w:szCs w:val="22"/>
      </w:rPr>
    </w:pPr>
    <w:r>
      <w:rPr>
        <w:sz w:val="22"/>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562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356235" cy="131445"/>
                      </a:xfrm>
                      <a:prstGeom prst="rect">
                        <a:avLst/>
                      </a:prstGeom>
                      <a:noFill/>
                      <a:ln w="6350">
                        <a:noFill/>
                      </a:ln>
                      <a:effectLst/>
                    </wps:spPr>
                    <wps:txbx>
                      <w:txbxContent>
                        <w:p w14:paraId="2789949E">
                          <w:pPr>
                            <w:pStyle w:val="4"/>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28.05pt;mso-position-horizontal:center;mso-position-horizontal-relative:margin;mso-wrap-style:none;z-index:251660288;mso-width-relative:page;mso-height-relative:page;" filled="f" stroked="f" coordsize="21600,21600" o:gfxdata="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JYHCrTAAAAAwEAAA8AAAAAAAAAAQAgAAAAIgAAAGRycy9kb3ducmV2Lnht&#10;bFBLAQIUABQAAAAIAIdO4kDbKQE3NwIAAGEEAAAOAAAAAAAAAAEAIAAAACIBAABkcnMvZTJvRG9j&#10;LnhtbFBLBQYAAAAABgAGAFkBAADLBQAAAAA=&#10;">
              <v:fill on="f" focussize="0,0"/>
              <v:stroke on="f" weight="0.5pt"/>
              <v:imagedata o:title=""/>
              <o:lock v:ext="edit" aspectratio="f"/>
              <v:textbox inset="0mm,0mm,0mm,0mm" style="mso-fit-shape-to-text:t;">
                <w:txbxContent>
                  <w:p w14:paraId="2789949E">
                    <w:pPr>
                      <w:pStyle w:val="4"/>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4"/>
    </o:shapelayout>
  </w:hdrShapeDefaults>
  <w:compat>
    <w:spaceForUL/>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xMjE1OTZjMjgxNTQ4NzFiZmVmMzJjNjZlYjEzOWUifQ=="/>
  </w:docVars>
  <w:rsids>
    <w:rsidRoot w:val="00223CAA"/>
    <w:rsid w:val="000146CD"/>
    <w:rsid w:val="00093776"/>
    <w:rsid w:val="000E6902"/>
    <w:rsid w:val="00223CAA"/>
    <w:rsid w:val="002260DF"/>
    <w:rsid w:val="00285E5B"/>
    <w:rsid w:val="004B41D1"/>
    <w:rsid w:val="00623691"/>
    <w:rsid w:val="006B27F3"/>
    <w:rsid w:val="006D6CAE"/>
    <w:rsid w:val="007070FC"/>
    <w:rsid w:val="00947EBB"/>
    <w:rsid w:val="00AA693A"/>
    <w:rsid w:val="00AD52CF"/>
    <w:rsid w:val="00B3497F"/>
    <w:rsid w:val="00C271C9"/>
    <w:rsid w:val="00CB2024"/>
    <w:rsid w:val="00CB4F38"/>
    <w:rsid w:val="00DB2497"/>
    <w:rsid w:val="00F2514C"/>
    <w:rsid w:val="00F71BF3"/>
    <w:rsid w:val="00FB0542"/>
    <w:rsid w:val="01C11DF7"/>
    <w:rsid w:val="09F8048A"/>
    <w:rsid w:val="0D9B5E7C"/>
    <w:rsid w:val="0F796AF8"/>
    <w:rsid w:val="10666509"/>
    <w:rsid w:val="10FF7DB3"/>
    <w:rsid w:val="15027A94"/>
    <w:rsid w:val="15983A98"/>
    <w:rsid w:val="191E34AF"/>
    <w:rsid w:val="25A618A9"/>
    <w:rsid w:val="284E577C"/>
    <w:rsid w:val="28C266E1"/>
    <w:rsid w:val="2B3176D1"/>
    <w:rsid w:val="2E450300"/>
    <w:rsid w:val="31320BDA"/>
    <w:rsid w:val="31A5062B"/>
    <w:rsid w:val="33B0650A"/>
    <w:rsid w:val="33DA6403"/>
    <w:rsid w:val="34362F28"/>
    <w:rsid w:val="39EC7C48"/>
    <w:rsid w:val="3E9F1368"/>
    <w:rsid w:val="3F1014DA"/>
    <w:rsid w:val="486111BC"/>
    <w:rsid w:val="4AA62374"/>
    <w:rsid w:val="4B2256F5"/>
    <w:rsid w:val="4D306EF7"/>
    <w:rsid w:val="4E175DFB"/>
    <w:rsid w:val="4E381440"/>
    <w:rsid w:val="51ED74A8"/>
    <w:rsid w:val="529B5645"/>
    <w:rsid w:val="53551BE6"/>
    <w:rsid w:val="54535B68"/>
    <w:rsid w:val="56D406E9"/>
    <w:rsid w:val="5D685B77"/>
    <w:rsid w:val="65230D4C"/>
    <w:rsid w:val="679555E5"/>
    <w:rsid w:val="69BA2B1F"/>
    <w:rsid w:val="71C015D3"/>
    <w:rsid w:val="759B5BFF"/>
    <w:rsid w:val="77AF2324"/>
    <w:rsid w:val="79676534"/>
    <w:rsid w:val="7AD174B6"/>
    <w:rsid w:val="7B984B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48"/>
      <w:szCs w:val="48"/>
    </w:rPr>
  </w:style>
  <w:style w:type="paragraph" w:styleId="3">
    <w:name w:val="Balloon Text"/>
    <w:basedOn w:val="1"/>
    <w:link w:val="12"/>
    <w:semiHidden/>
    <w:unhideWhenUsed/>
    <w:qFormat/>
    <w:uiPriority w:val="0"/>
    <w:rPr>
      <w:sz w:val="18"/>
      <w:szCs w:val="18"/>
    </w:rPr>
  </w:style>
  <w:style w:type="paragraph" w:styleId="4">
    <w:name w:val="footer"/>
    <w:basedOn w:val="1"/>
    <w:link w:val="11"/>
    <w:qFormat/>
    <w:uiPriority w:val="99"/>
    <w:pPr>
      <w:tabs>
        <w:tab w:val="center" w:pos="4153"/>
        <w:tab w:val="right" w:pos="8306"/>
      </w:tabs>
    </w:pPr>
    <w:rPr>
      <w:sz w:val="18"/>
      <w:szCs w:val="18"/>
    </w:rPr>
  </w:style>
  <w:style w:type="paragraph" w:styleId="5">
    <w:name w:val="header"/>
    <w:basedOn w:val="1"/>
    <w:link w:val="10"/>
    <w:qFormat/>
    <w:uiPriority w:val="0"/>
    <w:pPr>
      <w:pBdr>
        <w:bottom w:val="single" w:color="auto" w:sz="6" w:space="1"/>
      </w:pBdr>
      <w:tabs>
        <w:tab w:val="center" w:pos="4153"/>
        <w:tab w:val="right" w:pos="8306"/>
      </w:tabs>
      <w:jc w:val="center"/>
    </w:pPr>
    <w:rPr>
      <w:sz w:val="18"/>
      <w:szCs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2"/>
      <w:szCs w:val="22"/>
    </w:rPr>
  </w:style>
  <w:style w:type="character" w:customStyle="1" w:styleId="10">
    <w:name w:val="页眉 Char"/>
    <w:basedOn w:val="7"/>
    <w:link w:val="5"/>
    <w:qFormat/>
    <w:uiPriority w:val="0"/>
    <w:rPr>
      <w:rFonts w:ascii="Arial" w:hAnsi="Arial" w:eastAsia="Arial" w:cs="Arial"/>
      <w:snapToGrid w:val="0"/>
      <w:color w:val="000000"/>
      <w:sz w:val="18"/>
      <w:szCs w:val="18"/>
      <w:lang w:eastAsia="en-US"/>
    </w:rPr>
  </w:style>
  <w:style w:type="character" w:customStyle="1" w:styleId="11">
    <w:name w:val="页脚 Char"/>
    <w:basedOn w:val="7"/>
    <w:link w:val="4"/>
    <w:qFormat/>
    <w:uiPriority w:val="99"/>
    <w:rPr>
      <w:rFonts w:ascii="Arial" w:hAnsi="Arial" w:eastAsia="Arial" w:cs="Arial"/>
      <w:snapToGrid w:val="0"/>
      <w:color w:val="000000"/>
      <w:sz w:val="18"/>
      <w:szCs w:val="18"/>
      <w:lang w:eastAsia="en-US"/>
    </w:rPr>
  </w:style>
  <w:style w:type="character" w:customStyle="1" w:styleId="12">
    <w:name w:val="批注框文本 Char"/>
    <w:basedOn w:val="7"/>
    <w:link w:val="3"/>
    <w:semiHidden/>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d502150d-cc5a-4576-bd8e-942db312ebaf</errorID>
      <errorWord>(</errorWord>
      <group>L1_Format</group>
      <groupName>格式问题</groupName>
      <ability>L2_HalfPunc_CN</ability>
      <abilityName>全半角问题</abilityName>
      <candidateList>
        <item>（</item>
      </candidateList>
      <explain>文本全半角错误。</explain>
      <paraID>707765EC</paraID>
      <start>73</start>
      <end>74</end>
      <status>modified</status>
      <modifiedWord>（</modifiedWord>
      <trackRevisions>false</trackRevisions>
    </reviewItem>
    <reviewItem>
      <errorID>ea45139a-16c3-4dc0-a0e6-1fe810583edb</errorID>
      <errorWord>)</errorWord>
      <group>L1_Format</group>
      <groupName>格式问题</groupName>
      <ability>L2_HalfPunc_CN</ability>
      <abilityName>全半角问题</abilityName>
      <candidateList>
        <item>）</item>
      </candidateList>
      <explain>文本全半角错误。</explain>
      <paraID>707765EC</paraID>
      <start>86</start>
      <end>87</end>
      <status>modified</status>
      <modifiedWord>）</modifiedWord>
      <trackRevisions>false</trackRevisions>
    </reviewItem>
    <reviewItem>
      <errorID>faedb0e8-d1a9-4e2e-9de8-063aab096d7a</errorID>
      <errorWord>(</errorWord>
      <group>L1_Format</group>
      <groupName>格式问题</groupName>
      <ability>L2_HalfPunc_CN</ability>
      <abilityName>全半角问题</abilityName>
      <candidateList>
        <item>（</item>
      </candidateList>
      <explain>文本全半角错误。</explain>
      <paraID>707765EC</paraID>
      <start>156</start>
      <end>157</end>
      <status>modified</status>
      <modifiedWord>（</modifiedWord>
      <trackRevisions>false</trackRevisions>
    </reviewItem>
    <reviewItem>
      <errorID>5e1d06da-acc3-4fca-ab0c-cd1e3174034c</errorID>
      <errorWord>)</errorWord>
      <group>L1_Format</group>
      <groupName>格式问题</groupName>
      <ability>L2_HalfPunc_CN</ability>
      <abilityName>全半角问题</abilityName>
      <candidateList>
        <item>）</item>
      </candidateList>
      <explain>文本全半角错误。</explain>
      <paraID>707765EC</paraID>
      <start>167</start>
      <end>168</end>
      <status>modified</status>
      <modifiedWord>）</modifiedWord>
      <trackRevisions>false</trackRevisions>
    </reviewItem>
    <reviewItem>
      <errorID>84d84b3f-de73-4869-8828-aade69c1442f</errorID>
      <errorWord>(</errorWord>
      <group>L1_Format</group>
      <groupName>格式问题</groupName>
      <ability>L2_HalfPunc_CN</ability>
      <abilityName>全半角问题</abilityName>
      <candidateList>
        <item>（</item>
      </candidateList>
      <explain>文本全半角错误。</explain>
      <paraID>707765EC</paraID>
      <start>199</start>
      <end>200</end>
      <status>modified</status>
      <modifiedWord>（</modifiedWord>
      <trackRevisions>false</trackRevisions>
    </reviewItem>
    <reviewItem>
      <errorID>e01b09a8-69ae-4ec8-8fab-b84a617aba32</errorID>
      <errorWord>)</errorWord>
      <group>L1_Format</group>
      <groupName>格式问题</groupName>
      <ability>L2_HalfPunc_CN</ability>
      <abilityName>全半角问题</abilityName>
      <candidateList>
        <item>）</item>
      </candidateList>
      <explain>文本全半角错误。</explain>
      <paraID>707765EC</paraID>
      <start>212</start>
      <end>213</end>
      <status>modified</status>
      <modifiedWord>）</modifiedWord>
      <trackRevisions>false</trackRevisions>
    </reviewItem>
    <reviewItem>
      <errorID>6c5b3959-6ab3-4846-81bc-0556487ed748</errorID>
      <errorWord>(</errorWord>
      <group>L1_Format</group>
      <groupName>格式问题</groupName>
      <ability>L2_HalfPunc_CN</ability>
      <abilityName>全半角问题</abilityName>
      <candidateList>
        <item>（</item>
      </candidateList>
      <explain>文本全半角错误。</explain>
      <paraID>707765EC</paraID>
      <start>271</start>
      <end>272</end>
      <status>modified</status>
      <modifiedWord>（</modifiedWord>
      <trackRevisions>false</trackRevisions>
    </reviewItem>
    <reviewItem>
      <errorID>3dfe0f10-0afe-441a-b5b3-1c87947dafe6</errorID>
      <errorWord>)</errorWord>
      <group>L1_Format</group>
      <groupName>格式问题</groupName>
      <ability>L2_HalfPunc_CN</ability>
      <abilityName>全半角问题</abilityName>
      <candidateList>
        <item>）</item>
      </candidateList>
      <explain>文本全半角错误。</explain>
      <paraID>707765EC</paraID>
      <start>285</start>
      <end>286</end>
      <status>modified</status>
      <modifiedWord>）</modifiedWord>
      <trackRevisions>false</trackRevisions>
    </reviewItem>
    <reviewItem>
      <errorID>94b78ced-8089-4ab7-bd87-dcfa0b02baf2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3C5E7300</paraID>
      <start>0</start>
      <end>3</end>
      <status>modified</status>
      <modifiedWord>（一）</modifiedWord>
      <trackRevisions>false</trackRevisions>
    </reviewItem>
    <reviewItem>
      <errorID>a05ee64c-cba4-49a4-9a2a-99285c657ae9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749C539E</paraID>
      <start>0</start>
      <end>3</end>
      <status>modified</status>
      <modifiedWord>（二）</modifiedWord>
      <trackRevisions>false</trackRevisions>
    </reviewItem>
    <reviewItem>
      <errorID>676bd712-e84c-401c-8274-2e6ce23c262d</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25725533</paraID>
      <start>0</start>
      <end>3</end>
      <status>modified</status>
      <modifiedWord>（三）</modifiedWord>
      <trackRevisions>false</trackRevisions>
    </reviewItem>
    <reviewItem>
      <errorID>3fd71ee9-d6c4-428b-b446-8c307f855c14</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1010039C</paraID>
      <start>0</start>
      <end>3</end>
      <status>modified</status>
      <modifiedWord>（四）</modifiedWord>
      <trackRevisions>false</trackRevisions>
    </reviewItem>
    <reviewItem>
      <errorID>bbc880c0-da6d-4ebc-9402-e7979ee336e2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466D5A16</paraID>
      <start>0</start>
      <end>3</end>
      <status>modified</status>
      <modifiedWord>（一）</modifiedWord>
      <trackRevisions>false</trackRevisions>
    </reviewItem>
    <reviewItem>
      <errorID>ba15f9a8-22cd-4a31-8eed-9e86dcea19f4</errorID>
      <errorWord>(</errorWord>
      <group>L1_Format</group>
      <groupName>格式问题</groupName>
      <ability>L2_HalfPunc_CN</ability>
      <abilityName>全半角问题</abilityName>
      <candidateList>
        <item>（</item>
      </candidateList>
      <explain>文本全半角错误。</explain>
      <paraID>466D5A16</paraID>
      <start>21</start>
      <end>22</end>
      <status>modified</status>
      <modifiedWord>（</modifiedWord>
      <trackRevisions>false</trackRevisions>
    </reviewItem>
    <reviewItem>
      <errorID>805b6875-fe42-44a2-acd9-f865ea1b006e</errorID>
      <errorWord>)</errorWord>
      <group>L1_Format</group>
      <groupName>格式问题</groupName>
      <ability>L2_HalfPunc_CN</ability>
      <abilityName>全半角问题</abilityName>
      <candidateList>
        <item>）</item>
      </candidateList>
      <explain>文本全半角错误。</explain>
      <paraID>466D5A16</paraID>
      <start>58</start>
      <end>59</end>
      <status>ignored</status>
      <modifiedWord/>
      <trackRevisions>false</trackRevisions>
    </reviewItem>
    <reviewItem>
      <errorID>bcfd2f4d-b652-41e0-8d7c-c0c610a25ecf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7DC3456E</paraID>
      <start>0</start>
      <end>3</end>
      <status>modified</status>
      <modifiedWord>（二）</modifiedWord>
      <trackRevisions>false</trackRevisions>
    </reviewItem>
    <reviewItem>
      <errorID>dcc59f82-775c-4315-830b-864013c6532e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50823C69</paraID>
      <start>0</start>
      <end>3</end>
      <status>modified</status>
      <modifiedWord>（三）</modifiedWord>
      <trackRevisions>false</trackRevisions>
    </reviewItem>
    <reviewItem>
      <errorID>e9a16b63-d52c-4d03-ac37-bf0d5e74b9ca</errorID>
      <errorWord>(</errorWord>
      <group>L1_Format</group>
      <groupName>格式问题</groupName>
      <ability>L2_HalfPunc_CN</ability>
      <abilityName>全半角问题</abilityName>
      <candidateList>
        <item>（</item>
      </candidateList>
      <explain>文本全半角错误。</explain>
      <paraID>50823C69</paraID>
      <start>30</start>
      <end>31</end>
      <status>modified</status>
      <modifiedWord>（</modifiedWord>
      <trackRevisions>false</trackRevisions>
    </reviewItem>
    <reviewItem>
      <errorID>c0ad6a83-d772-4bf2-b0a1-7fd0231196a5</errorID>
      <errorWord>)</errorWord>
      <group>L1_Format</group>
      <groupName>格式问题</groupName>
      <ability>L2_HalfPunc_CN</ability>
      <abilityName>全半角问题</abilityName>
      <candidateList>
        <item>）</item>
      </candidateList>
      <explain>文本全半角错误。</explain>
      <paraID>50823C69</paraID>
      <start>35</start>
      <end>36</end>
      <status>modified</status>
      <modifiedWord>）</modifiedWord>
      <trackRevisions>false</trackRevisions>
    </reviewItem>
    <reviewItem>
      <errorID>eee03608-1531-4775-a3bd-ece26073daac</errorID>
      <errorWord>(</errorWord>
      <group>L1_Format</group>
      <groupName>格式问题</groupName>
      <ability>L2_HalfPunc_CN</ability>
      <abilityName>全半角问题</abilityName>
      <candidateList>
        <item>（</item>
      </candidateList>
      <explain>文本全半角错误。</explain>
      <paraID> A6293F7</paraID>
      <start>74</start>
      <end>75</end>
      <status>modified</status>
      <modifiedWord>（</modifiedWord>
      <trackRevisions>false</trackRevisions>
    </reviewItem>
    <reviewItem>
      <errorID>90922dd9-9c87-4627-9e36-f14d607017fe</errorID>
      <errorWord>)</errorWord>
      <group>L1_Format</group>
      <groupName>格式问题</groupName>
      <ability>L2_HalfPunc_CN</ability>
      <abilityName>全半角问题</abilityName>
      <candidateList>
        <item>）</item>
      </candidateList>
      <explain>文本全半角错误。</explain>
      <paraID> A6293F7</paraID>
      <start>77</start>
      <end>78</end>
      <status>modified</status>
      <modifiedWord>）</modifiedWord>
      <trackRevisions>false</trackRevisions>
    </reviewItem>
    <reviewItem>
      <errorID>da537fc5-5532-4495-9030-60eaeb6cdf6c</errorID>
      <errorWord>(</errorWord>
      <group>L1_Format</group>
      <groupName>格式问题</groupName>
      <ability>L2_HalfPunc_CN</ability>
      <abilityName>全半角问题</abilityName>
      <candidateList>
        <item>（</item>
      </candidateList>
      <explain>文本全半角错误。</explain>
      <paraID> A6293F7</paraID>
      <start>94</start>
      <end>95</end>
      <status>modified</status>
      <modifiedWord>（</modifiedWord>
      <trackRevisions>false</trackRevisions>
    </reviewItem>
    <reviewItem>
      <errorID>78ae68d4-2e96-45ee-9d11-18b5bf32daeb</errorID>
      <errorWord>)</errorWord>
      <group>L1_Format</group>
      <groupName>格式问题</groupName>
      <ability>L2_HalfPunc_CN</ability>
      <abilityName>全半角问题</abilityName>
      <candidateList>
        <item>）</item>
      </candidateList>
      <explain>文本全半角错误。</explain>
      <paraID> A6293F7</paraID>
      <start>99</start>
      <end>100</end>
      <status>modified</status>
      <modifiedWord>）</modifiedWord>
      <trackRevisions>false</trackRevisions>
    </reviewItem>
    <reviewItem>
      <errorID>72b7dcf6-f75b-460d-8576-ff10a441bde9</errorID>
      <errorWord>(</errorWord>
      <group>L1_Format</group>
      <groupName>格式问题</groupName>
      <ability>L2_HalfPunc_CN</ability>
      <abilityName>全半角问题</abilityName>
      <candidateList>
        <item>（</item>
      </candidateList>
      <explain>文本全半角错误。</explain>
      <paraID>2435F29C</paraID>
      <start>4</start>
      <end>5</end>
      <status>modified</status>
      <modifiedWord>（</modifiedWord>
      <trackRevisions>false</trackRevisions>
    </reviewItem>
    <reviewItem>
      <errorID>34a321e1-2bde-43a4-ae65-26904cc9c848</errorID>
      <errorWord>)</errorWord>
      <group>L1_Format</group>
      <groupName>格式问题</groupName>
      <ability>L2_HalfPunc_CN</ability>
      <abilityName>全半角问题</abilityName>
      <candidateList>
        <item>）</item>
      </candidateList>
      <explain>文本全半角错误。</explain>
      <paraID>2435F29C</paraID>
      <start>7</start>
      <end>8</end>
      <status>modified</status>
      <modifiedWord>）</modifiedWord>
      <trackRevisions>false</trackRevisions>
    </reviewItem>
    <reviewItem>
      <errorID>c4faaac3-c7f8-4921-81e5-a66a3bed6d3c</errorID>
      <errorWord>至至</errorWord>
      <group>L1_Word</group>
      <groupName>字词问题</groupName>
      <ability>L2_Typo</ability>
      <abilityName>字词错误</abilityName>
      <candidateList>
        <item>至</item>
      </candidateList>
      <explain>❶〈动〉到：～今｜自始～终｜～死不屈。❷至于：甚～。❸〈副〉极；最：为感谢～｜你要早来，～迟下星期内一定赶到。</explain>
      <paraID>2435F29C</paraID>
      <start>25</start>
      <end>26</end>
      <status>modified</status>
      <modifiedWord>至</modifiedWord>
      <trackRevisions>false</trackRevisions>
    </reviewItem>
    <reviewItem>
      <errorID>26714b20-3325-4d14-9123-a1d9352af4f0</errorID>
      <errorWord>(</errorWord>
      <group>L1_Format</group>
      <groupName>格式问题</groupName>
      <ability>L2_HalfPunc_CN</ability>
      <abilityName>全半角问题</abilityName>
      <candidateList>
        <item>（</item>
      </candidateList>
      <explain>文本全半角错误。</explain>
      <paraID>1894E7E4</paraID>
      <start>16</start>
      <end>17</end>
      <status>modified</status>
      <modifiedWord>（</modifiedWord>
      <trackRevisions>false</trackRevisions>
    </reviewItem>
    <reviewItem>
      <errorID>5a90e7f4-1f18-4f04-a977-d04526d6b3cc</errorID>
      <errorWord>)</errorWord>
      <group>L1_Format</group>
      <groupName>格式问题</groupName>
      <ability>L2_HalfPunc_CN</ability>
      <abilityName>全半角问题</abilityName>
      <candidateList>
        <item>）</item>
      </candidateList>
      <explain>文本全半角错误。</explain>
      <paraID>1894E7E4</paraID>
      <start>19</start>
      <end>20</end>
      <status>modified</status>
      <modifiedWord>）</modifiedWord>
      <trackRevisions>false</trackRevisions>
    </reviewItem>
    <reviewItem>
      <errorID>712c038e-8169-4cd8-ab58-69fead54ddfe</errorID>
      <errorWord>(</errorWord>
      <group>L1_Format</group>
      <groupName>格式问题</groupName>
      <ability>L2_HalfPunc_CN</ability>
      <abilityName>全半角问题</abilityName>
      <candidateList>
        <item>（</item>
      </candidateList>
      <explain>文本全半角错误。</explain>
      <paraID>57EE8F4D</paraID>
      <start>198</start>
      <end>199</end>
      <status>modified</status>
      <modifiedWord>（</modifiedWord>
      <trackRevisions>false</trackRevisions>
    </reviewItem>
    <reviewItem>
      <errorID>9617f2cb-fada-4f0c-9f83-30b64a68161c</errorID>
      <errorWord>)</errorWord>
      <group>L1_Format</group>
      <groupName>格式问题</groupName>
      <ability>L2_HalfPunc_CN</ability>
      <abilityName>全半角问题</abilityName>
      <candidateList>
        <item>）</item>
      </candidateList>
      <explain>文本全半角错误。</explain>
      <paraID>57EE8F4D</paraID>
      <start>201</start>
      <end>202</end>
      <status>modified</status>
      <modifiedWord>）</modifiedWord>
      <trackRevisions>false</trackRevisions>
    </reviewItem>
    <reviewItem>
      <errorID>596974e9-7f45-4d46-b4e0-47b0882dcf75</errorID>
      <errorWord>(</errorWord>
      <group>L1_Format</group>
      <groupName>格式问题</groupName>
      <ability>L2_HalfPunc_CN</ability>
      <abilityName>全半角问题</abilityName>
      <candidateList>
        <item>（</item>
      </candidateList>
      <explain>文本全半角错误。</explain>
      <paraID>57EE8F4D</paraID>
      <start>220</start>
      <end>221</end>
      <status>modified</status>
      <modifiedWord>（</modifiedWord>
      <trackRevisions>false</trackRevisions>
    </reviewItem>
    <reviewItem>
      <errorID>128ac4c8-f638-4ba1-86b0-4c182ac93bf7</errorID>
      <errorWord>资</errorWord>
      <group>L1_Word</group>
      <groupName>字词问题</groupName>
      <ability>L2_Typo</ability>
      <abilityName>字词错误</abilityName>
      <candidateList>
        <item>资源</item>
      </candidateList>
      <explain>〈名〉生产资料或生活资料的天然来源：地下～｜水力～｜旅游～。</explain>
      <paraID>343E0750</paraID>
      <start>6</start>
      <end>8</end>
      <status>modified</status>
      <modifiedWord>资源</modifiedWord>
      <trackRevisions>false</trackRevisions>
    </reviewItem>
    <reviewItem>
      <errorID>6fc63c1b-32e8-47ae-b989-25a97849f090</errorID>
      <errorWord>(</errorWord>
      <group>L1_Format</group>
      <groupName>格式问题</groupName>
      <ability>L2_HalfPunc_CN</ability>
      <abilityName>全半角问题</abilityName>
      <candidateList>
        <item>（</item>
      </candidateList>
      <explain>文本全半角错误。</explain>
      <paraID> 55C5355</paraID>
      <start>30</start>
      <end>31</end>
      <status>modified</status>
      <modifiedWord>（</modifiedWord>
      <trackRevisions>false</trackRevisions>
    </reviewItem>
    <reviewItem>
      <errorID>fe584ad4-405b-4e73-8168-48c95df4fd10</errorID>
      <errorWord>;</errorWord>
      <group>L1_Format</group>
      <groupName>格式问题</groupName>
      <ability>L2_HalfPunc_CN</ability>
      <abilityName>全半角问题</abilityName>
      <candidateList>
        <item>；</item>
      </candidateList>
      <explain>文本全半角错误。</explain>
      <paraID> 55C5355</paraID>
      <start>65</start>
      <end>66</end>
      <status>modified</status>
      <modifiedWord>；</modifiedWord>
      <trackRevisions>false</trackRevisions>
    </reviewItem>
    <reviewItem>
      <errorID>7f535f34-ef66-4bd5-b708-6c36befa92b7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7B24C2BF</paraID>
      <start>0</start>
      <end>2</end>
      <status>modified</status>
      <modifiedWord>2.</modifiedWord>
      <trackRevisions>false</trackRevisions>
    </reviewItem>
    <reviewItem>
      <errorID>711998c0-949b-4ed3-b3db-fe57a9a108cb</errorID>
      <errorWord>&lt;</errorWord>
      <group>L1_Format</group>
      <groupName>格式问题</groupName>
      <ability>L2_HalfPunc_CN</ability>
      <abilityName>全半角问题</abilityName>
      <candidateList>
        <item>〈</item>
      </candidateList>
      <explain>文本全半角错误。</explain>
      <paraID>7B24C2BF</paraID>
      <start>10</start>
      <end>11</end>
      <status>modified</status>
      <modifiedWord>〈</modifiedWord>
      <trackRevisions>false</trackRevisions>
    </reviewItem>
    <reviewItem>
      <errorID>851db835-e915-4942-8f4a-36faf2372269</errorID>
      <errorWord>&gt;</errorWord>
      <group>L1_Format</group>
      <groupName>格式问题</groupName>
      <ability>L2_HalfPunc_CN</ability>
      <abilityName>全半角问题</abilityName>
      <candidateList>
        <item>〉</item>
      </candidateList>
      <explain>文本全半角错误。</explain>
      <paraID>7B24C2BF</paraID>
      <start>13</start>
      <end>14</end>
      <status>modified</status>
      <modifiedWord>〉</modifiedWord>
      <trackRevisions>false</trackRevisions>
    </reviewItem>
    <reviewItem>
      <errorID>b6c2089c-5e78-4832-b5bb-79fff0a38247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2B0CE110</paraID>
      <start>0</start>
      <end>2</end>
      <status>modified</status>
      <modifiedWord>3.</modifiedWord>
      <trackRevisions>false</trackRevisions>
    </reviewItem>
    <reviewItem>
      <errorID>16bbce0c-5330-4117-8e6d-912d2fc9c993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323D2028</paraID>
      <start>0</start>
      <end>2</end>
      <status>modified</status>
      <modifiedWord>4.</modifiedWord>
      <trackRevisions>false</trackRevisions>
    </reviewItem>
    <reviewItem>
      <errorID>ad528779-77fe-4121-a1e1-bfdbde099994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38D90363</paraID>
      <start>0</start>
      <end>2</end>
      <status>modified</status>
      <modifiedWord>5.</modifiedWord>
      <trackRevisions>false</trackRevisions>
    </reviewItem>
    <reviewItem>
      <errorID>90f148e7-7e21-4d5a-95df-e539fcb77c9b</errorID>
      <errorWord>户口薄</errorWord>
      <group>L1_Word</group>
      <groupName>字词问题</groupName>
      <ability>L2_Typo</ability>
      <abilityName>字词错误</abilityName>
      <candidateList>
        <item>户口簿</item>
      </candidateList>
      <explain>〈名〉记载住户成员的姓名、籍贯、年龄、职业等内容的册子。也说户口本儿。</explain>
      <paraID>66AE3CE7</paraID>
      <start>23</start>
      <end>26</end>
      <status>modified</status>
      <modifiedWord>户口簿</modifiedWord>
      <trackRevisions>false</trackRevisions>
    </reviewItem>
    <reviewItem>
      <errorID>504c6ace-3da8-4451-a8ba-f99fddc773c0</errorID>
      <errorWord>户口薄</errorWord>
      <group>L1_Word</group>
      <groupName>字词问题</groupName>
      <ability>L2_Typo</ability>
      <abilityName>字词错误</abilityName>
      <candidateList>
        <item>户口簿</item>
      </candidateList>
      <explain>〈名〉记载住户成员的姓名、籍贯、年龄、职业等内容的册子。也说户口本儿。</explain>
      <paraID>21B5C638</paraID>
      <start>24</start>
      <end>27</end>
      <status>modified</status>
      <modifiedWord>户口簿</modifiedWord>
      <trackRevisions>false</trackRevisions>
    </reviewItem>
    <reviewItem>
      <errorID>7f297bea-86a0-443f-85fe-995c19caac9b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514DB894</paraID>
      <start>0</start>
      <end>3</end>
      <status>modified</status>
      <modifiedWord>（一）</modifiedWord>
      <trackRevisions>false</trackRevisions>
    </reviewItem>
    <reviewItem>
      <errorID>81f4f1eb-d7bd-4f5f-8e28-b3e4c9379693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4A1C1610</paraID>
      <start>31</start>
      <end>33</end>
      <status>modified</status>
      <modifiedWord>》《</modifiedWord>
      <trackRevisions>false</trackRevisions>
    </reviewItem>
    <reviewItem>
      <errorID>829c1299-729b-4952-9c35-92f43958ebed</errorID>
      <errorWord>(</errorWord>
      <group>L1_Format</group>
      <groupName>格式问题</groupName>
      <ability>L2_HalfPunc_CN</ability>
      <abilityName>全半角问题</abilityName>
      <candidateList>
        <item>（</item>
      </candidateList>
      <explain>文本全半角错误。</explain>
      <paraID>6ED40329</paraID>
      <start>4</start>
      <end>5</end>
      <status>modified</status>
      <modifiedWord>（</modifiedWord>
      <trackRevisions>false</trackRevisions>
    </reviewItem>
    <reviewItem>
      <errorID>b7639da7-5259-4f49-80b2-5322c6948347</errorID>
      <errorWord>)</errorWord>
      <group>L1_Format</group>
      <groupName>格式问题</groupName>
      <ability>L2_HalfPunc_CN</ability>
      <abilityName>全半角问题</abilityName>
      <candidateList>
        <item>）</item>
      </candidateList>
      <explain>文本全半角错误。</explain>
      <paraID>6ED40329</paraID>
      <start>7</start>
      <end>8</end>
      <status>modified</status>
      <modifiedWord>）</modifiedWord>
      <trackRevisions>false</trackRevisions>
    </reviewItem>
    <reviewItem>
      <errorID>aa3f4b7e-3e30-4caf-adeb-05417b18608c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47055D60</paraID>
      <start>0</start>
      <end>3</end>
      <status>modified</status>
      <modifiedWord>（二）</modifiedWord>
      <trackRevisions>false</trackRevisions>
    </reviewItem>
    <reviewItem>
      <errorID>5975642e-5e18-4d38-8674-96ad259073bf</errorID>
      <errorWord>(</errorWord>
      <group>L1_Format</group>
      <groupName>格式问题</groupName>
      <ability>L2_HalfPunc_CN</ability>
      <abilityName>全半角问题</abilityName>
      <candidateList>
        <item>（</item>
      </candidateList>
      <explain>文本全半角错误。</explain>
      <paraID>  47B36A</paraID>
      <start>16</start>
      <end>17</end>
      <status>modified</status>
      <modifiedWord>（</modifiedWord>
      <trackRevisions>false</trackRevisions>
    </reviewItem>
    <reviewItem>
      <errorID>ffba840d-4d3b-43c6-88a6-ec84dfc38b3c</errorID>
      <errorWord>)</errorWord>
      <group>L1_Format</group>
      <groupName>格式问题</groupName>
      <ability>L2_HalfPunc_CN</ability>
      <abilityName>全半角问题</abilityName>
      <candidateList>
        <item>）</item>
      </candidateList>
      <explain>文本全半角错误。</explain>
      <paraID>  47B36A</paraID>
      <start>19</start>
      <end>20</end>
      <status>modified</status>
      <modifiedWord>）</modifiedWord>
      <trackRevisions>false</trackRevisions>
    </reviewItem>
    <reviewItem>
      <errorID>65e163d5-e5c6-4eda-91fb-def874b3eb3e</errorID>
      <errorWord>民法院</errorWord>
      <group>L1_Knowledge</group>
      <groupName>知识性问题</groupName>
      <ability>L2_Knowledge</ability>
      <abilityName>其他知识</abilityName>
      <candidateList>
        <item>人民法院</item>
      </candidateList>
      <explain/>
      <paraID>723C4A30</paraID>
      <start>82</start>
      <end>86</end>
      <status>modified</status>
      <modifiedWord>人民法院</modifiedWord>
      <trackRevisions>false</trackRevisions>
    </reviewItem>
    <reviewItem>
      <errorID>d0c0f8a1-047a-42ba-8b05-e243d0d10e16</errorID>
      <errorWord>(</errorWord>
      <group>L1_Format</group>
      <groupName>格式问题</groupName>
      <ability>L2_HalfPunc_CN</ability>
      <abilityName>全半角问题</abilityName>
      <candidateList>
        <item>（</item>
      </candidateList>
      <explain>文本全半角错误。</explain>
      <paraID>2A88B13E</paraID>
      <start>9</start>
      <end>10</end>
      <status>modified</status>
      <modifiedWord>（</modifiedWord>
      <trackRevisions>false</trackRevisions>
    </reviewItem>
    <reviewItem>
      <errorID>573a35d1-1fb0-44d3-a431-a35143ec91ff</errorID>
      <errorWord>)</errorWord>
      <group>L1_Format</group>
      <groupName>格式问题</groupName>
      <ability>L2_HalfPunc_CN</ability>
      <abilityName>全半角问题</abilityName>
      <candidateList>
        <item>）</item>
      </candidateList>
      <explain>文本全半角错误。</explain>
      <paraID>2A88B13E</paraID>
      <start>12</start>
      <end>13</end>
      <status>modified</status>
      <modifiedWord>）</modifiedWord>
      <trackRevisions>false</trackRevisions>
    </reviewItem>
    <reviewItem>
      <errorID>0a6fd04c-a2db-4b0f-80b8-af5cbaf1ecb1</errorID>
      <errorWord>(</errorWord>
      <group>L1_Format</group>
      <groupName>格式问题</groupName>
      <ability>L2_HalfPunc_CN</ability>
      <abilityName>全半角问题</abilityName>
      <candidateList>
        <item>（</item>
      </candidateList>
      <explain>文本全半角错误。</explain>
      <paraID>7ED06CAB</paraID>
      <start>3</start>
      <end>4</end>
      <status>modified</status>
      <modifiedWord>（</modifiedWord>
      <trackRevisions>false</trackRevisions>
    </reviewItem>
    <reviewItem>
      <errorID>2ca236c1-137c-4b2f-9899-ed53af80e0a9</errorID>
      <errorWord>)</errorWord>
      <group>L1_Format</group>
      <groupName>格式问题</groupName>
      <ability>L2_HalfPunc_CN</ability>
      <abilityName>全半角问题</abilityName>
      <candidateList>
        <item>）</item>
      </candidateList>
      <explain>文本全半角错误。</explain>
      <paraID>7ED06CAB</paraID>
      <start>6</start>
      <end>7</end>
      <status>modified</status>
      <modifiedWord>）</modifiedWord>
      <trackRevisions>false</trackRevisions>
    </reviewItem>
    <reviewItem>
      <errorID>0016cedb-5bef-4439-8f4a-4981af53bdab</errorID>
      <errorWord>(</errorWord>
      <group>L1_Format</group>
      <groupName>格式问题</groupName>
      <ability>L2_HalfPunc_CN</ability>
      <abilityName>全半角问题</abilityName>
      <candidateList>
        <item>（</item>
      </candidateList>
      <explain>文本全半角错误。</explain>
      <paraID>6BB9DC7E</paraID>
      <start>3</start>
      <end>4</end>
      <status>modified</status>
      <modifiedWord>（</modifiedWord>
      <trackRevisions>false</trackRevisions>
    </reviewItem>
    <reviewItem>
      <errorID>e9565d47-786e-4e1a-b72e-4c32936a2aaa</errorID>
      <errorWord>)</errorWord>
      <group>L1_Format</group>
      <groupName>格式问题</groupName>
      <ability>L2_HalfPunc_CN</ability>
      <abilityName>全半角问题</abilityName>
      <candidateList>
        <item>）</item>
      </candidateList>
      <explain>文本全半角错误。</explain>
      <paraID>6BB9DC7E</paraID>
      <start>6</start>
      <end>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1d7e60-7cf0-4049-aae7-7c0491bcdeb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2985</Words>
  <Characters>3030</Characters>
  <Lines>22</Lines>
  <Paragraphs>6</Paragraphs>
  <TotalTime>22</TotalTime>
  <ScaleCrop>false</ScaleCrop>
  <LinksUpToDate>false</LinksUpToDate>
  <CharactersWithSpaces>3075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2026-06-15T09:06:00Z</dcterms:created>
  <dc:creator>Administrator</dc:creator>
  <cp:lastModifiedBy>Administrator</cp:lastModifiedBy>
  <cp:lastPrinted>2026-09-08T08:48:00Z</cp:lastPrinted>
  <dcterms:modified xsi:type="dcterms:W3CDTF">2026-09-09T03:48:51Z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2026-05-26T10:57:01Z</vt:filetime>
  </property>
  <property fmtid="{D5CDD505-2E9C-101B-9397-08002B2CF9AE}" pid="4" name="UsrData">
    <vt:lpwstr>6a150bf7537813001f946201wl</vt:lpwstr>
  </property>
  <property fmtid="{D5CDD505-2E9C-101B-9397-08002B2CF9AE}" pid="5" name="KSOTemplateDocerSaveRecord">
    <vt:lpwstr>eyJoZGlkIjoiODU5ZTAyMGY5OTc2MmM3NzIyODdhYTE2YWQyMWRkMGEifQ==</vt:lpwstr>
  </property>
  <property fmtid="{D5CDD505-2E9C-101B-9397-08002B2CF9AE}" pid="6" name="KSOProductBuildVer">
    <vt:lpwstr>2052-12.1.0.24657</vt:lpwstr>
  </property>
  <property fmtid="{D5CDD505-2E9C-101B-9397-08002B2CF9AE}" pid="7" name="ICV">
    <vt:lpwstr>4C69F241ED8F4DD19F8FA527708AA0D8_13</vt:lpwstr>
  </property>
</Properties>
</file>