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70D35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</w:p>
    <w:p w14:paraId="4CF20C8A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4EB1EB68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2321E14F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BC9A7B7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5FCA7F41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4B41E2B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05BC6D4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3C9D152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第三中学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F3EA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ECAC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656D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B7F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部门(单位)名称：岳阳市第三中学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78FB8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0D63F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岳阳市第三中学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7B6A5A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4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贯彻执行国家教育方针政策，深化教育改革，加强教学教研工作，稳步提高教学质量，发展素质教育，促进教育事业的发展。</w:t>
      </w:r>
    </w:p>
    <w:p w14:paraId="00EEB3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2、加强师德师风建设，树立以人为本、依法治教、以德执教的理念，强化师德素养，提高教师教书育人能力。</w:t>
      </w:r>
    </w:p>
    <w:p w14:paraId="4EC7AB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3、加强学校预算资金的管理和使用，做好后勤保障管理工作，为师生提供良好的教学生活环境。</w:t>
      </w:r>
    </w:p>
    <w:p w14:paraId="2E14AA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4、保证合理的校园基础建设和教学设备投入，为学校教学教研提供良好工作条件。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本单位内设机构包括：办公室，教务处，政教处，总务处，团委，党建办，教研室，工会。根据编办核定，我校共有教职工198人，其中：在职编制84人；离退休114人。年末学生人数928人。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7486E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加强党建引领，形成优良师德师风。学校制定了详实的党建工作计划，严格落实“三会一课”、民主评议党员等组织生活制度，充分发挥党员的示范引领作用，积极开展系列主题教育活动。</w:t>
      </w:r>
    </w:p>
    <w:p w14:paraId="1B5C46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2、突出德育首位，创建平安文明校园。学校始终突出德育首位，在主题教育系列化、德育形式多样化上下功夫，对班级进行日常量化管理，对两操、班级卫生工区、午休、中学生五项管理等情况进行逐日检查、评分。</w:t>
      </w:r>
    </w:p>
    <w:p w14:paraId="584376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3、促进教师发展，大幅提升教学质量。严格常规管理促发展。建立了教学常规督导制度。重视教师业务培训。</w:t>
      </w:r>
    </w:p>
    <w:p w14:paraId="6984E2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4、规范办学行为，形成发展长效机制。学校坚持依法治校，依规办学，健全各项管理制度，加强正面宣传力度和舆情导控，形成学校发展的长效机制。</w:t>
      </w:r>
    </w:p>
    <w:p w14:paraId="488C3DD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1993.07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1768.66万元：包括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430.90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41.96万元；奖金262.64万元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伙食补助费33.20万元；绩效工资257.23万元；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134.10万元；职工基本医疗保险缴费55.86万元；其他社会保障缴费11.86万元；住房公积金102.10万元；其他工资福利支出80.00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离休费1.32万元；退休费323.06万元；抚恤金2.86万元；生活补助24.97万元；奖励金5.70万元；其他对个人和家庭的补助0.89万元。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224.41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29.70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13.65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17.50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邮电费0.50万元；物业管理费6.82万元；差旅费3.18万元；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29.02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3.64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专用材料费3.69万元；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41.25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工会经费43.42万元；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32.04万元。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其中：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城市中小学校舍建设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28万元。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2024年，我校落实立德树人根本任务，秉承“做朴素的教育”办学理念，构建“五育并举”教育体系，全校师生卧薪尝胆，奋力拼搏，较好地完成了学校各项工作任务和发展目标。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  <w:t>1）我校共有教职工198人，其中：在职编制84人；离退休114人。年末学生人数928人。</w:t>
      </w:r>
    </w:p>
    <w:p w14:paraId="589E61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本年度教师参加各类培训12个，涉及国培、省培、市培、县培4个层次，参与人数112人次。</w:t>
      </w:r>
    </w:p>
    <w:p w14:paraId="2E4262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3月以“党建带团建，慰问孤寡老人”为主题到芋头田社区集中开展学雷锋志愿者活动；“七一”评选表彰优秀党员；八月开展了“党员教师先锋行，暖心家访促成长”党员教师大家访活动；10月组织退休支部党员参加“清秋有信，唯愿久久”主题党日活动， 11月组织全体在职党员到华容县烈士陵园开展“缅怀革命先烈，弘扬民族精神”为主题的党建活动。同时，在全校教师中开展了4次“师德师风警示教育”，学习了区教育局《关于进一步加强和改进新时代师德师风建设的实施办法》，每位党员、教师签订承诺书。召开总支会、支部会、教师大会，深入学习贯彻全国教育会议精神，积极开展“清廉学校”创建工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02259C0D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开展了学雷锋手抄报、征文等系列活动、走进社区服务社区孤寡老人活动、清明祭英烈活动、防校园霸凌、性侵、溺水等系列活动、5.25心理健康日教育、国庆征文比赛、首届学生羽毛球赛、青春期健康教育、高一新生军训、校园文化艺术节等一系列主题教育活动，做好学生、班级的风采展示，树立正向标杆，宣传正向能量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参加岳阳市阳光大课间活动获高中组一等奖。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一年来，学校平安稳定，学生文明守纪，学校被评为“岳阳市文明校园”。</w:t>
      </w:r>
    </w:p>
    <w:p w14:paraId="40F02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我校今年高考本科上线46人，相比去年上线人数实现了翻番，提升了18.29%，荣获区教学质量提升单位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湖南第一师范优质生源基地；高一史生地化4科合格考合格率为99.67%，高二合格考合格率达100%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年内及时完成承诺的产出任务。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严格控制“三公”经费列支，做到“三公”经费支出0万元；全年教育投入经费2389.07万元。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58C64CF7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建立了教学常规督导制度，全年教学常规检查8次，评选优秀教案225人次，优秀作业批改88次，优秀听课158人次，行政推门听课400余次，各类分析会议20次，教研活动236次，常规教研课100余堂，其中青年教师教研课40节，骨干教师示范课28节，复习建模课15节，青蓝工程指导教师示范课20节。</w:t>
      </w:r>
    </w:p>
    <w:p w14:paraId="1E626079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积极开展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校内和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跨校教研活动，与岳阳中学组成教研共同体，制定了系统的活动方案，每月开展一次交流学习活动。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地理教研组荣获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2024年度岳阳楼区优秀教研组。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18044802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深入开展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校内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教学竞赛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、积极参加上级组织的各类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教学竞赛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以赛促提高，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学校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上半年组织了板书设计竞赛，有22名教师参与比赛；下半年组织了第五届“贞信杯”教学竞赛，19名青年教师的教学竞赛。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在上级组织的各类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教学竞赛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中陈引获岳阳市“金鹗奖”教师教学竞赛金奖，钱晓萱获岳阳市“金鹗奖”教师教学竞赛二等奖。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物理组获2024年岳阳楼区中学命题大赛优秀学科组一等奖，英语等5个学科组获二等奖。潘东文等8位老师分获优秀原创题一二等奖。五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是认真总结教学经验，全校获奖论文、发表论文25篇。</w:t>
      </w:r>
    </w:p>
    <w:p w14:paraId="7ABA8D4B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落实意识形态责任制，加强正面宣传和舆情导控，学校荣获岳阳楼区教育系统“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2024年度宣传工作先进单位”。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学生对学校管理满意度98%，家长对学校管理满意度98%。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D4EBC3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办学条件亟待改善。学校没有图书室、阅览室、录播室等必备的功能室，学生宿舍简陋，教师无中休房等。</w:t>
      </w:r>
    </w:p>
    <w:p w14:paraId="6948FA3D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2．高考本科录取率还待进一步提高，毕业合格考没有达到100%。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0580D81F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当前“调整优化教育布局，全面调减小规模学校”的大形势下，学校要紧跟调整步伐，在教育局的领导和统筹之下，为学校补齐短板，调配资产，解决学校进一步发展所必须的图书室、阅览室、录播室等基础设施设备，确保2026年省教育厅现场督导评估顺利通过。</w:t>
      </w:r>
    </w:p>
    <w:p w14:paraId="7A64A9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提高教学质量，根本出路在于教学改革。一是深入开设生涯规划、日语、音乐、美术、书法、手风琴、舞蹈等特色课程、广泛开展音、体、美、劳技等活动，以发现、培养学生的音、体、美、科技等方面特长，引导学生多方面成长、成才。二是学习、借鉴十六中、平江三中等同类学校的成功经验，定学科、定人员、定班级，积极、稳妥、逐步推行课改，以大力转变教师教育教学理念，突出学生主体地位，构建生本课堂，形成课改办学特色，整体上提升教育教学质量，使高中学业水平考试达100%合格率，明年高考本科上线率再提升5个百分点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0D097075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279422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581DE6B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66FA46AA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005AA241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54089A21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6D3F2A4E">
      <w:pPr>
        <w:spacing w:before="64" w:line="230" w:lineRule="auto"/>
        <w:rPr>
          <w:rFonts w:hint="eastAsia" w:ascii="仿宋" w:hAnsi="仿宋" w:eastAsia="仿宋" w:cs="仿宋"/>
          <w:color w:val="auto"/>
          <w:spacing w:val="-4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pacing w:val="-4"/>
          <w:sz w:val="31"/>
          <w:szCs w:val="31"/>
          <w:highlight w:val="none"/>
        </w:rPr>
        <w:t>附件：1、单位整体支出绩效评价基础数据表</w:t>
      </w:r>
    </w:p>
    <w:p w14:paraId="140F0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31" w:lineRule="auto"/>
        <w:ind w:firstLine="906" w:firstLineChars="300"/>
        <w:textAlignment w:val="auto"/>
        <w:rPr>
          <w:rFonts w:hint="eastAsia" w:ascii="仿宋" w:hAnsi="仿宋" w:eastAsia="仿宋" w:cs="仿宋"/>
          <w:color w:val="auto"/>
          <w:spacing w:val="-4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pacing w:val="-4"/>
          <w:sz w:val="31"/>
          <w:szCs w:val="31"/>
          <w:highlight w:val="none"/>
        </w:rPr>
        <w:t>2、单位整体支出绩效自评表</w:t>
      </w:r>
    </w:p>
    <w:p w14:paraId="48F46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31" w:lineRule="auto"/>
        <w:ind w:firstLine="906" w:firstLineChars="300"/>
        <w:textAlignment w:val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pacing w:val="-4"/>
          <w:sz w:val="31"/>
          <w:szCs w:val="31"/>
          <w:highlight w:val="none"/>
        </w:rPr>
        <w:t>3、项目支出绩效自评表</w:t>
      </w:r>
    </w:p>
    <w:p w14:paraId="1A86BF7E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79C913A5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5F90E710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7B418FB2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171EFABB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599C3440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1A8307A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6E1348B3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1CBF9FD1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341ABD20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73A1F6E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2DF0823F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11FB6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23F950AD">
      <w:pPr>
        <w:spacing w:line="115" w:lineRule="exact"/>
        <w:rPr>
          <w:color w:val="auto"/>
          <w:highlight w:val="none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EC23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4FB97AE4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7FAA5BB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岳阳市第三中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35DA5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4B31005C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29BA863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33B6FAE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1E6356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2BFC2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43BA51F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275D42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B8F32D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84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237305E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790B6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2EDF1FCB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C12EBA9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7F22613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4AA2468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5219D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47EB800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F39706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336B0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1DDE9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703A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1BBF108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2950CB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3A192B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C228F9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5F52A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72A056D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440F3F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164526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FA73B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A21F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76B9116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9FC9DE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2E773F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D78C8A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2F683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F046000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10A48D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DD5CA1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AEAF5E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C0C4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1B05404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F142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6143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953D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D88D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5C223ED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360F9C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11.65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313B0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A72F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</w:tr>
      <w:tr w14:paraId="112F0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F7287BF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33527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11.65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119E2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42ED85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</w:t>
            </w:r>
          </w:p>
        </w:tc>
      </w:tr>
      <w:tr w14:paraId="24037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F48EACD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FDBD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72E92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992DB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1222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A7141E9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31B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01F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872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361D5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02BE703B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EBFA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100.06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79E8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88.3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500CE3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485.07</w:t>
            </w:r>
          </w:p>
        </w:tc>
      </w:tr>
      <w:tr w14:paraId="528BB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733283E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AEDD7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21.12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6B47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230C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29.7</w:t>
            </w:r>
          </w:p>
        </w:tc>
      </w:tr>
      <w:tr w14:paraId="24C26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70E0DAD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59FEA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23.48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97E3B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4D235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35.04</w:t>
            </w:r>
          </w:p>
        </w:tc>
      </w:tr>
      <w:tr w14:paraId="63BD2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673C062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24481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5.96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A903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7DE51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3.64</w:t>
            </w:r>
          </w:p>
        </w:tc>
      </w:tr>
      <w:tr w14:paraId="2E3A7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6DE7ED2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3E47E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87.3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8A86C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87.3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53CCA2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222.35</w:t>
            </w:r>
          </w:p>
        </w:tc>
      </w:tr>
      <w:tr w14:paraId="4ECD1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49EB85E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4C528A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9AA3E5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48E8BC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0AC1A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57D6BF3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25E97FE3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66877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15F49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52A4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12295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70F8E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6423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0DE26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A769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5F18B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3F5B3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953E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7226E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05D37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3AE33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D7DFCF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5C6610AB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13DE6DE1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401BA18B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36FC114A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0B71D6F9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5905A55C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3607E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2B8E3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C481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0F9F4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2E7EB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0E176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张路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15873092356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5CB1EDFF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508EB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10"/>
        <w:tblpPr w:leftFromText="180" w:rightFromText="180" w:vertAnchor="text" w:horzAnchor="page" w:tblpXSpec="center" w:tblpY="116"/>
        <w:tblOverlap w:val="never"/>
        <w:tblW w:w="10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0C194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197" w:type="dxa"/>
            <w:gridSpan w:val="3"/>
            <w:noWrap w:val="0"/>
            <w:vAlign w:val="top"/>
          </w:tcPr>
          <w:p w14:paraId="7F0E5249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2BA2431C">
            <w:pPr>
              <w:pStyle w:val="11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岳阳市第三中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687B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9CD848A">
            <w:pPr>
              <w:pStyle w:val="11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9C0E23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238002A7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235C47E2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234BECDD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278DE897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79A6A012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58A8CFB7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17D05FE9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CF064B6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0B880F2D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2B64C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8E9A49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5FFEB3E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1328BE3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1695.59</w:t>
            </w:r>
          </w:p>
        </w:tc>
        <w:tc>
          <w:tcPr>
            <w:tcW w:w="1310" w:type="dxa"/>
            <w:noWrap w:val="0"/>
            <w:vAlign w:val="top"/>
          </w:tcPr>
          <w:p w14:paraId="53DCC97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2397.07</w:t>
            </w:r>
          </w:p>
        </w:tc>
        <w:tc>
          <w:tcPr>
            <w:tcW w:w="1268" w:type="dxa"/>
            <w:noWrap w:val="0"/>
            <w:vAlign w:val="top"/>
          </w:tcPr>
          <w:p w14:paraId="264DF49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2389.07</w:t>
            </w:r>
          </w:p>
        </w:tc>
        <w:tc>
          <w:tcPr>
            <w:tcW w:w="716" w:type="dxa"/>
            <w:noWrap w:val="0"/>
            <w:vAlign w:val="top"/>
          </w:tcPr>
          <w:p w14:paraId="59B05344">
            <w:pPr>
              <w:pStyle w:val="11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43F718E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99.67%</w:t>
            </w:r>
          </w:p>
        </w:tc>
        <w:tc>
          <w:tcPr>
            <w:tcW w:w="1450" w:type="dxa"/>
            <w:noWrap w:val="0"/>
            <w:vAlign w:val="top"/>
          </w:tcPr>
          <w:p w14:paraId="2DCC8DF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9.97</w:t>
            </w:r>
          </w:p>
        </w:tc>
      </w:tr>
      <w:tr w14:paraId="55FBEC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92432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6744AC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48D4EC6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48A87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EBBE7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FC181C6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2021.07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5076A26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2361.07</w:t>
            </w:r>
          </w:p>
        </w:tc>
      </w:tr>
      <w:tr w14:paraId="40837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4FD39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2374D382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1A25DC6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28.00</w:t>
            </w:r>
          </w:p>
        </w:tc>
      </w:tr>
      <w:tr w14:paraId="32870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0E959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9E4E0F7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8D248E6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3CE36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0B451E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5F42CD1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368.00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402379F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F993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B96637D">
            <w:pPr>
              <w:pStyle w:val="11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E0561B9">
            <w:pPr>
              <w:pStyle w:val="11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2D412F6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8E08E61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4719133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3725E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5F2D17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02EFE492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党建引领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，夯实基层党建工作。</w:t>
            </w:r>
          </w:p>
          <w:p w14:paraId="0BAA2FD4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加强教师思想政治及业务培训，努力提高教育教学质量。</w:t>
            </w:r>
          </w:p>
          <w:p w14:paraId="4E39E7B9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加强后勤管理和服务，及时进行校园基础设施建设和维护，保障教育教学工作正常开展，保证校园无重大安全事故发生。</w:t>
            </w:r>
          </w:p>
          <w:p w14:paraId="60317F75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保障教职工工资福利待遇及时足额发放，提升教师幸福感，保持教师队伍稳定。</w:t>
            </w:r>
          </w:p>
          <w:p w14:paraId="42E3F2F4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default"/>
                <w:color w:val="auto"/>
                <w:spacing w:val="0"/>
                <w:sz w:val="20"/>
                <w:highlight w:val="none"/>
                <w:lang w:val="en-US" w:eastAsia="zh-CN"/>
              </w:rPr>
              <w:t>增强社会影响力，提升满意度。</w:t>
            </w:r>
          </w:p>
        </w:tc>
        <w:tc>
          <w:tcPr>
            <w:tcW w:w="4307" w:type="dxa"/>
            <w:gridSpan w:val="4"/>
            <w:noWrap w:val="0"/>
            <w:vAlign w:val="center"/>
          </w:tcPr>
          <w:p w14:paraId="5240945A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严格落实“三会一课”、民主评议党员等组织生活制度，充分发挥党员的示范引领作用。</w:t>
            </w:r>
          </w:p>
          <w:p w14:paraId="15DEB858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重视教师业务培训，促进教师发展，提升教学质量。本年度教师参加各类培训12个，涉及国培、省培、市培、县培4个层次，参与人数112人次。</w:t>
            </w:r>
          </w:p>
          <w:p w14:paraId="2ACCED03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学校严格落实“一岗双责”，健全了各项安全管理制度。学校被评为“岳阳市文明校园”。</w:t>
            </w:r>
          </w:p>
          <w:p w14:paraId="370BA07E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按时足额发放教职工工资及福利待遇。</w:t>
            </w:r>
          </w:p>
          <w:p w14:paraId="73D34DC4">
            <w:pPr>
              <w:pStyle w:val="11"/>
              <w:numPr>
                <w:ilvl w:val="0"/>
                <w:numId w:val="8"/>
              </w:numPr>
              <w:jc w:val="both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我校今年高考本科上线46人，相比去年上线人数实现了翻番，提升了18.29%，荣获区教学质量提升单位。</w:t>
            </w:r>
          </w:p>
        </w:tc>
      </w:tr>
      <w:tr w14:paraId="63131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0986C3C">
            <w:pPr>
              <w:pStyle w:val="11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1AB13A3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58CF87FC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757D6580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69819077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033945B7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2850EA81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2D481652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36BC2E0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1C446FBB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1FB95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088A3E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7D7E5415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9FD7F78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2CC51C6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A91E473">
            <w:pPr>
              <w:pStyle w:val="11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70A3DB9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199D5966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182A459D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64FD2629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2D1A8140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13A499FC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按时足额发放教职工及离退休人员工资及福利待遇</w:t>
            </w:r>
          </w:p>
        </w:tc>
        <w:tc>
          <w:tcPr>
            <w:tcW w:w="1310" w:type="dxa"/>
            <w:noWrap w:val="0"/>
            <w:vAlign w:val="center"/>
          </w:tcPr>
          <w:p w14:paraId="556B6C7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198人</w:t>
            </w:r>
          </w:p>
        </w:tc>
        <w:tc>
          <w:tcPr>
            <w:tcW w:w="1268" w:type="dxa"/>
            <w:noWrap w:val="0"/>
            <w:vAlign w:val="center"/>
          </w:tcPr>
          <w:p w14:paraId="12C2BF7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198人</w:t>
            </w:r>
          </w:p>
        </w:tc>
        <w:tc>
          <w:tcPr>
            <w:tcW w:w="716" w:type="dxa"/>
            <w:noWrap w:val="0"/>
            <w:vAlign w:val="center"/>
          </w:tcPr>
          <w:p w14:paraId="71742FE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B32B89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739B8B6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2CA8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CC8A87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1BABD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05356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53DD6256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党建主题教育活动数量</w:t>
            </w:r>
          </w:p>
        </w:tc>
        <w:tc>
          <w:tcPr>
            <w:tcW w:w="1310" w:type="dxa"/>
            <w:noWrap w:val="0"/>
            <w:vAlign w:val="center"/>
          </w:tcPr>
          <w:p w14:paraId="236AB87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268" w:type="dxa"/>
            <w:noWrap w:val="0"/>
            <w:vAlign w:val="center"/>
          </w:tcPr>
          <w:p w14:paraId="5000262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8次</w:t>
            </w:r>
          </w:p>
        </w:tc>
        <w:tc>
          <w:tcPr>
            <w:tcW w:w="716" w:type="dxa"/>
            <w:noWrap w:val="0"/>
            <w:vAlign w:val="center"/>
          </w:tcPr>
          <w:p w14:paraId="227996C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AE7E25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6EBDB95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962A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2363B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C1787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38486B2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567B7133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4762B56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84人次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48FBE6E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112人次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46F54D6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0965091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40EEC15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B130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1F430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76F03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53C901C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166EBA96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德育主题教育活动数量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624EB7D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≧6人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1BCFC81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12人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610A4EC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6F4D045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185A512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AFD3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6D585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977CC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199D921A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0F0731A6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0AD287C3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310" w:type="dxa"/>
            <w:noWrap w:val="0"/>
            <w:vAlign w:val="center"/>
          </w:tcPr>
          <w:p w14:paraId="64451D3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3D75043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6DC299E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D6B0D7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E9ACF7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07A2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B45D3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4E44B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857B1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1458712C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高中生毕业率</w:t>
            </w:r>
          </w:p>
        </w:tc>
        <w:tc>
          <w:tcPr>
            <w:tcW w:w="1310" w:type="dxa"/>
            <w:noWrap w:val="0"/>
            <w:vAlign w:val="center"/>
          </w:tcPr>
          <w:p w14:paraId="182880A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413E69A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682384D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A8862C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61CCE40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D0810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49054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C8959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09F1DE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09FC7693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学考合格率</w:t>
            </w:r>
          </w:p>
        </w:tc>
        <w:tc>
          <w:tcPr>
            <w:tcW w:w="1310" w:type="dxa"/>
            <w:noWrap w:val="0"/>
            <w:vAlign w:val="center"/>
          </w:tcPr>
          <w:p w14:paraId="5E0EBD5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726E5A5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3325014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5F4221E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820C8E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63063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F1742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D6C411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8BD5392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A1F9D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年内完成各项工作任务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top"/>
          </w:tcPr>
          <w:p w14:paraId="37A7813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  <w:p w14:paraId="6798A9B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2024-12-31</w:t>
            </w:r>
          </w:p>
        </w:tc>
        <w:tc>
          <w:tcPr>
            <w:tcW w:w="1268" w:type="dxa"/>
            <w:noWrap w:val="0"/>
            <w:vAlign w:val="top"/>
          </w:tcPr>
          <w:p w14:paraId="08E7905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  <w:p w14:paraId="260C37A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年内圆满完成</w:t>
            </w:r>
          </w:p>
        </w:tc>
        <w:tc>
          <w:tcPr>
            <w:tcW w:w="716" w:type="dxa"/>
            <w:noWrap w:val="0"/>
            <w:vAlign w:val="center"/>
          </w:tcPr>
          <w:p w14:paraId="39BDB60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257DB9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668AF13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50132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15988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E1B7E9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7D1C30B7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F0D6F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74B2FEE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2397.07万元</w:t>
            </w:r>
          </w:p>
        </w:tc>
        <w:tc>
          <w:tcPr>
            <w:tcW w:w="1268" w:type="dxa"/>
            <w:noWrap w:val="0"/>
            <w:vAlign w:val="center"/>
          </w:tcPr>
          <w:p w14:paraId="6DB4EE3E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2389.07万元</w:t>
            </w:r>
          </w:p>
        </w:tc>
        <w:tc>
          <w:tcPr>
            <w:tcW w:w="716" w:type="dxa"/>
            <w:noWrap w:val="0"/>
            <w:vAlign w:val="center"/>
          </w:tcPr>
          <w:p w14:paraId="1E9AB62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DB4A83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95608E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1E78C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699B0F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F1AB085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7466254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4496BCF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BA7C7DB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1553E3A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3D2A50DA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E7447B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6651CC4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FC2E7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4DBA41B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7466005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6A5C4B2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C7141D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5DA6786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90CB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017EE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5738CE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0D5FD6BE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50267477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1F15FEA5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310" w:type="dxa"/>
            <w:noWrap w:val="0"/>
            <w:vAlign w:val="center"/>
          </w:tcPr>
          <w:p w14:paraId="1B86AA2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68" w:type="dxa"/>
            <w:noWrap w:val="0"/>
            <w:vAlign w:val="center"/>
          </w:tcPr>
          <w:p w14:paraId="2D7D120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4073BA2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6F1C98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36F4369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11C8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FD3634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CC45D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80BE36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1DC50A39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23FCA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425F058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262BA32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7926EAD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C660A8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5D198B2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EFC8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438DE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8B5F2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3B57FBE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E2BC8">
            <w:pPr>
              <w:pStyle w:val="11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教育事业可持续发展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45BC0D6B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6217457C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443E2D7F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069D8C8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37C93476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3D272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3F849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2AAD3EA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335DD1B3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113883E5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30CA3A88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F202C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1A48C891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588F455C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2837BFF3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780FE37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310" w:type="dxa"/>
            <w:noWrap w:val="0"/>
            <w:vAlign w:val="center"/>
          </w:tcPr>
          <w:p w14:paraId="56BA0F2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1CE577B5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354A70C5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73B4FB4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7203A71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434AA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CCC7F3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55CF5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95C6F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36218D7B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245AF5D8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6D628083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7C711C5D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00BFD50B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D20CA4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0819DB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044" w:type="dxa"/>
            <w:gridSpan w:val="6"/>
            <w:noWrap w:val="0"/>
            <w:vAlign w:val="center"/>
          </w:tcPr>
          <w:p w14:paraId="451D6578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2CDA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4BDA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98.97</w:t>
            </w:r>
          </w:p>
        </w:tc>
        <w:tc>
          <w:tcPr>
            <w:tcW w:w="1450" w:type="dxa"/>
            <w:noWrap w:val="0"/>
            <w:vAlign w:val="top"/>
          </w:tcPr>
          <w:p w14:paraId="5723624E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52387F40">
      <w:pPr>
        <w:spacing w:line="132" w:lineRule="exact"/>
        <w:rPr>
          <w:color w:val="auto"/>
          <w:highlight w:val="none"/>
        </w:rPr>
      </w:pPr>
    </w:p>
    <w:p w14:paraId="284C2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12B5D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D1E37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张路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15873092356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390128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1E8F47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C6C45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382CAB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1CF89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9491B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B8706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FAA380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6D3683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21060D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FE6A8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68B98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29F1E7C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BF10CD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</w:p>
    <w:p w14:paraId="2836435B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1F4D4A6A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4E883631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920839B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15AA3699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00AF9726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2A958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 xml:space="preserve">4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0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3ED0CC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7EDC149F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6FA83188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404E3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44E367B6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681F02E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74E6DA6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054D2430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909F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31CC4B7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1B4D078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7798BCC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6C7E7A0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B56AC44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4F37926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0CE7F730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5D4B60D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23495135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2C4E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042B7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01694AB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7AFA784A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3CA44298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0BD0BCE6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2626453E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4496041D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6861FDF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32676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3C0656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F306E11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FEAB49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1997A4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806A7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D824A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F522B2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655A8D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5720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5A70B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F05CFFF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64EE68C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4BC312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4F5E22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F4176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15CB61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D9761C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6CA3B9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C31F1C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B04E126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127947C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A16DD2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329ADF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21399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385E39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FD3E83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7DCE5A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3695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1026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5FFAE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277DB3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34281B7D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55FAF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0AF59B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1BAF72F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453645C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23215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792DEF2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B0985E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28EBF0E0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36763B46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624D6B03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166FABE1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4C2C867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5288059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FC948C5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049B451F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36C9C68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52A8C62E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09FF3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3E0E1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14945330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EE7F0CB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B93971B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45D61D7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8BA34C0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BA89707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CDA4187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41EDD34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789C49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768087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40218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DDFEDB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231459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7D2158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37F3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46B6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92703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1CA1D4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3AA085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8B331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579428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E138CC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2B3CCD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51F71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5515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3F96E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59959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FBE305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AD4740E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6ED2CF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BC026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51AE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5CFC2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6430F2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85663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67332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4B95D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2F023C3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256E9301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270C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5ACB76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887D0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A1150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E0642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FF9E0C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B2E01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40585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F250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7CF335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70B9BE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71C4B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090A8A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548577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693D9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FB08F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EF9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594EF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EC06A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1FA38F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4C545A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DB6349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96F02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CE4F5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F1D4D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B70847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4D650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55850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A6B3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6B179B8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1188A16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D7FC38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F2A2DE5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22249FC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D91FA6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6776BBA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F8A696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1D7A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AD7AA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E3CB3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A9208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A39FF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5D78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06315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DFC42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5FA6A0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E69CDD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79B4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90E66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15C4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F8FABE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CB9E58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C9004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1F87C6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F7D8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134F5B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E8E5A3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4E18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D3CE6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3DFF4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02400CA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5D838A2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1F8C0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CC2F05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A1E5E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A2025F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C3A204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63CBA7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F70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D8F9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AA4DF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393F6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C21B6B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53656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712D8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90354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D9A97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80531A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A0CDB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E39865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B5CCD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B289D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062073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6A15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92B59D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CEE54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85189F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CDAF26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038F5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3F844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BD6497B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B16DDB4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4347412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244D28C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66AC598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C4EF7D6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5084336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A11CCD5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91D20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023F03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C2DB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62F69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496DE7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61A1C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DC3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1E00F4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98C76A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D30051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2C7FE4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B478C7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E97B2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1750CF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9BFA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DCF79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12E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1369BC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2B7A2D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E62DBF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B0D998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BF2951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5F0352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F52F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9EBCB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E53F10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4D9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E6A72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93EE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37104F5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37853BF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ED5077F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2B9CB1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CFA1D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4D0F72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E4B7D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E3A63A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71EC8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71932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A1D57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1D3DD2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346168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889524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17DD29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44686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D3DCE9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FB61D3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82AA5F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8447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030B2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AD0E74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651B56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114FA8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B894ED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9894B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A08365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B062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3D9A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936C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F1330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2C2642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B378F1A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162D397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93156B1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334374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4C7169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16C37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84AC3C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3E87CD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531EA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B07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D6388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6114D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CF481D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227BFE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949081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2B7068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86E82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844036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0EC454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3747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3BBD35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36A415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53FDCB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870753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E3E1EF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BF04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ABE0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4DA7C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2D9E9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E89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CA1AD3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5CFBCF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3F7DDD8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62A2F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2F12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009F66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49F2A2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59CBF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2948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AF974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03DCE9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5B4EB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81647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964533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F0ACA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0F42CC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6D6B1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9F82D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5C52D8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481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A05786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4DC2D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9C59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8F67A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A094E7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B53BE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0BE53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DEBFC2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B97638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649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950A66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3C1BDBE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4C4C4FB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1A4F975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FBC35CA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8495627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AC0C556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50DA0C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4598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BB02C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FF4DEB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DE5884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B842CE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A80C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04E34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FFA867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8D082B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A7B77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BA3F2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3F8ADE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ECCDA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2112A0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7B717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9CE5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621EBE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2395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424DEE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A92ECAD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C35E81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DD45E1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1244EE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8C350E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78D39D0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25837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5B476E1D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9293563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04D5033C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7D29EBC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0695E915">
      <w:pPr>
        <w:spacing w:line="217" w:lineRule="auto"/>
        <w:rPr>
          <w:sz w:val="22"/>
          <w:szCs w:val="22"/>
        </w:rPr>
      </w:pPr>
    </w:p>
    <w:p w14:paraId="24737B55">
      <w:pPr>
        <w:spacing w:line="217" w:lineRule="auto"/>
        <w:rPr>
          <w:sz w:val="22"/>
          <w:szCs w:val="22"/>
        </w:rPr>
      </w:pPr>
    </w:p>
    <w:p w14:paraId="365150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张路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15873092356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08F6C45-B624-4790-9DC6-40661ACE66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BD50C5-ED44-4A04-B83B-F28285C8F5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95A8997-1926-4E44-9F62-809E473CAF9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F057E19-9F9C-4E2C-AEC8-5039AD71A78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CDDBDEA9-6729-47F0-860C-7FFF6D816CE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338319D-4DAC-46AC-BC66-9E513FEE4DB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E0746E1E-3E43-4920-83FA-01FBF540C8CF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21A95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B8EA7EB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8EA7EB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390DBFDF"/>
    <w:multiLevelType w:val="singleLevel"/>
    <w:tmpl w:val="390DBFDF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4A1DFD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63F69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B705B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BD662F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3">
    <w:name w:val="List Paragraph"/>
    <w:qFormat/>
    <w:uiPriority w:val="34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4728</Words>
  <Characters>5262</Characters>
  <Lines>0</Lines>
  <Paragraphs>0</Paragraphs>
  <TotalTime>1</TotalTime>
  <ScaleCrop>false</ScaleCrop>
  <LinksUpToDate>false</LinksUpToDate>
  <CharactersWithSpaces>5361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cp:lastPrinted>2025-07-01T08:26:00Z</cp:lastPrinted>
  <dcterms:modified xsi:type="dcterms:W3CDTF">2026-08-30T12:58:51Z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22E8BFD5237345D7879BA18ED24FC71D_13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