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70D35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</w:p>
    <w:p w14:paraId="4CF20C8A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4EB1EB68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2321E14F">
      <w:pPr>
        <w:spacing w:line="250" w:lineRule="auto"/>
        <w:rPr>
          <w:rFonts w:ascii="Arial"/>
          <w:color w:val="auto"/>
          <w:sz w:val="21"/>
          <w:highlight w:val="none"/>
        </w:rPr>
      </w:pPr>
    </w:p>
    <w:p w14:paraId="6BC9A7B7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5FCA7F41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4B41E2B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105BC6D4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73C9D152">
      <w:pPr>
        <w:spacing w:line="251" w:lineRule="auto"/>
        <w:rPr>
          <w:rFonts w:ascii="Arial"/>
          <w:color w:val="auto"/>
          <w:sz w:val="21"/>
          <w:highlight w:val="none"/>
        </w:rPr>
      </w:pPr>
    </w:p>
    <w:p w14:paraId="648315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年度岳阳市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第九中学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  <w:lang w:val="en-US" w:eastAsia="zh-CN"/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CA62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3C1DF2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1A1B6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AF7A1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auto"/>
          <w:spacing w:val="0"/>
          <w:position w:val="0"/>
          <w:sz w:val="22"/>
          <w:szCs w:val="22"/>
          <w:highlight w:val="none"/>
          <w:lang w:val="en-US" w:eastAsia="zh-CN"/>
        </w:rPr>
      </w:pPr>
    </w:p>
    <w:p w14:paraId="04152F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default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部门(单位)名称：岳阳市第九中学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 xml:space="preserve"> ( 盖 章 )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pacing w:val="0"/>
          <w:position w:val="0"/>
          <w:sz w:val="36"/>
          <w:szCs w:val="36"/>
          <w:highlight w:val="none"/>
          <w:lang w:val="en-US" w:eastAsia="zh-CN"/>
        </w:rPr>
        <w:t>2025年07月08日</w:t>
      </w:r>
    </w:p>
    <w:p w14:paraId="5C39BC5F">
      <w:pPr>
        <w:pStyle w:val="1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4C048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4A762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</w:pPr>
    </w:p>
    <w:p w14:paraId="3CEF1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val="en-US" w:eastAsia="zh-CN"/>
        </w:rPr>
        <w:t>岳阳市第九中学</w:t>
      </w: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  <w:lang w:eastAsia="zh-CN"/>
        </w:rPr>
        <w:t>单位</w:t>
      </w:r>
    </w:p>
    <w:p w14:paraId="348DB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6"/>
          <w:sz w:val="44"/>
          <w:szCs w:val="44"/>
          <w:highlight w:val="none"/>
        </w:rPr>
        <w:t>整体支出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highlight w:val="none"/>
        </w:rPr>
        <w:t>绩效自评报告</w:t>
      </w:r>
    </w:p>
    <w:p w14:paraId="7F4093C2">
      <w:pPr>
        <w:spacing w:line="283" w:lineRule="auto"/>
        <w:rPr>
          <w:rFonts w:ascii="Arial"/>
          <w:color w:val="auto"/>
          <w:sz w:val="21"/>
          <w:highlight w:val="none"/>
        </w:rPr>
      </w:pPr>
    </w:p>
    <w:p w14:paraId="2C914E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黑体" w:hAnsi="黑体" w:eastAsia="黑体" w:cs="黑体"/>
          <w:color w:val="auto"/>
          <w:spacing w:val="5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5"/>
          <w:sz w:val="31"/>
          <w:szCs w:val="31"/>
          <w:highlight w:val="none"/>
        </w:rPr>
        <w:t>基本情况</w:t>
      </w:r>
    </w:p>
    <w:p w14:paraId="229CAE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一）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职能职责</w:t>
      </w:r>
    </w:p>
    <w:p w14:paraId="4A31EA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600" w:firstLineChars="20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1、贯彻执行国家教育方针政策，深化教育改革，发展素质教育，稳步提高教学质量，促进教育事业发展。</w:t>
      </w:r>
    </w:p>
    <w:p w14:paraId="5F50161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2、保障人员经费，提高教师队伍幸福感。</w:t>
      </w:r>
    </w:p>
    <w:p w14:paraId="7EDAF4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3、管好用好预算内资金，改善和优化学校的办学条件。</w:t>
      </w:r>
    </w:p>
    <w:p w14:paraId="2E14AA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6" w:lineRule="atLeast"/>
        <w:ind w:left="0" w:right="0" w:firstLine="0"/>
        <w:jc w:val="both"/>
        <w:textAlignment w:val="center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　　4、促进学生全面发展，把教育教学质量放在首位，办人民满意的教育。</w:t>
      </w:r>
    </w:p>
    <w:p w14:paraId="107A47AB">
      <w:pPr>
        <w:keepNext/>
        <w:keepLines/>
        <w:widowControl/>
        <w:spacing w:beforeLines="0" w:afterLines="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学校基本情况</w:t>
      </w:r>
    </w:p>
    <w:p w14:paraId="0F4B3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本单位内设机构包括：办公室、教务处、教研处、政教处、后勤处、团委、工会。根据编办核定，我校共有教职工296人，其中：在职编制240人；离退休56人。年末学生人数3199人。</w:t>
      </w:r>
    </w:p>
    <w:p w14:paraId="3BF8D9B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lang w:val="en-US" w:eastAsia="zh-CN"/>
        </w:rPr>
        <w:t>（三）年度工作内容</w:t>
      </w:r>
    </w:p>
    <w:p w14:paraId="7486E1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1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zh-CN" w:eastAsia="zh-CN" w:bidi="ar-SA"/>
        </w:rPr>
        <w:t>、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党建工作。学校始终以党总支引领、书记负责、党支部落实、全员参与的形式开展党建工作。本年度已召开党建工作会议31次，组织主题党日活动8次、党总支班子集中学习11次、支部委员集中学习8次、党员自主学习12次；党员学习笔记累计830余篇。有效提升了党支部的组织力，增强了全体党员的政治素养。</w:t>
      </w:r>
    </w:p>
    <w:p w14:paraId="0A56F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、师德师风。学校不断强化师德师风建设，从上至下签订师德师风承诺书，开展师德师风培训，并通过专题讲座、报告会等形式，邀请师德模范、优秀教师分享经验。学校建立了师德师风考核评价机制，将师德表现作为教师年度考核、职务晋升、职称评审等的重要依据。</w:t>
      </w:r>
    </w:p>
    <w:p w14:paraId="0118CF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、德育工作。学校从《班级量化考评细则》和《中学生日常行为规范》入手，重点从生活习惯、学习习惯、运动习惯和社会公德等方面进行礼仪教育。严格落实“1530”安全教育和节假日“一日一提醒”制度，通过召开安全主题班会、家长会，增强学生的安全意识。抓主题活动，切实做好体卫艺工作。</w:t>
      </w:r>
    </w:p>
    <w:p w14:paraId="687B11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4、教学工作。教务处加强了教师的备、教、批、辅、考、评各个环节的管理，有具体明确的规范性要求，有课堂教学情况登记反馈制度，有随堂听课制度、有绩效考核评价办法等。同时注重教师队伍的培训和提升，通过组织教学研讨会、教学技能培训等活动，提高了教师的教学能力和专业素养。学校切实落实“双减”政策，深入研究教材教法，大胆创新，推进启发式、探究式、互动式高效教学。</w:t>
      </w:r>
    </w:p>
    <w:p w14:paraId="3E6929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5、教研工作。学校积极组织教师参与培训讲座，聘请教育专家来校开展“新教材培训”、“新课标解读”“基于核心素养的课堂教学转型”“信息技术与学科教学深度融合”等专题讲座。有效更新了教师的教育观念。鼓励教师积极参与教学研究，通过申报教学研究项目、发表教学论文等方式，推动了学校的教学改革和创新。</w:t>
      </w:r>
    </w:p>
    <w:p w14:paraId="0F055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6、心理健康教育工作。开设心理健康教育课程。通过生动有趣的课堂教学，引导学生认识自我，学会合理表达情绪，培养良好人际关系。举办心理健康讲座、心理漫画、手抄报展等活动，营造积极向上的校园心理文化氛围。</w:t>
      </w:r>
    </w:p>
    <w:p w14:paraId="0C18EA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7、后勤工作。后勤部门在水电、消防、直饮水和食堂等多个关键领域开展了细致且深入的安全保障工作。收费管理，确保信息公开透明。在财务制度执行方面，严格遵循国家相关财务法规和学校内部财务管理制度，规范财务核算流程，加强财务内部控制。每一笔财务收支都经过严格的审核审批程序，确保财务数据的准确性和真实性。</w:t>
      </w:r>
    </w:p>
    <w:p w14:paraId="69572D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8、工会工作。坚持校务公开制度，事关教师的职称评定、福利待遇、年度考核、评优选拔等都进行公示公开。多渠道开展丰富活动，活跃教职工业余文体生活。积极响应上级号召，组织我校全体教职工举行“出手吧姐姐温暖2024关爱困境妇女儿童”爱心线上捐助及“一日一元捐—灾后重建”现场募捐，两次善款募捐活动。坚持“以人为本”的理念，暑假期间组织教师做一次健康体检。探望病患23人次，慰问困难教职工10人。</w:t>
      </w:r>
    </w:p>
    <w:p w14:paraId="488C3DD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12" w:firstLineChars="200"/>
        <w:jc w:val="both"/>
        <w:textAlignment w:val="auto"/>
        <w:rPr>
          <w:rFonts w:ascii="黑体" w:hAnsi="黑体" w:eastAsia="黑体" w:cs="黑体"/>
          <w:color w:val="auto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二、</w:t>
      </w:r>
      <w:r>
        <w:rPr>
          <w:rFonts w:ascii="黑体" w:hAnsi="黑体" w:eastAsia="黑体" w:cs="黑体"/>
          <w:color w:val="auto"/>
          <w:spacing w:val="-31"/>
          <w:sz w:val="31"/>
          <w:szCs w:val="31"/>
          <w:highlight w:val="none"/>
        </w:rPr>
        <w:t xml:space="preserve"> </w:t>
      </w:r>
      <w:r>
        <w:rPr>
          <w:rFonts w:ascii="黑体" w:hAnsi="黑体" w:eastAsia="黑体" w:cs="黑体"/>
          <w:color w:val="auto"/>
          <w:spacing w:val="-2"/>
          <w:sz w:val="31"/>
          <w:szCs w:val="31"/>
          <w:highlight w:val="none"/>
        </w:rPr>
        <w:t>一般公共预算支出情况</w:t>
      </w:r>
    </w:p>
    <w:p w14:paraId="5BD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position w:val="21"/>
          <w:sz w:val="31"/>
          <w:szCs w:val="31"/>
          <w:highlight w:val="none"/>
        </w:rPr>
        <w:t>（一）基本支出情况</w:t>
      </w:r>
    </w:p>
    <w:p w14:paraId="38DED6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一般公共预算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基本支出202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年度总支出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4008.59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万元，其中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：</w:t>
      </w:r>
    </w:p>
    <w:p w14:paraId="46CA7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3715.83万元：包括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1175.63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8.10万元；奖金712.32万元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伙食补助费136.98万元；绩效工资647.94万元；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395.66万元；职工基本医疗保险缴费164.26万元；其他社会保障缴费30.81万元；住房公积金294.46万元；退休费135.14万元；其他对个人和家庭的补助14.53万元。 </w:t>
      </w:r>
    </w:p>
    <w:p w14:paraId="5565AB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292.76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办公费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14.96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万元；印刷费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24.95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9.85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万元；电费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30.00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邮电费2.76万元；物业管理费30.14万元；差旅费1.94万元；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24.94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租赁费0.77万元；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培训费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7.10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专用材料费8.00万元；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劳务费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24.81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工会经费0.75万元；其他交通费用1.96万元；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70.72万元；办公设备购置39.11万元。</w:t>
      </w:r>
    </w:p>
    <w:p w14:paraId="565119C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</w:pPr>
      <w:r>
        <w:rPr>
          <w:rFonts w:ascii="楷体" w:hAnsi="楷体" w:eastAsia="楷体" w:cs="楷体"/>
          <w:color w:val="auto"/>
          <w:spacing w:val="9"/>
          <w:sz w:val="31"/>
          <w:szCs w:val="31"/>
          <w:highlight w:val="none"/>
        </w:rPr>
        <w:t>项目支出情况</w:t>
      </w:r>
    </w:p>
    <w:p w14:paraId="34E6D079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年度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支出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528.98万元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非重点绩效项目支出，未开展项目绩效自评，无项目绩效自评结果。其中：</w:t>
      </w:r>
    </w:p>
    <w:p w14:paraId="4AD4A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人员经费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367.94万元：包括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基本工资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149.91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津贴补贴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0.21万元；奖金109.68万元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绩效工资18.05万元；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机关事业单位基本养老保险缴费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 xml:space="preserve">4.13万元；职工基本医疗保险缴费1.22万元；其他社会保障缴费3.47万元；住房公积金8.55万元；其他工资福利支出28.61万元；退休费40.18万元；奖励金3.93万元。 </w:t>
      </w:r>
    </w:p>
    <w:p w14:paraId="6ABC2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公用经费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161.04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</w:rPr>
        <w:t>万元</w:t>
      </w:r>
      <w:r>
        <w:rPr>
          <w:rFonts w:hint="eastAsia" w:ascii="仿宋" w:hAnsi="仿宋" w:eastAsia="仿宋" w:cs="仿宋"/>
          <w:b w:val="0"/>
          <w:bCs/>
          <w:color w:val="auto"/>
          <w:sz w:val="30"/>
          <w:szCs w:val="30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包括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维修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护）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费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15.85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福利费67.47万元；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</w:rPr>
        <w:t>其他商品和服务支</w:t>
      </w: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17.64万元；基础设备建设54.45万元；专用设备购置5.63万元。</w:t>
      </w:r>
    </w:p>
    <w:p w14:paraId="40ED3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三、政府性基金预算支出情况</w:t>
      </w:r>
    </w:p>
    <w:p w14:paraId="6782FCD7">
      <w:pPr>
        <w:pStyle w:val="12"/>
        <w:rPr>
          <w:rFonts w:hint="default"/>
          <w:color w:val="auto"/>
          <w:highlight w:val="none"/>
          <w:lang w:val="en-US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本单位2024年年度政府性基金预算支出0万元。</w:t>
      </w:r>
    </w:p>
    <w:p w14:paraId="4D22B58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7"/>
          <w:position w:val="21"/>
          <w:sz w:val="31"/>
          <w:szCs w:val="31"/>
          <w:highlight w:val="none"/>
        </w:rPr>
        <w:t>国有资本经营预算支出情况</w:t>
      </w:r>
    </w:p>
    <w:p w14:paraId="66899A62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本单位2024年年度国有资本经营预算支出0万元。</w:t>
      </w:r>
    </w:p>
    <w:p w14:paraId="74C03A3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社会保险基金预算支出情况</w:t>
      </w:r>
    </w:p>
    <w:p w14:paraId="51B5CACB">
      <w:pPr>
        <w:pStyle w:val="12"/>
        <w:rPr>
          <w:color w:val="auto"/>
          <w:highlight w:val="none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本单位2024年年度社会保险基金预算支出0万元。</w:t>
      </w:r>
    </w:p>
    <w:p w14:paraId="5865AAF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</w:pP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整体支出绩效情况</w:t>
      </w:r>
    </w:p>
    <w:p w14:paraId="07A6E5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2024年度，学校的各项工作在岳阳楼区教育局的正确指导下，以办好人民满意的教育为目标，全面贯彻党的教育方针，落实立德树人根本任务，坚持党建引领，坚持“五育”并举，不断创新工作思路，多措并举扎实推进教育教学工作，助推学校教育高质量发展。</w:t>
      </w:r>
    </w:p>
    <w:p w14:paraId="5F212830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一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产出指标完成情况分析</w:t>
      </w:r>
    </w:p>
    <w:p w14:paraId="4E371FA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数量指标</w:t>
      </w:r>
    </w:p>
    <w:p w14:paraId="25D3A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1）我校共有教职工296人，其中：在职编制240人；离退休56人。年末学生人数3199人。</w:t>
      </w:r>
    </w:p>
    <w:p w14:paraId="3E86CC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扶助困难学生18人，金额为18000元。扶助困难教师4人，金额为8000元。</w:t>
      </w:r>
    </w:p>
    <w:p w14:paraId="0324C8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通过组织教学研讨会、教学技能培训等活动，提高了教师的教学能力和专业素养。本年度组织教职工进行师德师风专题培训7次，积极选派教师参加省、市、区级教学研讨会、以及各类培训课程。本年度累计派出教师外出学习245人次。</w:t>
      </w:r>
    </w:p>
    <w:p w14:paraId="1B8B28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2、质量指标</w:t>
      </w:r>
    </w:p>
    <w:p w14:paraId="7FBBD0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后勤部门在水电、消防、直饮水和食堂等多个关键领域开展了细致且深入的安全保障工作。一年来，累计完成水电设备维修300多次，确保了水电供应的持续稳定。制定并完善了详细的消防安全制度和应急预案。定期组织专业人员对校园内所有消防设施，包括灭火器、消火栓、火灾报警器等进行全面检查和维护，确保其性能完好、随时可用。每月定期开展一次消防安全检查，组织全校师生参与消防演练1次。安排专人负责定期对直饮水设备进行清洁、消毒，同时按照规定的检测周期，委托专业检测机构对直饮水水质进行检测，确保水质符合国家相关标准。过去一年，直饮水水质检测全部达标。食堂落实各项防卫措施，严格执行《食品卫生法》、《学生群众用餐管理办法》等制度，按照上级要求严格进行管控。成立以何厚龙书记为组长的食堂卫生安全工作领导小组。食堂的菜品质量，口感，卫生都得到了师生、家长和社会各界的一致好评。</w:t>
      </w:r>
    </w:p>
    <w:p w14:paraId="62EB1E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学校加入了岳阳市胡莉华心理名师工作室，设立了心理咨询室，一位专职心理教师，七位兼职心理教师，为学生提供一对一的心理咨询服务。5月心理健康月，我校案例““愈”见心灵，温暖同行”获岳阳市心理健康月活动案例一等奖。针对不同年级学生的心理课《闪闪发光的我》 、《中考这件事》、《升级意志力--做手机的主人》、《我会保护我自己》、《保护青春期安全》等都受到了学生的一致好评。</w:t>
      </w:r>
    </w:p>
    <w:p w14:paraId="2DCB0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3）学校切实落实“双减”政策，深入研究教材教法，大胆创新，推进启发式、探究式、互动式高效教学。</w:t>
      </w:r>
    </w:p>
    <w:p w14:paraId="78F0A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3、时效指标</w:t>
      </w:r>
    </w:p>
    <w:p w14:paraId="2BDC4C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年内及时完成承诺的产出任务。</w:t>
      </w:r>
    </w:p>
    <w:p w14:paraId="0C7BBF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4、成本指标</w:t>
      </w:r>
    </w:p>
    <w:p w14:paraId="43E59C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严格控制“三公”经费列支，做到“三公”经费支出0万元；全年教育投入经费5192.39万元。</w:t>
      </w:r>
    </w:p>
    <w:p w14:paraId="583135D4">
      <w:pPr>
        <w:numPr>
          <w:ilvl w:val="0"/>
          <w:numId w:val="0"/>
        </w:numPr>
        <w:spacing w:line="240" w:lineRule="auto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auto"/>
          <w:kern w:val="0"/>
          <w:sz w:val="30"/>
          <w:szCs w:val="30"/>
          <w:highlight w:val="none"/>
        </w:rPr>
        <w:t>指标完成情况分析</w:t>
      </w:r>
    </w:p>
    <w:p w14:paraId="3AB1F9E0">
      <w:pPr>
        <w:spacing w:line="240" w:lineRule="auto"/>
        <w:ind w:firstLine="600" w:firstLineChars="200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1、经济效益</w:t>
      </w:r>
    </w:p>
    <w:p w14:paraId="4BF94FC3">
      <w:pPr>
        <w:numPr>
          <w:ilvl w:val="0"/>
          <w:numId w:val="0"/>
        </w:numPr>
        <w:spacing w:line="240" w:lineRule="auto"/>
        <w:ind w:left="0" w:leftChars="0" w:firstLine="600" w:firstLineChars="200"/>
        <w:jc w:val="left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为保障学校工作能够正常开展，各项经费使用率达到了100%</w:t>
      </w: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 xml:space="preserve">。 </w:t>
      </w:r>
    </w:p>
    <w:p w14:paraId="07B92B9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社会效益</w:t>
      </w:r>
    </w:p>
    <w:p w14:paraId="72BA70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1）抓主题活动，创活力校园。举办了班级篮球联赛、足球联赛。在2024年岳阳楼区中小学成建制合唱比赛评比中获一等奖，篮球联赛中获男子第二名、女子第四名。举行第十一届“同在一片蓝天下”爱心捐书活动，学生共捐赠精美图书近2000余册。积极开展纪念“中国水周”、“世界地球日”、“地球一小时”、“世界环境日”、“世界生物多样性日”等主题活动。组织70名新团员、老师、党员代表赴岳阳市烈士陵园参加纪念“国家公祭日”暨新团员宣誓仪式，教育学生铭记历史，勿忘国耻。通过多种形式开展了以“拒绝校园暴力，共建平安和谐校园”为主题的中学青少年法治宣传教育周活动。积极开展了纪念第37个“世界无烟日“活动，加强控烟宣传和教育活动，组织学生参观岳阳市禁毒教育基地。</w:t>
      </w:r>
    </w:p>
    <w:p w14:paraId="5AF5E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2）通过申报教学研究项目、发表教学论文等方式，推动了学校的教学改革和创新。本年度，我校教师成功立项省级课题2项、市级课题1项、区级课题14项。共开展公开课、示范课活动120节次以上，建立了完善的教学质量监控体系，通过定期的教学检查、学生评教、教师互评等方式，对教学质量进行了全面的评估。针对发现的问题，及时与教师沟通，共同寻求解决方案，有效提升了教学质量。</w:t>
      </w:r>
    </w:p>
    <w:p w14:paraId="3958AF7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生态效益</w:t>
      </w:r>
    </w:p>
    <w:p w14:paraId="7A9E5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不适用。</w:t>
      </w:r>
    </w:p>
    <w:p w14:paraId="23DA3D6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可持续影响</w:t>
      </w:r>
    </w:p>
    <w:p w14:paraId="18044802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1）</w:t>
      </w:r>
      <w:r>
        <w:rPr>
          <w:rFonts w:hint="eastAsia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今年我校</w:t>
      </w: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9个学科组被评为“岳阳楼区教学质量先进学科组”，曾超老师被评为岳阳楼区“十佳教育工作者”。在岳阳楼区举办的第十四届“金钥匙”初中课堂教学竞赛中，易晓莲、卢叶静、肖青青三位老师荣获特等奖，夏天红老师荣获一等奖，杨紫珺老师荣获二等奖。在2024年岳阳市“金鹗奖”教学竞赛决赛中，刘慧、肖青青分别荣获金奖和一等奖。</w:t>
      </w:r>
    </w:p>
    <w:p w14:paraId="3E580F74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2）本年度学校荣获2024年度“湖南省平安建设示范校”、“首届湖南省基础教育教学改革研究项目实验学校”、2024年度“岳阳市巾帼建功先进集体”、2023-2024学年度“岳阳市初中教育教学质量先进学校”、2024年“岳阳楼区中学生建制班合唱比赛一等奖”、2023-2024学年度“岳阳楼区初中教育教学质量先进单位”等15项集体荣誉。</w:t>
      </w:r>
    </w:p>
    <w:p w14:paraId="7B28FA28">
      <w:pPr>
        <w:pStyle w:val="3"/>
        <w:ind w:firstLine="600" w:firstLineChars="200"/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color w:val="auto"/>
          <w:kern w:val="2"/>
          <w:sz w:val="30"/>
          <w:szCs w:val="30"/>
          <w:highlight w:val="none"/>
          <w:lang w:val="en-US" w:eastAsia="zh-CN" w:bidi="ar-SA"/>
        </w:rPr>
        <w:t>3）学校还利用公众号、校园网、宣传栏等媒介，广泛宣传师德师风建设的重要意义和先进典型，营造了良好的舆论氛围。全年共在岳阳日报、岳阳晚报、楼区融媒体等主流媒体上发表教育宣传稿件29余篇，学校的教育教学、师生风采、校园文化活动等方面的成绩得到了广泛的宣传，有效提升了学校的社会影响力。</w:t>
      </w:r>
    </w:p>
    <w:p w14:paraId="6F7703A1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社会公众满意度</w:t>
      </w:r>
    </w:p>
    <w:p w14:paraId="259AA4EE">
      <w:pPr>
        <w:pStyle w:val="1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textAlignment w:val="auto"/>
        <w:rPr>
          <w:rFonts w:hint="eastAsia"/>
          <w:color w:val="auto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师生对学校管理满意度98%，家长对学校管理满意度98%。</w:t>
      </w:r>
    </w:p>
    <w:p w14:paraId="45F90FB4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存在的问题及原因分析</w:t>
      </w:r>
    </w:p>
    <w:p w14:paraId="0F9FA9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部分学科的教学质量还有待提高；教师队伍的整体水平还需进一步提升；学生的创新能力和实践能力还需进一步加强等。</w:t>
      </w:r>
    </w:p>
    <w:p w14:paraId="7E15A9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</w:pPr>
      <w:r>
        <w:rPr>
          <w:rFonts w:ascii="黑体" w:hAnsi="黑体" w:eastAsia="黑体" w:cs="黑体"/>
          <w:color w:val="auto"/>
          <w:spacing w:val="8"/>
          <w:sz w:val="31"/>
          <w:szCs w:val="31"/>
          <w:highlight w:val="none"/>
        </w:rPr>
        <w:t>八、下一步改进措施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pacing w:val="8"/>
          <w:sz w:val="31"/>
          <w:szCs w:val="31"/>
          <w:highlight w:val="none"/>
          <w:lang w:val="en-US" w:eastAsia="zh-CN"/>
        </w:rPr>
        <w:t>工作建议</w:t>
      </w:r>
    </w:p>
    <w:p w14:paraId="4F97B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一是加强教学管理和质量监督，提高教学质量；二是加大教师培训力度，提升教师的专业素养和教学能力；三是加强实践教学环节，培养学生的创新能力和实践能力。</w:t>
      </w:r>
    </w:p>
    <w:p w14:paraId="0BBA3B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九、</w:t>
      </w:r>
      <w:r>
        <w:rPr>
          <w:rFonts w:hint="eastAsia" w:ascii="黑体" w:hAnsi="黑体" w:eastAsia="黑体" w:cs="黑体"/>
          <w:color w:val="auto"/>
          <w:spacing w:val="9"/>
          <w:position w:val="21"/>
          <w:sz w:val="31"/>
          <w:szCs w:val="31"/>
          <w:highlight w:val="none"/>
          <w:lang w:eastAsia="zh-CN"/>
        </w:rPr>
        <w:t>单位</w:t>
      </w:r>
      <w:r>
        <w:rPr>
          <w:rFonts w:ascii="黑体" w:hAnsi="黑体" w:eastAsia="黑体" w:cs="黑体"/>
          <w:color w:val="auto"/>
          <w:spacing w:val="9"/>
          <w:position w:val="21"/>
          <w:sz w:val="31"/>
          <w:szCs w:val="31"/>
          <w:highlight w:val="none"/>
        </w:rPr>
        <w:t>整体支出绩效自评结果拟应用和公开</w:t>
      </w:r>
      <w:r>
        <w:rPr>
          <w:rFonts w:ascii="黑体" w:hAnsi="黑体" w:eastAsia="黑体" w:cs="黑体"/>
          <w:color w:val="auto"/>
          <w:spacing w:val="8"/>
          <w:position w:val="21"/>
          <w:sz w:val="31"/>
          <w:szCs w:val="31"/>
          <w:highlight w:val="none"/>
        </w:rPr>
        <w:t>情况</w:t>
      </w:r>
    </w:p>
    <w:p w14:paraId="2B8931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  <w:t>高度重视绩效评价结果的应用工作，积极探索和建立一套与预算管理相结合、多渠道应用评价结果的有效机制，着力提高绩效意识和财政资金使用效益。同时将部门整体支出绩效自评报告在单位门户网站上进行公开，广泛接受社会监督。</w:t>
      </w:r>
    </w:p>
    <w:p w14:paraId="674A111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</w:pPr>
      <w:r>
        <w:rPr>
          <w:rFonts w:ascii="黑体" w:hAnsi="黑体" w:eastAsia="黑体" w:cs="黑体"/>
          <w:color w:val="auto"/>
          <w:spacing w:val="-3"/>
          <w:sz w:val="31"/>
          <w:szCs w:val="31"/>
          <w:highlight w:val="none"/>
        </w:rPr>
        <w:t>其他需要说明的情况</w:t>
      </w:r>
    </w:p>
    <w:p w14:paraId="71C7A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ascii="Arial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pacing w:val="0"/>
          <w:position w:val="0"/>
          <w:sz w:val="30"/>
          <w:szCs w:val="30"/>
          <w:highlight w:val="none"/>
          <w:lang w:val="en-US" w:eastAsia="zh-CN"/>
        </w:rPr>
        <w:t>无</w:t>
      </w:r>
    </w:p>
    <w:p w14:paraId="1CDC4C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62E99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54BE77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eastAsia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E375B4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color w:val="auto"/>
          <w:spacing w:val="6"/>
          <w:highlight w:val="none"/>
        </w:rPr>
        <w:t>附件：</w:t>
      </w: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1、单位整体支出绩效评价基础数据表</w:t>
      </w:r>
    </w:p>
    <w:p w14:paraId="23274E0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0" w:firstLine="1098" w:firstLineChars="300"/>
        <w:jc w:val="left"/>
        <w:textAlignment w:val="auto"/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2、单位整体支出绩效自评表</w:t>
      </w:r>
    </w:p>
    <w:p w14:paraId="1440B2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1098" w:firstLineChars="30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pacing w:val="8"/>
          <w:kern w:val="2"/>
          <w:sz w:val="35"/>
          <w:szCs w:val="35"/>
          <w:highlight w:val="none"/>
          <w:lang w:val="en-US" w:eastAsia="zh-CN" w:bidi="ar-SA"/>
        </w:rPr>
        <w:t>3、项目支出绩效自评表</w:t>
      </w:r>
    </w:p>
    <w:p w14:paraId="3079BD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177D2C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252B63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04446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491763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003B34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6C3405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00" w:firstLineChars="0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</w:p>
    <w:p w14:paraId="1CD118EA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3F4B7187">
      <w:pPr>
        <w:spacing w:before="64" w:line="230" w:lineRule="auto"/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</w:pPr>
    </w:p>
    <w:p w14:paraId="64F5E96F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pacing w:val="-60"/>
          <w:sz w:val="31"/>
          <w:szCs w:val="31"/>
          <w:highlight w:val="none"/>
          <w:lang w:val="en-US" w:eastAsia="zh-CN"/>
        </w:rPr>
        <w:t>1</w:t>
      </w:r>
    </w:p>
    <w:p w14:paraId="5F676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</w:rPr>
        <w:t>整体支出绩效评价基础数据表</w:t>
      </w:r>
    </w:p>
    <w:p w14:paraId="02FED1C1">
      <w:pPr>
        <w:spacing w:line="115" w:lineRule="exact"/>
        <w:rPr>
          <w:color w:val="auto"/>
          <w:highlight w:val="none"/>
        </w:rPr>
      </w:pPr>
    </w:p>
    <w:tbl>
      <w:tblPr>
        <w:tblStyle w:val="10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391F9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8286521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776DA30">
            <w:pPr>
              <w:spacing w:before="103" w:line="219" w:lineRule="auto"/>
              <w:ind w:left="708"/>
              <w:rPr>
                <w:rFonts w:hint="default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岳阳市第九中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6DDF6D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EE6BC61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4A1C678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highlight w:val="none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657CB095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1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1541D13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控制率</w:t>
            </w:r>
          </w:p>
        </w:tc>
      </w:tr>
      <w:tr w14:paraId="0BBD9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2629996F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5BBEF47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240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E80BD7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240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top"/>
          </w:tcPr>
          <w:p w14:paraId="0862D7E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00.00</w:t>
            </w:r>
            <w:r>
              <w:rPr>
                <w:rFonts w:hint="default" w:ascii="宋体" w:hAnsi="宋体" w:eastAsia="宋体" w:cs="宋体"/>
                <w:color w:val="auto"/>
                <w:sz w:val="22"/>
                <w:szCs w:val="22"/>
                <w:highlight w:val="none"/>
                <w:lang w:val="en-US" w:eastAsia="zh-CN"/>
              </w:rPr>
              <w:t>%</w:t>
            </w:r>
          </w:p>
        </w:tc>
      </w:tr>
      <w:tr w14:paraId="348126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4543A65A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24"/>
                <w:szCs w:val="24"/>
                <w:highlight w:val="none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F7141DA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061D06C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color w:val="auto"/>
                <w:spacing w:val="-2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261914F0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4"/>
                <w:sz w:val="24"/>
                <w:szCs w:val="24"/>
                <w:highlight w:val="none"/>
              </w:rPr>
              <w:t>年决算数</w:t>
            </w:r>
          </w:p>
        </w:tc>
      </w:tr>
      <w:tr w14:paraId="375B0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DC81000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662E121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D258A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08424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E197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1B6B725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824B67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0AADBA6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BB54D8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51E7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BB850BD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4"/>
                <w:szCs w:val="24"/>
                <w:highlight w:val="none"/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0713E51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A83820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D68B22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1D0E90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9A641DA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55547487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3E2805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7CD4047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511DD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78D88F41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24"/>
                <w:szCs w:val="24"/>
                <w:highlight w:val="none"/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548FBF6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36F8212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771732A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0AB435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178A54D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240CF073">
            <w:pPr>
              <w:jc w:val="center"/>
              <w:rPr>
                <w:rFonts w:hint="default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DC7356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10C9E3F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48D2A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8BAB0C8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9"/>
                <w:sz w:val="24"/>
                <w:szCs w:val="24"/>
                <w:highlight w:val="none"/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8E754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93034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7C0E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1183.8</w:t>
            </w:r>
          </w:p>
        </w:tc>
      </w:tr>
      <w:tr w14:paraId="05122F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C5D2C4C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413FCC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71BE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612F28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1183.8</w:t>
            </w:r>
          </w:p>
        </w:tc>
      </w:tr>
      <w:tr w14:paraId="3146E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3BF9A149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4E7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EE45B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41A67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7702C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462581D7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级专项资金(一个专项一行)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44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CFE6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35480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  <w:lang w:val="en-US" w:eastAsia="zh-CN"/>
              </w:rPr>
            </w:pPr>
          </w:p>
        </w:tc>
      </w:tr>
      <w:tr w14:paraId="513CD7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3850" w:type="dxa"/>
            <w:noWrap w:val="0"/>
            <w:vAlign w:val="top"/>
          </w:tcPr>
          <w:p w14:paraId="75420F01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BC827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412.98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3DB995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299.48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3716C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292.76</w:t>
            </w:r>
          </w:p>
        </w:tc>
      </w:tr>
      <w:tr w14:paraId="6D3A2B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61AC766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D3247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19.83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160FE1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28F72B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14.96</w:t>
            </w:r>
          </w:p>
        </w:tc>
      </w:tr>
      <w:tr w14:paraId="58D34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CBD2786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44601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42.02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47143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14FCFD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41.79</w:t>
            </w:r>
          </w:p>
        </w:tc>
      </w:tr>
      <w:tr w14:paraId="6A4EB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5BF211B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E2042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16.39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FEB7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13.6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21534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7.1</w:t>
            </w:r>
          </w:p>
        </w:tc>
      </w:tr>
      <w:tr w14:paraId="19FE36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16CBDE72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24"/>
                <w:szCs w:val="24"/>
                <w:highlight w:val="none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8118A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240.11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2316A0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248</w:t>
            </w:r>
          </w:p>
        </w:tc>
        <w:tc>
          <w:tcPr>
            <w:tcW w:w="1679" w:type="dxa"/>
            <w:gridSpan w:val="2"/>
            <w:shd w:val="clear" w:color="auto" w:fill="auto"/>
            <w:noWrap w:val="0"/>
            <w:vAlign w:val="center"/>
          </w:tcPr>
          <w:p w14:paraId="042EC7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292.01</w:t>
            </w:r>
          </w:p>
        </w:tc>
      </w:tr>
      <w:tr w14:paraId="125F64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818D593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0E47421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0EC54C4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4F60006C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321B5B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0C1924A1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position w:val="14"/>
                <w:sz w:val="24"/>
                <w:szCs w:val="24"/>
                <w:highlight w:val="none"/>
              </w:rPr>
              <w:t>楼堂馆所控制情况</w:t>
            </w:r>
          </w:p>
          <w:p w14:paraId="390BCACD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(202</w:t>
            </w:r>
            <w:r>
              <w:rPr>
                <w:rFonts w:hint="eastAsia" w:ascii="宋体" w:hAnsi="宋体" w:cs="宋体"/>
                <w:color w:val="auto"/>
                <w:spacing w:val="3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24"/>
                <w:szCs w:val="24"/>
                <w:highlight w:val="none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D802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批复规模</w:t>
            </w:r>
          </w:p>
          <w:p w14:paraId="1522E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649C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实际规</w:t>
            </w:r>
          </w:p>
          <w:p w14:paraId="4B9C91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073E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CE2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预算投资</w:t>
            </w:r>
          </w:p>
          <w:p w14:paraId="78589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1FDA0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实际</w:t>
            </w:r>
          </w:p>
          <w:p w14:paraId="63FD5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</w:t>
            </w:r>
          </w:p>
          <w:p w14:paraId="6D119F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4F1DC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投资概</w:t>
            </w:r>
          </w:p>
          <w:p w14:paraId="223FC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算控制</w:t>
            </w:r>
          </w:p>
          <w:p w14:paraId="1299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</w:rPr>
              <w:t>率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pacing w:val="0"/>
                <w:position w:val="0"/>
                <w:sz w:val="20"/>
                <w:szCs w:val="20"/>
                <w:highlight w:val="none"/>
                <w:lang w:val="en-US" w:eastAsia="zh-CN"/>
              </w:rPr>
              <w:t>%）</w:t>
            </w:r>
          </w:p>
        </w:tc>
      </w:tr>
      <w:tr w14:paraId="0EFF44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D6EC06D">
            <w:pPr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25" w:type="dxa"/>
            <w:noWrap w:val="0"/>
            <w:vAlign w:val="top"/>
          </w:tcPr>
          <w:p w14:paraId="087706A3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990" w:type="dxa"/>
            <w:noWrap w:val="0"/>
            <w:vAlign w:val="top"/>
          </w:tcPr>
          <w:p w14:paraId="41F296DD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40" w:type="dxa"/>
            <w:noWrap w:val="0"/>
            <w:vAlign w:val="top"/>
          </w:tcPr>
          <w:p w14:paraId="6552FDBC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1185" w:type="dxa"/>
            <w:noWrap w:val="0"/>
            <w:vAlign w:val="top"/>
          </w:tcPr>
          <w:p w14:paraId="1CA9DD82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10" w:type="dxa"/>
            <w:noWrap w:val="0"/>
            <w:vAlign w:val="top"/>
          </w:tcPr>
          <w:p w14:paraId="06465CE1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  <w:tc>
          <w:tcPr>
            <w:tcW w:w="869" w:type="dxa"/>
            <w:noWrap w:val="0"/>
            <w:vAlign w:val="top"/>
          </w:tcPr>
          <w:p w14:paraId="755679AD">
            <w:pPr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</w:p>
        </w:tc>
      </w:tr>
      <w:tr w14:paraId="106040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2" w:hRule="atLeast"/>
        </w:trPr>
        <w:tc>
          <w:tcPr>
            <w:tcW w:w="3850" w:type="dxa"/>
            <w:noWrap w:val="0"/>
            <w:vAlign w:val="top"/>
          </w:tcPr>
          <w:p w14:paraId="7803B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24"/>
                <w:szCs w:val="24"/>
                <w:highlight w:val="none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7FE7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highlight w:val="none"/>
              </w:rPr>
              <w:t>1.精简会议支出，严格执行会议开支标准；2.节约公共资源，注意用水、用电等；3.严控资产购置，提高资产使用效率。</w:t>
            </w:r>
          </w:p>
        </w:tc>
      </w:tr>
    </w:tbl>
    <w:p w14:paraId="2D47CD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10" w:lineRule="exact"/>
        <w:ind w:left="0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3D119D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</w:p>
    <w:p w14:paraId="3B9A5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eastAsia="宋体"/>
          <w:color w:val="auto"/>
          <w:sz w:val="28"/>
          <w:szCs w:val="28"/>
          <w:highlight w:val="none"/>
          <w:lang w:val="en-US" w:eastAsia="zh-CN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夏芬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13367308088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0C185200">
      <w:pPr>
        <w:spacing w:before="64" w:line="230" w:lineRule="auto"/>
        <w:rPr>
          <w:rFonts w:hint="eastAsia" w:ascii="Times New Roman" w:hAnsi="Times New Roman" w:eastAsia="黑体" w:cs="Times New Roman"/>
          <w:color w:val="auto"/>
          <w:sz w:val="31"/>
          <w:szCs w:val="31"/>
          <w:highlight w:val="none"/>
          <w:lang w:eastAsia="zh-CN"/>
        </w:rPr>
      </w:pPr>
      <w:r>
        <w:rPr>
          <w:rFonts w:ascii="黑体" w:hAnsi="黑体" w:eastAsia="黑体" w:cs="黑体"/>
          <w:color w:val="auto"/>
          <w:spacing w:val="-4"/>
          <w:sz w:val="31"/>
          <w:szCs w:val="31"/>
          <w:highlight w:val="none"/>
        </w:rPr>
        <w:t>附件</w:t>
      </w:r>
      <w:r>
        <w:rPr>
          <w:rFonts w:ascii="黑体" w:hAnsi="黑体" w:eastAsia="黑体" w:cs="黑体"/>
          <w:color w:val="auto"/>
          <w:spacing w:val="-60"/>
          <w:sz w:val="31"/>
          <w:szCs w:val="3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color w:val="auto"/>
          <w:spacing w:val="-4"/>
          <w:sz w:val="31"/>
          <w:szCs w:val="31"/>
          <w:highlight w:val="none"/>
          <w:lang w:val="en-US" w:eastAsia="zh-CN"/>
        </w:rPr>
        <w:t>2</w:t>
      </w:r>
    </w:p>
    <w:p w14:paraId="3824D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2"/>
          <w:sz w:val="42"/>
          <w:szCs w:val="42"/>
          <w:highlight w:val="none"/>
          <w:lang w:eastAsia="zh-CN"/>
        </w:rPr>
        <w:t xml:space="preserve"> 年度预算单位整体支出绩效自评表</w:t>
      </w:r>
    </w:p>
    <w:tbl>
      <w:tblPr>
        <w:tblStyle w:val="10"/>
        <w:tblpPr w:leftFromText="180" w:rightFromText="180" w:vertAnchor="text" w:horzAnchor="page" w:tblpXSpec="center" w:tblpY="116"/>
        <w:tblOverlap w:val="never"/>
        <w:tblW w:w="1008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132095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  <w:jc w:val="center"/>
        </w:trPr>
        <w:tc>
          <w:tcPr>
            <w:tcW w:w="3197" w:type="dxa"/>
            <w:gridSpan w:val="3"/>
            <w:noWrap w:val="0"/>
            <w:vAlign w:val="top"/>
          </w:tcPr>
          <w:p w14:paraId="39D1630C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5FF56A0A">
            <w:pPr>
              <w:pStyle w:val="11"/>
              <w:spacing w:line="239" w:lineRule="exact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20"/>
                <w:szCs w:val="20"/>
                <w:highlight w:val="none"/>
                <w:lang w:val="en-US" w:eastAsia="zh-CN"/>
              </w:rPr>
              <w:t>岳阳市第九中</w:t>
            </w:r>
            <w:r>
              <w:rPr>
                <w:color w:val="auto"/>
                <w:highlight w:val="none"/>
                <w:lang w:val="en-US" w:eastAsia="zh-CN"/>
              </w:rPr>
              <w:t>学</w:t>
            </w:r>
          </w:p>
        </w:tc>
      </w:tr>
      <w:tr w14:paraId="125090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0EB21FB">
            <w:pPr>
              <w:pStyle w:val="11"/>
              <w:spacing w:line="467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DE62B8F">
            <w:pPr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年度预</w:t>
            </w:r>
          </w:p>
          <w:p w14:paraId="3FBEDF48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算申请</w:t>
            </w:r>
          </w:p>
          <w:p w14:paraId="2A2FA8DD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kern w:val="2"/>
                <w:sz w:val="19"/>
                <w:szCs w:val="19"/>
                <w:highlight w:val="none"/>
                <w:lang w:val="en-US" w:eastAsia="zh-CN" w:bidi="ar-SA"/>
              </w:rPr>
              <w:t>(万元)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4BB83FBE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  <w:tc>
          <w:tcPr>
            <w:tcW w:w="1269" w:type="dxa"/>
            <w:noWrap w:val="0"/>
            <w:vAlign w:val="top"/>
          </w:tcPr>
          <w:p w14:paraId="5B514561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08F010F1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243C6638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1F27A689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6B779997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7013E5F2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自评得分</w:t>
            </w:r>
          </w:p>
        </w:tc>
      </w:tr>
      <w:tr w14:paraId="736359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91BF2D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505D4B80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年度资金总额</w:t>
            </w:r>
          </w:p>
        </w:tc>
        <w:tc>
          <w:tcPr>
            <w:tcW w:w="1269" w:type="dxa"/>
            <w:noWrap w:val="0"/>
            <w:vAlign w:val="top"/>
          </w:tcPr>
          <w:p w14:paraId="0E48AF0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4085.79</w:t>
            </w:r>
          </w:p>
        </w:tc>
        <w:tc>
          <w:tcPr>
            <w:tcW w:w="1310" w:type="dxa"/>
            <w:noWrap w:val="0"/>
            <w:vAlign w:val="top"/>
          </w:tcPr>
          <w:p w14:paraId="1EEB91C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5202.39</w:t>
            </w:r>
          </w:p>
        </w:tc>
        <w:tc>
          <w:tcPr>
            <w:tcW w:w="1268" w:type="dxa"/>
            <w:noWrap w:val="0"/>
            <w:vAlign w:val="top"/>
          </w:tcPr>
          <w:p w14:paraId="4E0B7150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5192.39</w:t>
            </w:r>
          </w:p>
        </w:tc>
        <w:tc>
          <w:tcPr>
            <w:tcW w:w="716" w:type="dxa"/>
            <w:noWrap w:val="0"/>
            <w:vAlign w:val="top"/>
          </w:tcPr>
          <w:p w14:paraId="6C4E8B38">
            <w:pPr>
              <w:pStyle w:val="11"/>
              <w:spacing w:before="54" w:line="194" w:lineRule="auto"/>
              <w:ind w:left="270" w:leftChars="0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0"/>
                <w:sz w:val="19"/>
                <w:szCs w:val="19"/>
                <w:highlight w:val="none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3CA874F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99.81%</w:t>
            </w:r>
          </w:p>
        </w:tc>
        <w:tc>
          <w:tcPr>
            <w:tcW w:w="1450" w:type="dxa"/>
            <w:noWrap w:val="0"/>
            <w:vAlign w:val="top"/>
          </w:tcPr>
          <w:p w14:paraId="2F6FFAE6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9.98</w:t>
            </w:r>
          </w:p>
        </w:tc>
      </w:tr>
      <w:tr w14:paraId="4CF047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09F2D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72315D3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795630F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按支出性质分：</w:t>
            </w:r>
          </w:p>
        </w:tc>
      </w:tr>
      <w:tr w14:paraId="460A4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C0E7FA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BD6AF1F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其中：</w:t>
            </w:r>
            <w:r>
              <w:rPr>
                <w:rFonts w:hint="eastAsia" w:ascii="宋体" w:hAnsi="宋体" w:eastAsia="宋体" w:cs="宋体"/>
                <w:color w:val="auto"/>
                <w:spacing w:val="24"/>
                <w:sz w:val="19"/>
                <w:szCs w:val="19"/>
                <w:highlight w:val="non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</w:rPr>
              <w:t>一般公共预算：</w:t>
            </w:r>
            <w:r>
              <w:rPr>
                <w:rFonts w:hint="eastAsia" w:ascii="宋体" w:hAnsi="宋体" w:eastAsia="宋体" w:cs="宋体"/>
                <w:color w:val="auto"/>
                <w:spacing w:val="1"/>
                <w:sz w:val="19"/>
                <w:szCs w:val="19"/>
                <w:highlight w:val="none"/>
                <w:lang w:val="en-US" w:eastAsia="zh-CN"/>
              </w:rPr>
              <w:t>4537.57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BDBFFE7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其中：基本支出：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4008.59</w:t>
            </w:r>
          </w:p>
        </w:tc>
      </w:tr>
      <w:tr w14:paraId="4825E7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0F0EB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EB4557D">
            <w:pPr>
              <w:spacing w:before="21" w:line="207" w:lineRule="auto"/>
              <w:ind w:left="916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政府性基金拨款：</w:t>
            </w: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54D3069B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</w:rPr>
              <w:t>项目支出：</w:t>
            </w:r>
            <w:r>
              <w:rPr>
                <w:rFonts w:hint="eastAsia" w:ascii="宋体" w:hAnsi="宋体" w:eastAsia="宋体" w:cs="宋体"/>
                <w:color w:val="auto"/>
                <w:spacing w:val="-3"/>
                <w:sz w:val="19"/>
                <w:szCs w:val="19"/>
                <w:highlight w:val="none"/>
                <w:lang w:val="en-US" w:eastAsia="zh-CN"/>
              </w:rPr>
              <w:t>1183.80</w:t>
            </w:r>
          </w:p>
        </w:tc>
      </w:tr>
      <w:tr w14:paraId="150519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7FE368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5D0115BE">
            <w:pPr>
              <w:spacing w:before="20" w:line="208" w:lineRule="auto"/>
              <w:ind w:left="115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纳入专户管理的非税收入拨款：</w:t>
            </w: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  <w:lang w:val="en-US" w:eastAsia="zh-CN"/>
              </w:rPr>
              <w:t>0.00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65BCAD6C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9EEF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70D7975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18EF54BD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</w:rPr>
              <w:t>其他资金：</w:t>
            </w:r>
            <w:r>
              <w:rPr>
                <w:rFonts w:hint="eastAsia" w:ascii="宋体" w:hAnsi="宋体" w:eastAsia="宋体" w:cs="宋体"/>
                <w:color w:val="auto"/>
                <w:spacing w:val="-2"/>
                <w:sz w:val="19"/>
                <w:szCs w:val="19"/>
                <w:highlight w:val="none"/>
                <w:lang w:val="en-US" w:eastAsia="zh-CN"/>
              </w:rPr>
              <w:t>654.82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BB3AD15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321A6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A07E1F9">
            <w:pPr>
              <w:pStyle w:val="11"/>
              <w:spacing w:line="24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5CA7E28D">
            <w:pPr>
              <w:pStyle w:val="11"/>
              <w:spacing w:line="24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3F4C113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en-US" w:bidi="ar-SA"/>
              </w:rPr>
              <w:t>年度总体目标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5C9D14EF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43A09DEB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实际完成情况</w:t>
            </w:r>
          </w:p>
        </w:tc>
      </w:tr>
      <w:tr w14:paraId="480A7F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00E1361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692" w:type="dxa"/>
            <w:gridSpan w:val="4"/>
            <w:noWrap w:val="0"/>
            <w:vAlign w:val="center"/>
          </w:tcPr>
          <w:p w14:paraId="2D0F585F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党建引领</w:t>
            </w:r>
            <w:r>
              <w:rPr>
                <w:rFonts w:hint="eastAsia" w:ascii="Arial"/>
                <w:color w:val="auto"/>
                <w:spacing w:val="0"/>
                <w:sz w:val="20"/>
                <w:highlight w:val="none"/>
                <w:lang w:val="en-US" w:eastAsia="zh-CN"/>
              </w:rPr>
              <w:t>，夯实基层党建工作。</w:t>
            </w:r>
          </w:p>
          <w:p w14:paraId="1B809EE3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加强教师思想政治及业务培训，努力提高教育教学质量。</w:t>
            </w:r>
          </w:p>
          <w:p w14:paraId="72BCDBEE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加强学生安全教育，提高学生身体和心理素质。</w:t>
            </w:r>
          </w:p>
          <w:p w14:paraId="43F64603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加强后勤管理和服务，及时进行校园基础设施建设和维护，保障教育教学工作正常开展，保证校园无重大安全事故发生。</w:t>
            </w:r>
          </w:p>
          <w:p w14:paraId="032F276B">
            <w:pPr>
              <w:pStyle w:val="11"/>
              <w:numPr>
                <w:ilvl w:val="0"/>
                <w:numId w:val="7"/>
              </w:numPr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保障教职工工资福利待遇及时足额发放，提升教师幸福感，保持教师队伍稳定。</w:t>
            </w:r>
          </w:p>
          <w:p w14:paraId="4AB16E3E">
            <w:pPr>
              <w:pStyle w:val="11"/>
              <w:jc w:val="both"/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pacing w:val="0"/>
                <w:sz w:val="20"/>
                <w:highlight w:val="none"/>
                <w:lang w:val="en-US" w:eastAsia="zh-CN"/>
              </w:rPr>
              <w:t>6、</w:t>
            </w:r>
            <w:r>
              <w:rPr>
                <w:rFonts w:hint="default"/>
                <w:color w:val="auto"/>
                <w:spacing w:val="0"/>
                <w:sz w:val="20"/>
                <w:highlight w:val="none"/>
                <w:lang w:val="en-US" w:eastAsia="zh-CN"/>
              </w:rPr>
              <w:t>增强社会影响力，提升满意度。</w:t>
            </w:r>
          </w:p>
          <w:p w14:paraId="34CCE747">
            <w:pPr>
              <w:jc w:val="left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4307" w:type="dxa"/>
            <w:gridSpan w:val="4"/>
            <w:noWrap w:val="0"/>
            <w:vAlign w:val="center"/>
          </w:tcPr>
          <w:p w14:paraId="20E9CEF8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学校始终以党总支引领、书记负责、党支部落实、全员参与的形式开展党建工作。</w:t>
            </w:r>
          </w:p>
          <w:p w14:paraId="0979B094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开展师德师风培训，积极选派教师参加省、市、区级教学研讨会、以及各类培训课程。</w:t>
            </w:r>
          </w:p>
          <w:p w14:paraId="680AD86F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学校将心理健康教育纳入学校课程体系，开设了七年级心理健康必修课，内容涵盖自我认知、情绪管理、学会学习、人际交往、压力应对等方面。严格落实“1530”安全教育和节假日“一日一提醒”制度，通过召开安全主题班会、家长会，增强学生的安全意识。</w:t>
            </w:r>
          </w:p>
          <w:p w14:paraId="551C3ABF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后勤部门在水电、消防、直饮水和食堂等多个关键领域开展了细致且深入的安全保障工作。收费信息公开透明，让每一位家长都能清楚了解学校的收费情况。在过去一年里，未发生任何一起乱收费投诉事件，维护了学校良好的社会形象。</w:t>
            </w:r>
          </w:p>
          <w:p w14:paraId="6B27AE49">
            <w:pPr>
              <w:pStyle w:val="11"/>
              <w:numPr>
                <w:ilvl w:val="0"/>
                <w:numId w:val="8"/>
              </w:numPr>
              <w:jc w:val="both"/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按时足额发放教职工工资及福利待遇。</w:t>
            </w:r>
          </w:p>
          <w:p w14:paraId="395E7C2D">
            <w:pPr>
              <w:pStyle w:val="11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宋体" w:hAnsi="宋体" w:eastAsia="宋体" w:cs="宋体"/>
                <w:color w:val="auto"/>
                <w:highlight w:val="none"/>
                <w:lang w:val="en-US"/>
              </w:rPr>
            </w:pPr>
            <w:r>
              <w:rPr>
                <w:rFonts w:hint="eastAsia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6、</w:t>
            </w:r>
            <w:r>
              <w:rPr>
                <w:rFonts w:hint="eastAsia" w:ascii="Arial" w:hAnsi="Arial" w:eastAsia="Arial" w:cs="Arial"/>
                <w:color w:val="auto"/>
                <w:spacing w:val="0"/>
                <w:kern w:val="2"/>
                <w:sz w:val="20"/>
                <w:szCs w:val="21"/>
                <w:highlight w:val="none"/>
                <w:lang w:val="en-US" w:eastAsia="zh-CN" w:bidi="ar-SA"/>
              </w:rPr>
              <w:t>本年度学校荣获2024年度“湖南省平安建设示范校”、2023-2024学年度“岳阳楼区初中教育教学质量先进单位”等15项集体荣誉。</w:t>
            </w:r>
          </w:p>
        </w:tc>
      </w:tr>
      <w:tr w14:paraId="747E6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5BBD92C6">
            <w:pPr>
              <w:pStyle w:val="11"/>
              <w:spacing w:line="364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7EF9B5CE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9"/>
                <w:sz w:val="19"/>
                <w:szCs w:val="19"/>
                <w:highlight w:val="none"/>
              </w:rPr>
              <w:t>绩效指标</w:t>
            </w:r>
          </w:p>
        </w:tc>
        <w:tc>
          <w:tcPr>
            <w:tcW w:w="1079" w:type="dxa"/>
            <w:noWrap w:val="0"/>
            <w:vAlign w:val="top"/>
          </w:tcPr>
          <w:p w14:paraId="096ED0DC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一级指标</w:t>
            </w:r>
          </w:p>
        </w:tc>
        <w:tc>
          <w:tcPr>
            <w:tcW w:w="1034" w:type="dxa"/>
            <w:noWrap w:val="0"/>
            <w:vAlign w:val="top"/>
          </w:tcPr>
          <w:p w14:paraId="002D227F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二级指标</w:t>
            </w:r>
          </w:p>
        </w:tc>
        <w:tc>
          <w:tcPr>
            <w:tcW w:w="1269" w:type="dxa"/>
            <w:noWrap w:val="0"/>
            <w:vAlign w:val="top"/>
          </w:tcPr>
          <w:p w14:paraId="60856E78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三级指标</w:t>
            </w:r>
          </w:p>
        </w:tc>
        <w:tc>
          <w:tcPr>
            <w:tcW w:w="1310" w:type="dxa"/>
            <w:noWrap w:val="0"/>
            <w:vAlign w:val="top"/>
          </w:tcPr>
          <w:p w14:paraId="10458D67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年度指标值</w:t>
            </w:r>
          </w:p>
        </w:tc>
        <w:tc>
          <w:tcPr>
            <w:tcW w:w="1268" w:type="dxa"/>
            <w:noWrap w:val="0"/>
            <w:vAlign w:val="top"/>
          </w:tcPr>
          <w:p w14:paraId="7C58F7EC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实际完成值</w:t>
            </w:r>
          </w:p>
        </w:tc>
        <w:tc>
          <w:tcPr>
            <w:tcW w:w="716" w:type="dxa"/>
            <w:noWrap w:val="0"/>
            <w:vAlign w:val="top"/>
          </w:tcPr>
          <w:p w14:paraId="2C4D362E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F05D2D3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color w:val="auto"/>
                <w:sz w:val="16"/>
                <w:szCs w:val="16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16"/>
                <w:szCs w:val="16"/>
                <w:highlight w:val="none"/>
              </w:rPr>
              <w:t>自评得分</w:t>
            </w:r>
          </w:p>
        </w:tc>
        <w:tc>
          <w:tcPr>
            <w:tcW w:w="1450" w:type="dxa"/>
            <w:noWrap w:val="0"/>
            <w:vAlign w:val="top"/>
          </w:tcPr>
          <w:p w14:paraId="5F3B9479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偏差原因</w:t>
            </w:r>
            <w:r>
              <w:rPr>
                <w:rFonts w:hint="eastAsia" w:ascii="宋体" w:hAnsi="宋体" w:cs="宋体"/>
                <w:color w:val="auto"/>
                <w:spacing w:val="13"/>
                <w:sz w:val="19"/>
                <w:szCs w:val="19"/>
                <w:highlight w:val="none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spacing w:val="13"/>
                <w:sz w:val="19"/>
                <w:szCs w:val="19"/>
                <w:highlight w:val="none"/>
              </w:rPr>
              <w:t>析</w:t>
            </w:r>
            <w:r>
              <w:rPr>
                <w:rFonts w:hint="eastAsia" w:ascii="宋体" w:hAnsi="宋体" w:eastAsia="宋体" w:cs="宋体"/>
                <w:color w:val="auto"/>
                <w:spacing w:val="8"/>
                <w:sz w:val="19"/>
                <w:szCs w:val="19"/>
                <w:highlight w:val="none"/>
              </w:rPr>
              <w:t>及改进措施</w:t>
            </w:r>
          </w:p>
        </w:tc>
      </w:tr>
      <w:tr w14:paraId="769380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B88AC8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68CED69F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CE21CE5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3A35FF1E">
            <w:pPr>
              <w:pStyle w:val="11"/>
              <w:spacing w:line="272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ECC7F95">
            <w:pPr>
              <w:pStyle w:val="11"/>
              <w:spacing w:line="273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261257E2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</w:pPr>
          </w:p>
          <w:p w14:paraId="47626CDD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position w:val="19"/>
                <w:sz w:val="19"/>
                <w:szCs w:val="19"/>
                <w:highlight w:val="none"/>
              </w:rPr>
              <w:t>产出指标</w:t>
            </w:r>
          </w:p>
          <w:p w14:paraId="7A21CF92">
            <w:pPr>
              <w:spacing w:line="261" w:lineRule="exact"/>
              <w:ind w:left="25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(50</w:t>
            </w:r>
            <w:r>
              <w:rPr>
                <w:rFonts w:hint="eastAsia" w:ascii="宋体" w:hAnsi="宋体" w:eastAsia="宋体" w:cs="宋体"/>
                <w:color w:val="auto"/>
                <w:spacing w:val="14"/>
                <w:position w:val="2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1"/>
                <w:position w:val="2"/>
                <w:sz w:val="19"/>
                <w:szCs w:val="19"/>
                <w:highlight w:val="none"/>
              </w:rPr>
              <w:t>分)</w:t>
            </w: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0D773D36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</w:pPr>
          </w:p>
          <w:p w14:paraId="0C589245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数量指标</w:t>
            </w:r>
          </w:p>
        </w:tc>
        <w:tc>
          <w:tcPr>
            <w:tcW w:w="1269" w:type="dxa"/>
            <w:noWrap w:val="0"/>
            <w:vAlign w:val="center"/>
          </w:tcPr>
          <w:p w14:paraId="631AA451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/>
                <w:color w:val="auto"/>
                <w:sz w:val="20"/>
                <w:highlight w:val="none"/>
                <w:lang w:val="en-US" w:eastAsia="zh-CN"/>
              </w:rPr>
              <w:t>完成在校学生智体美劳全面培养与教育</w:t>
            </w:r>
          </w:p>
        </w:tc>
        <w:tc>
          <w:tcPr>
            <w:tcW w:w="1310" w:type="dxa"/>
            <w:noWrap w:val="0"/>
            <w:vAlign w:val="center"/>
          </w:tcPr>
          <w:p w14:paraId="74F5BC4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3199人</w:t>
            </w:r>
          </w:p>
        </w:tc>
        <w:tc>
          <w:tcPr>
            <w:tcW w:w="1268" w:type="dxa"/>
            <w:noWrap w:val="0"/>
            <w:vAlign w:val="center"/>
          </w:tcPr>
          <w:p w14:paraId="4F62F9A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3199人</w:t>
            </w:r>
          </w:p>
        </w:tc>
        <w:tc>
          <w:tcPr>
            <w:tcW w:w="716" w:type="dxa"/>
            <w:noWrap w:val="0"/>
            <w:vAlign w:val="center"/>
          </w:tcPr>
          <w:p w14:paraId="72DC718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15EA48A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04171DD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7A257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C27E4D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63BD03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B55AA6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52F7BB0F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贫困学生资助数量</w:t>
            </w:r>
          </w:p>
        </w:tc>
        <w:tc>
          <w:tcPr>
            <w:tcW w:w="1310" w:type="dxa"/>
            <w:noWrap w:val="0"/>
            <w:vAlign w:val="center"/>
          </w:tcPr>
          <w:p w14:paraId="28A6F72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10次</w:t>
            </w:r>
          </w:p>
        </w:tc>
        <w:tc>
          <w:tcPr>
            <w:tcW w:w="1268" w:type="dxa"/>
            <w:noWrap w:val="0"/>
            <w:vAlign w:val="center"/>
          </w:tcPr>
          <w:p w14:paraId="7DCA91A5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18人</w:t>
            </w:r>
          </w:p>
        </w:tc>
        <w:tc>
          <w:tcPr>
            <w:tcW w:w="716" w:type="dxa"/>
            <w:noWrap w:val="0"/>
            <w:vAlign w:val="center"/>
          </w:tcPr>
          <w:p w14:paraId="12FAED7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37E2AC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1878AE3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EE9C5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32BEE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70EC5CB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2CF5532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7D7E54B1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教师培训人次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78F6517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100人次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0A26818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245人次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6B3EAD6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66545CD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2B144D7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09888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B7412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9B06A8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</w:tcBorders>
            <w:noWrap w:val="0"/>
            <w:vAlign w:val="top"/>
          </w:tcPr>
          <w:p w14:paraId="2682D6DE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shd w:val="clear" w:color="auto" w:fill="auto"/>
            <w:noWrap w:val="0"/>
            <w:vAlign w:val="center"/>
          </w:tcPr>
          <w:p w14:paraId="5844589A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按时足额发放教职工及退休人员工资及福利待遇</w:t>
            </w:r>
          </w:p>
        </w:tc>
        <w:tc>
          <w:tcPr>
            <w:tcW w:w="1310" w:type="dxa"/>
            <w:shd w:val="clear" w:color="auto" w:fill="auto"/>
            <w:noWrap w:val="0"/>
            <w:vAlign w:val="center"/>
          </w:tcPr>
          <w:p w14:paraId="60EB7ED6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≧296人</w:t>
            </w:r>
          </w:p>
        </w:tc>
        <w:tc>
          <w:tcPr>
            <w:tcW w:w="1268" w:type="dxa"/>
            <w:shd w:val="clear" w:color="auto" w:fill="auto"/>
            <w:noWrap w:val="0"/>
            <w:vAlign w:val="center"/>
          </w:tcPr>
          <w:p w14:paraId="4FE775E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296人</w:t>
            </w:r>
          </w:p>
        </w:tc>
        <w:tc>
          <w:tcPr>
            <w:tcW w:w="716" w:type="dxa"/>
            <w:shd w:val="clear" w:color="auto" w:fill="auto"/>
            <w:noWrap w:val="0"/>
            <w:vAlign w:val="center"/>
          </w:tcPr>
          <w:p w14:paraId="56354717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shd w:val="clear" w:color="auto" w:fill="auto"/>
            <w:noWrap w:val="0"/>
            <w:vAlign w:val="center"/>
          </w:tcPr>
          <w:p w14:paraId="17787F8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center"/>
          </w:tcPr>
          <w:p w14:paraId="6215B0EC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776FD7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560403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F249FC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restart"/>
            <w:tcBorders>
              <w:bottom w:val="nil"/>
            </w:tcBorders>
            <w:noWrap w:val="0"/>
            <w:vAlign w:val="top"/>
          </w:tcPr>
          <w:p w14:paraId="08FFF04D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4E37F022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质量指标</w:t>
            </w:r>
          </w:p>
        </w:tc>
        <w:tc>
          <w:tcPr>
            <w:tcW w:w="1269" w:type="dxa"/>
            <w:noWrap w:val="0"/>
            <w:vAlign w:val="center"/>
          </w:tcPr>
          <w:p w14:paraId="005CC773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校园安全教育宣传覆盖率</w:t>
            </w:r>
          </w:p>
        </w:tc>
        <w:tc>
          <w:tcPr>
            <w:tcW w:w="1310" w:type="dxa"/>
            <w:noWrap w:val="0"/>
            <w:vAlign w:val="center"/>
          </w:tcPr>
          <w:p w14:paraId="4DE0FE8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453F3B4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3D0B1818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47574452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1E5D44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92834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1207F66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A4FB82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48A81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noWrap w:val="0"/>
            <w:vAlign w:val="center"/>
          </w:tcPr>
          <w:p w14:paraId="6EF93863">
            <w:pPr>
              <w:spacing w:line="240" w:lineRule="auto"/>
              <w:ind w:left="0" w:leftChars="0"/>
              <w:jc w:val="both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校园修缮完成率</w:t>
            </w:r>
          </w:p>
        </w:tc>
        <w:tc>
          <w:tcPr>
            <w:tcW w:w="1310" w:type="dxa"/>
            <w:noWrap w:val="0"/>
            <w:vAlign w:val="center"/>
          </w:tcPr>
          <w:p w14:paraId="5969044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0C65C96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131A29E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A853EE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1A01B47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043EA7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D8717A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ABCE1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09C2432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center"/>
          </w:tcPr>
          <w:p w14:paraId="74703668">
            <w:pPr>
              <w:spacing w:line="240" w:lineRule="auto"/>
              <w:ind w:left="0" w:leftChars="0"/>
              <w:jc w:val="both"/>
              <w:rPr>
                <w:rFonts w:hint="default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落实“双减”政策</w:t>
            </w:r>
          </w:p>
        </w:tc>
        <w:tc>
          <w:tcPr>
            <w:tcW w:w="1310" w:type="dxa"/>
            <w:noWrap w:val="0"/>
            <w:vAlign w:val="center"/>
          </w:tcPr>
          <w:p w14:paraId="5B2F31AF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≧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1268" w:type="dxa"/>
            <w:noWrap w:val="0"/>
            <w:vAlign w:val="center"/>
          </w:tcPr>
          <w:p w14:paraId="428FAF1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100%</w:t>
            </w:r>
          </w:p>
        </w:tc>
        <w:tc>
          <w:tcPr>
            <w:tcW w:w="716" w:type="dxa"/>
            <w:noWrap w:val="0"/>
            <w:vAlign w:val="center"/>
          </w:tcPr>
          <w:p w14:paraId="2AB598A9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3BEDE6D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3B93DB1D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BBF83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0704E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72664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38B5BD7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874389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  <w:r>
              <w:rPr>
                <w:rFonts w:hint="eastAsia" w:ascii="Arial"/>
                <w:color w:val="auto"/>
                <w:sz w:val="20"/>
                <w:highlight w:val="none"/>
                <w:lang w:eastAsia="zh-CN"/>
              </w:rPr>
              <w:t>春、秋两季教育教学计划按时完成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56977FEA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1268" w:type="dxa"/>
            <w:noWrap w:val="0"/>
            <w:vAlign w:val="center"/>
          </w:tcPr>
          <w:p w14:paraId="629B7821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及时</w:t>
            </w:r>
          </w:p>
        </w:tc>
        <w:tc>
          <w:tcPr>
            <w:tcW w:w="716" w:type="dxa"/>
            <w:noWrap w:val="0"/>
            <w:vAlign w:val="center"/>
          </w:tcPr>
          <w:p w14:paraId="26DAA90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4ECF7C5F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38F2BC4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2FBC18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2EBEB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1E29757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7B3B35F1">
            <w:pPr>
              <w:spacing w:before="273" w:line="226" w:lineRule="auto"/>
              <w:ind w:left="125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D20CB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全年教育投入经费控制在预算范围内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5B3ACA67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≦</w:t>
            </w: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5202.39万元</w:t>
            </w:r>
          </w:p>
        </w:tc>
        <w:tc>
          <w:tcPr>
            <w:tcW w:w="1268" w:type="dxa"/>
            <w:noWrap w:val="0"/>
            <w:vAlign w:val="center"/>
          </w:tcPr>
          <w:p w14:paraId="575E91F3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5192.39万元</w:t>
            </w:r>
          </w:p>
        </w:tc>
        <w:tc>
          <w:tcPr>
            <w:tcW w:w="716" w:type="dxa"/>
            <w:noWrap w:val="0"/>
            <w:vAlign w:val="center"/>
          </w:tcPr>
          <w:p w14:paraId="0782B1B5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7DC7E05E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49E9FAA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</w:tr>
      <w:tr w14:paraId="295B5C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C36E9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910EC2C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033671A8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6A0D7331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1B96C8F9">
            <w:pPr>
              <w:pStyle w:val="11"/>
              <w:spacing w:line="256" w:lineRule="auto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  <w:p w14:paraId="419EF056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position w:val="22"/>
                <w:sz w:val="19"/>
                <w:szCs w:val="19"/>
                <w:highlight w:val="none"/>
              </w:rPr>
              <w:t>效益指标</w:t>
            </w:r>
          </w:p>
          <w:p w14:paraId="3410188B">
            <w:pPr>
              <w:spacing w:line="227" w:lineRule="auto"/>
              <w:ind w:left="107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（30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C3CB8D">
            <w:pPr>
              <w:spacing w:before="154" w:line="233" w:lineRule="auto"/>
              <w:ind w:left="226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经济效</w:t>
            </w:r>
          </w:p>
          <w:p w14:paraId="4F69A018">
            <w:pPr>
              <w:spacing w:line="225" w:lineRule="auto"/>
              <w:ind w:left="232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2E6F">
            <w:pPr>
              <w:spacing w:line="240" w:lineRule="auto"/>
              <w:ind w:left="0" w:leftChars="0"/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val="en-US" w:eastAsia="zh-CN"/>
              </w:rPr>
              <w:t>学校正常开展各项业务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743C9D14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1268" w:type="dxa"/>
            <w:noWrap w:val="0"/>
            <w:vAlign w:val="center"/>
          </w:tcPr>
          <w:p w14:paraId="7AC95FDC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有序开展</w:t>
            </w:r>
          </w:p>
        </w:tc>
        <w:tc>
          <w:tcPr>
            <w:tcW w:w="716" w:type="dxa"/>
            <w:noWrap w:val="0"/>
            <w:vAlign w:val="center"/>
          </w:tcPr>
          <w:p w14:paraId="53929B9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07625A7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16A25C5B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5609E7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D9AE3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8284C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bottom w:val="nil"/>
            </w:tcBorders>
            <w:noWrap w:val="0"/>
            <w:vAlign w:val="top"/>
          </w:tcPr>
          <w:p w14:paraId="76944BC1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6"/>
                <w:sz w:val="19"/>
                <w:szCs w:val="19"/>
                <w:highlight w:val="none"/>
              </w:rPr>
              <w:t>社会效</w:t>
            </w:r>
          </w:p>
          <w:p w14:paraId="58FD5D63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</w:tcBorders>
            <w:noWrap w:val="0"/>
            <w:vAlign w:val="top"/>
          </w:tcPr>
          <w:p w14:paraId="213DEB4B">
            <w:pPr>
              <w:pStyle w:val="11"/>
              <w:spacing w:line="235" w:lineRule="exact"/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促进学生全面发展，提高教育教学质量</w:t>
            </w:r>
          </w:p>
        </w:tc>
        <w:tc>
          <w:tcPr>
            <w:tcW w:w="1310" w:type="dxa"/>
            <w:noWrap w:val="0"/>
            <w:vAlign w:val="center"/>
          </w:tcPr>
          <w:p w14:paraId="141E98C8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较上年提升</w:t>
            </w:r>
          </w:p>
        </w:tc>
        <w:tc>
          <w:tcPr>
            <w:tcW w:w="1268" w:type="dxa"/>
            <w:noWrap w:val="0"/>
            <w:vAlign w:val="center"/>
          </w:tcPr>
          <w:p w14:paraId="3818A4CA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有所提升</w:t>
            </w:r>
          </w:p>
        </w:tc>
        <w:tc>
          <w:tcPr>
            <w:tcW w:w="716" w:type="dxa"/>
            <w:noWrap w:val="0"/>
            <w:vAlign w:val="center"/>
          </w:tcPr>
          <w:p w14:paraId="4020F58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751E3379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4F1D1193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4E33D7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62EB434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9A461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2D2C3D2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生态效</w:t>
            </w:r>
          </w:p>
          <w:p w14:paraId="08D96CE1">
            <w:pPr>
              <w:spacing w:line="225" w:lineRule="auto"/>
              <w:ind w:left="232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939C0">
            <w:pPr>
              <w:pStyle w:val="11"/>
              <w:spacing w:line="235" w:lineRule="exact"/>
              <w:jc w:val="both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2A32605D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1268" w:type="dxa"/>
            <w:noWrap w:val="0"/>
            <w:vAlign w:val="center"/>
          </w:tcPr>
          <w:p w14:paraId="6655FFB2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不适用</w:t>
            </w:r>
          </w:p>
        </w:tc>
        <w:tc>
          <w:tcPr>
            <w:tcW w:w="716" w:type="dxa"/>
            <w:noWrap w:val="0"/>
            <w:vAlign w:val="center"/>
          </w:tcPr>
          <w:p w14:paraId="5CE303B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873" w:type="dxa"/>
            <w:noWrap w:val="0"/>
            <w:vAlign w:val="center"/>
          </w:tcPr>
          <w:p w14:paraId="40DBA611">
            <w:pPr>
              <w:pStyle w:val="11"/>
              <w:spacing w:line="235" w:lineRule="exact"/>
              <w:jc w:val="center"/>
              <w:rPr>
                <w:rFonts w:hint="default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5438BC30">
            <w:pPr>
              <w:pStyle w:val="11"/>
              <w:spacing w:line="235" w:lineRule="exact"/>
              <w:jc w:val="center"/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</w:pPr>
          </w:p>
        </w:tc>
      </w:tr>
      <w:tr w14:paraId="6ED15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B4109F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DC1EE7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2EE4FBC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19"/>
                <w:szCs w:val="19"/>
                <w:highlight w:val="none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D8274">
            <w:pPr>
              <w:pStyle w:val="11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</w:rPr>
              <w:t>坚持政治理论学习和业务能力培养,坚持建立正确有效的学校价值体系和文化,创建浓厚的学习氛围</w:t>
            </w:r>
          </w:p>
        </w:tc>
        <w:tc>
          <w:tcPr>
            <w:tcW w:w="1310" w:type="dxa"/>
            <w:tcBorders>
              <w:left w:val="single" w:color="auto" w:sz="4" w:space="0"/>
            </w:tcBorders>
            <w:noWrap w:val="0"/>
            <w:vAlign w:val="center"/>
          </w:tcPr>
          <w:p w14:paraId="7504CB8D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1268" w:type="dxa"/>
            <w:noWrap w:val="0"/>
            <w:vAlign w:val="center"/>
          </w:tcPr>
          <w:p w14:paraId="1A411C17">
            <w:pPr>
              <w:pStyle w:val="11"/>
              <w:jc w:val="center"/>
              <w:rPr>
                <w:rFonts w:hint="default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 w:eastAsiaTheme="minorEastAsia"/>
                <w:color w:val="auto"/>
                <w:kern w:val="2"/>
                <w:sz w:val="19"/>
                <w:szCs w:val="19"/>
                <w:highlight w:val="none"/>
                <w:lang w:val="en-US" w:eastAsia="zh-CN" w:bidi="ar-SA"/>
              </w:rPr>
              <w:t>持续发展</w:t>
            </w:r>
          </w:p>
        </w:tc>
        <w:tc>
          <w:tcPr>
            <w:tcW w:w="716" w:type="dxa"/>
            <w:noWrap w:val="0"/>
            <w:vAlign w:val="center"/>
          </w:tcPr>
          <w:p w14:paraId="52D75144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398EB92B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1450" w:type="dxa"/>
            <w:noWrap w:val="0"/>
            <w:vAlign w:val="top"/>
          </w:tcPr>
          <w:p w14:paraId="0069AD6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093506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A3B9BAE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710AFCB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</w:pPr>
          </w:p>
          <w:p w14:paraId="20FFD6D7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sz w:val="19"/>
                <w:szCs w:val="19"/>
                <w:highlight w:val="none"/>
              </w:rPr>
              <w:t>满意度</w:t>
            </w:r>
          </w:p>
          <w:p w14:paraId="1DE49054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指标</w:t>
            </w:r>
          </w:p>
          <w:p w14:paraId="775ADBDB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（10</w:t>
            </w:r>
            <w:r>
              <w:rPr>
                <w:rFonts w:hint="eastAsia" w:ascii="宋体" w:hAnsi="宋体" w:eastAsia="宋体" w:cs="宋体"/>
                <w:color w:val="auto"/>
                <w:spacing w:val="16"/>
                <w:w w:val="101"/>
                <w:sz w:val="19"/>
                <w:szCs w:val="19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3"/>
                <w:sz w:val="19"/>
                <w:szCs w:val="19"/>
                <w:highlight w:val="none"/>
              </w:rPr>
              <w:t>分）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693B16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</w:pPr>
          </w:p>
          <w:p w14:paraId="2848068C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19"/>
                <w:szCs w:val="19"/>
                <w:highlight w:val="none"/>
              </w:rPr>
              <w:t>服务对象</w:t>
            </w:r>
          </w:p>
          <w:p w14:paraId="66871C21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5"/>
                <w:sz w:val="19"/>
                <w:szCs w:val="19"/>
                <w:highlight w:val="none"/>
              </w:rPr>
              <w:t>满意度指</w:t>
            </w:r>
          </w:p>
          <w:p w14:paraId="6E7BC1DC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2"/>
                <w:sz w:val="19"/>
                <w:szCs w:val="19"/>
                <w:highlight w:val="none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6A9E802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师生满意度</w:t>
            </w:r>
          </w:p>
        </w:tc>
        <w:tc>
          <w:tcPr>
            <w:tcW w:w="1310" w:type="dxa"/>
            <w:noWrap w:val="0"/>
            <w:vAlign w:val="center"/>
          </w:tcPr>
          <w:p w14:paraId="5FD471C9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08024B17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378AC572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6D40E58F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5FE6F9BC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213D95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084" w:type="dxa"/>
            <w:vMerge w:val="continue"/>
            <w:tcBorders>
              <w:top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80C9B3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5C59830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80E85D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  <w:tc>
          <w:tcPr>
            <w:tcW w:w="1269" w:type="dxa"/>
            <w:tcBorders>
              <w:left w:val="single" w:color="auto" w:sz="4" w:space="0"/>
            </w:tcBorders>
            <w:noWrap w:val="0"/>
            <w:vAlign w:val="center"/>
          </w:tcPr>
          <w:p w14:paraId="13F54388">
            <w:pPr>
              <w:pStyle w:val="11"/>
              <w:spacing w:line="235" w:lineRule="exact"/>
              <w:jc w:val="both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highlight w:val="none"/>
                <w:lang w:val="en-US" w:eastAsia="zh-CN"/>
              </w:rPr>
              <w:t>家长满意度</w:t>
            </w:r>
          </w:p>
        </w:tc>
        <w:tc>
          <w:tcPr>
            <w:tcW w:w="1310" w:type="dxa"/>
            <w:noWrap w:val="0"/>
            <w:vAlign w:val="center"/>
          </w:tcPr>
          <w:p w14:paraId="6B66DFB6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0"/>
                <w:szCs w:val="20"/>
                <w:highlight w:val="none"/>
                <w:lang w:val="en-US" w:eastAsia="zh-CN"/>
              </w:rPr>
              <w:t>≧95%</w:t>
            </w:r>
          </w:p>
        </w:tc>
        <w:tc>
          <w:tcPr>
            <w:tcW w:w="1268" w:type="dxa"/>
            <w:noWrap w:val="0"/>
            <w:vAlign w:val="center"/>
          </w:tcPr>
          <w:p w14:paraId="79DF8CE3">
            <w:pPr>
              <w:pStyle w:val="11"/>
              <w:jc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98%</w:t>
            </w:r>
          </w:p>
        </w:tc>
        <w:tc>
          <w:tcPr>
            <w:tcW w:w="716" w:type="dxa"/>
            <w:noWrap w:val="0"/>
            <w:vAlign w:val="center"/>
          </w:tcPr>
          <w:p w14:paraId="38B839A0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873" w:type="dxa"/>
            <w:noWrap w:val="0"/>
            <w:vAlign w:val="center"/>
          </w:tcPr>
          <w:p w14:paraId="2AC3D774">
            <w:pPr>
              <w:pStyle w:val="11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1450" w:type="dxa"/>
            <w:noWrap w:val="0"/>
            <w:vAlign w:val="top"/>
          </w:tcPr>
          <w:p w14:paraId="634CCE39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  <w:tr w14:paraId="1942A3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044" w:type="dxa"/>
            <w:gridSpan w:val="6"/>
            <w:noWrap w:val="0"/>
            <w:vAlign w:val="center"/>
          </w:tcPr>
          <w:p w14:paraId="754FE281">
            <w:pPr>
              <w:spacing w:before="41" w:line="221" w:lineRule="auto"/>
              <w:ind w:left="3343"/>
              <w:jc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1"/>
                <w:sz w:val="19"/>
                <w:szCs w:val="19"/>
                <w:highlight w:val="none"/>
              </w:rPr>
              <w:t>总分</w:t>
            </w:r>
          </w:p>
        </w:tc>
        <w:tc>
          <w:tcPr>
            <w:tcW w:w="716" w:type="dxa"/>
            <w:noWrap w:val="0"/>
            <w:vAlign w:val="center"/>
          </w:tcPr>
          <w:p w14:paraId="462D0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19"/>
                <w:szCs w:val="19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</w:t>
            </w:r>
          </w:p>
        </w:tc>
        <w:tc>
          <w:tcPr>
            <w:tcW w:w="873" w:type="dxa"/>
            <w:noWrap w:val="0"/>
            <w:vAlign w:val="center"/>
          </w:tcPr>
          <w:p w14:paraId="6F80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99.98</w:t>
            </w:r>
          </w:p>
        </w:tc>
        <w:tc>
          <w:tcPr>
            <w:tcW w:w="1450" w:type="dxa"/>
            <w:noWrap w:val="0"/>
            <w:vAlign w:val="top"/>
          </w:tcPr>
          <w:p w14:paraId="71345FD1">
            <w:pPr>
              <w:pStyle w:val="11"/>
              <w:rPr>
                <w:rFonts w:hint="eastAsia" w:ascii="宋体" w:hAnsi="宋体" w:eastAsia="宋体" w:cs="宋体"/>
                <w:color w:val="auto"/>
                <w:highlight w:val="none"/>
              </w:rPr>
            </w:pPr>
          </w:p>
        </w:tc>
      </w:tr>
    </w:tbl>
    <w:p w14:paraId="5684F7B2">
      <w:pPr>
        <w:spacing w:line="132" w:lineRule="exact"/>
        <w:rPr>
          <w:color w:val="auto"/>
          <w:highlight w:val="none"/>
        </w:rPr>
      </w:pPr>
    </w:p>
    <w:p w14:paraId="7127DA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2B7B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</w:pPr>
    </w:p>
    <w:p w14:paraId="3753B4F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firstLine="1150" w:firstLineChars="50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夏芬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13367308088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p w14:paraId="38FFEB8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0D9CADE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09D6D5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4575A7D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3A82134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/>
        <w:jc w:val="left"/>
        <w:textAlignment w:val="auto"/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</w:pPr>
    </w:p>
    <w:p w14:paraId="59DD8D09">
      <w:pPr>
        <w:spacing w:before="191" w:line="230" w:lineRule="auto"/>
        <w:rPr>
          <w:rFonts w:hint="eastAsia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</w:t>
      </w:r>
    </w:p>
    <w:p w14:paraId="5362E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 xml:space="preserve">4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0"/>
        <w:tblW w:w="985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7048D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3118" w:type="dxa"/>
            <w:gridSpan w:val="3"/>
            <w:noWrap w:val="0"/>
            <w:vAlign w:val="top"/>
          </w:tcPr>
          <w:p w14:paraId="28AB28C0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top"/>
          </w:tcPr>
          <w:p w14:paraId="0B5650EA">
            <w:pPr>
              <w:pStyle w:val="11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62397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noWrap w:val="0"/>
            <w:vAlign w:val="top"/>
          </w:tcPr>
          <w:p w14:paraId="364C4D53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5B035BE1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8B040B5">
            <w:pPr>
              <w:spacing w:before="32" w:line="215" w:lineRule="auto"/>
              <w:ind w:left="25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05F0C247">
            <w:pPr>
              <w:pStyle w:val="11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00C909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4A318977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272DF87B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185030F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1E92C48">
            <w:pPr>
              <w:spacing w:before="31" w:line="217" w:lineRule="auto"/>
              <w:ind w:left="12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68867C82">
            <w:pPr>
              <w:spacing w:before="31" w:line="217" w:lineRule="auto"/>
              <w:ind w:left="11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66934277">
            <w:pPr>
              <w:spacing w:before="31" w:line="217" w:lineRule="auto"/>
              <w:ind w:left="14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0C3E9FEF">
            <w:pPr>
              <w:spacing w:before="31" w:line="217" w:lineRule="auto"/>
              <w:ind w:left="144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1076E6BE">
            <w:pPr>
              <w:spacing w:before="31" w:line="217" w:lineRule="auto"/>
              <w:ind w:left="149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5DC08EE6">
            <w:pPr>
              <w:spacing w:before="31" w:line="217" w:lineRule="auto"/>
              <w:ind w:left="35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43FC27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764F4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84798E2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1C0498A3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08D4FC94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7EBC835E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2167E915">
            <w:pPr>
              <w:spacing w:before="64" w:line="195" w:lineRule="auto"/>
              <w:ind w:left="331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  <w:lang w:val="en-US" w:eastAsia="zh-CN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11B932DF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29FF5346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</w:tr>
      <w:tr w14:paraId="1322D1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693929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89B42D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298A90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469DF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0F47FFF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52D065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FBE17A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413BE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A8B9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0A2F5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E95343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B9EDF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57379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F9BC8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E39D5E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0F82961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87E946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48604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7C66F6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098B4CC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6DF99C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059A5E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F0638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CD3EF3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FE02E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5B5C1B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5FA1F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527F2C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11C2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7F81E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A312E98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227D4AEE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24775E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5AE36F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13EC56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4249" w:type="dxa"/>
            <w:gridSpan w:val="4"/>
            <w:noWrap w:val="0"/>
            <w:vAlign w:val="top"/>
          </w:tcPr>
          <w:p w14:paraId="5A8C8F8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30DE7A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  <w:jc w:val="center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1914593C">
            <w:pPr>
              <w:pStyle w:val="11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15A6C578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08140FA5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5C71B44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77772B10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0E03F14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153A1556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7CD359AA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23E080AD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93C70D6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2426D2B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noWrap w:val="0"/>
            <w:vAlign w:val="top"/>
          </w:tcPr>
          <w:p w14:paraId="339037E5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83BE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E58CD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53E31FD4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6BA4593D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D147825">
            <w:pPr>
              <w:pStyle w:val="11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FDFB4AF">
            <w:pPr>
              <w:pStyle w:val="11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4484A42B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2D5ACCF4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50分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15EFA2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2C78EE9A">
            <w:pPr>
              <w:spacing w:before="126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722A3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5E67A8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ADCC11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5CE1C9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FFE43A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8BAB7E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2FCCD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CAC92A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72906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456A32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82EE6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762920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8A7713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A5DEC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8F1B02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5DD7F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F7C5C7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C296C7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250555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466258F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5D1426A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EC9BF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DBCB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9D07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EC9E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47288B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4F7C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1A7E1A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684B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7A9F352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7FF12FF4">
            <w:pPr>
              <w:spacing w:before="126" w:line="239" w:lineRule="auto"/>
              <w:ind w:left="379" w:right="175" w:hanging="19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32763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D674C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CC56D4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7B2C86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1C659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C3910C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C4D9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00723A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2CB21F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B6BAEA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F9E7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2F30AE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EDD0D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288838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2DA6EF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990A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596DF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310115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54E700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0FBAEFB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A57520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B0884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D1B4D8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95B8E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3EACB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B0C5F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E3A51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4FEB40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9C5D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6A6D2E34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759AC806">
            <w:pPr>
              <w:spacing w:before="126" w:line="239" w:lineRule="auto"/>
              <w:ind w:left="379" w:right="175" w:hanging="178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048A269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080B197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7F1E4D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DD711D2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CBD5AF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437F38E4">
            <w:pPr>
              <w:pStyle w:val="11"/>
              <w:spacing w:line="224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96359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AB9735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027AB6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E7B0ABE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44D6D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57F5F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B537F0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683AF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EBF8B4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309ADD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BFC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047533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4D9E81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5011F70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25ECBB9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23638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939B5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BA30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FD66A4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1B4A13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95E6E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3B239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5AACF6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74F86F92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1D56D87A">
            <w:pPr>
              <w:spacing w:before="127" w:line="239" w:lineRule="auto"/>
              <w:ind w:left="379" w:right="175" w:hanging="192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784F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88F5A4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C52B1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1491B0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1BC5F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3B576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1EDF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A1D046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97F17E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D677C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6387C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466A1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1ADB53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2AA22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AC5517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25C0DCA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237CE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943837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14346E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7CD69DE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63975058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006AA6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093AB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D98B9B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70188B5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6E78744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745D6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F1F40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6A29CABE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3E219D9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76004A87">
            <w:pPr>
              <w:pStyle w:val="11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ED46751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0C531CB5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41F265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7287E642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58F314CE">
            <w:pPr>
              <w:spacing w:before="127" w:line="239" w:lineRule="auto"/>
              <w:ind w:left="193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276A8F5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88B149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7FFA6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8D2BD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48899D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5563B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85785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A977F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2B069E07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E739E2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56238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E9D24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192E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E750C1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3D0B2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3F88FDC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522A99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93F817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8B846F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1704E5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70AB5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B92145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5755C6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DFCBC5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184865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45585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2C4259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B07A72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C695D4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E5E78C9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4A72D137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322E5E9C">
            <w:pPr>
              <w:spacing w:before="127" w:line="239" w:lineRule="auto"/>
              <w:ind w:left="192" w:right="175" w:hanging="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8735E8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A8173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B6CF2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2EEB8B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5DF0F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3631D9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C778B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81E80D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663337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2A7963C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A664E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4E87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946050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734A27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01CCC4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75007E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6B5BE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72BE47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DE2348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22AA9C6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9583FD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9280A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8561C3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BE95C6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C75309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43FBC2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C45C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AE4797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C2588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3F745720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212D97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130E759C">
            <w:pPr>
              <w:spacing w:before="127" w:line="239" w:lineRule="auto"/>
              <w:ind w:left="193" w:right="175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B3E540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714F45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B794E5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784F80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17A874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24BA201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34176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2EDE4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2C4586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7BE14F22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E20426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246319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B7BF31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07407F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3705E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CC395C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32CB7F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D54F53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4C191A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6C0E5E8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3E4BDD4A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18B30B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99E9B9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C6706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D049C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E07A6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4EC94C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46A4D3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5F47BC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48AFE536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759B9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0D0423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1E771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D53696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03095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1E24E9BD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8213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401A55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9B69DB1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D10EF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906568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404C1D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2AD9C1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9ECF25C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B96AAC6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98BD0A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0B50D7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6B2047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4A7CC43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165C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D91EA09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A36F68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6E2C11F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B862AE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27C08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0D0CC49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78731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85CDE1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6ACD0C2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9719E02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5A68664E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16B9A3E0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5C1F735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CF4BC8B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2A3022B3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2C8D7A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4864F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C05C3A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5DFD1C8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5550A2D0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116E8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  <w:jc w:val="center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4D3BDF6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7D06E80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2A6E61D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008004C5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9F21EB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20AE704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BCBABB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DBD6A42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  <w:tc>
          <w:tcPr>
            <w:tcW w:w="1422" w:type="dxa"/>
            <w:noWrap w:val="0"/>
            <w:vAlign w:val="top"/>
          </w:tcPr>
          <w:p w14:paraId="7ADFF927">
            <w:pPr>
              <w:pStyle w:val="11"/>
              <w:spacing w:line="225" w:lineRule="exact"/>
              <w:rPr>
                <w:rFonts w:hint="eastAsia" w:ascii="宋体" w:hAnsi="宋体" w:eastAsia="宋体" w:cs="宋体"/>
                <w:sz w:val="19"/>
              </w:rPr>
            </w:pPr>
          </w:p>
        </w:tc>
      </w:tr>
      <w:tr w14:paraId="6B6315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1084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0AA1C3D8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546EBA1B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792F294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3E858910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974CFBF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5664924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746AEC9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CD7EE2A">
            <w:pPr>
              <w:pStyle w:val="11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01BC4865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  <w:tr w14:paraId="1A6941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  <w:jc w:val="center"/>
        </w:trPr>
        <w:tc>
          <w:tcPr>
            <w:tcW w:w="6887" w:type="dxa"/>
            <w:gridSpan w:val="6"/>
            <w:noWrap w:val="0"/>
            <w:vAlign w:val="top"/>
          </w:tcPr>
          <w:p w14:paraId="7215FB62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175DB390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1AF7FE3B">
            <w:pPr>
              <w:pStyle w:val="11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/</w:t>
            </w:r>
          </w:p>
        </w:tc>
        <w:tc>
          <w:tcPr>
            <w:tcW w:w="1422" w:type="dxa"/>
            <w:noWrap w:val="0"/>
            <w:vAlign w:val="top"/>
          </w:tcPr>
          <w:p w14:paraId="11E39B09">
            <w:pPr>
              <w:pStyle w:val="11"/>
              <w:rPr>
                <w:rFonts w:hint="eastAsia" w:ascii="宋体" w:hAnsi="宋体" w:eastAsia="宋体" w:cs="宋体"/>
              </w:rPr>
            </w:pPr>
          </w:p>
        </w:tc>
      </w:tr>
    </w:tbl>
    <w:p w14:paraId="55B96858">
      <w:pPr>
        <w:spacing w:line="217" w:lineRule="auto"/>
        <w:rPr>
          <w:sz w:val="22"/>
          <w:szCs w:val="22"/>
        </w:rPr>
      </w:pPr>
      <w:bookmarkStart w:id="0" w:name="_GoBack"/>
      <w:bookmarkEnd w:id="0"/>
    </w:p>
    <w:p w14:paraId="19905BE3">
      <w:pPr>
        <w:spacing w:line="217" w:lineRule="auto"/>
        <w:rPr>
          <w:sz w:val="22"/>
          <w:szCs w:val="22"/>
        </w:rPr>
      </w:pPr>
    </w:p>
    <w:p w14:paraId="0EFD8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</w:rPr>
        <w:t>填表人：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2"/>
          <w:szCs w:val="22"/>
          <w:highlight w:val="none"/>
          <w:lang w:val="en-US" w:eastAsia="zh-CN"/>
        </w:rPr>
        <w:t>夏芬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  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 xml:space="preserve"> 联系电话： 13367308088  </w:t>
      </w:r>
      <w:r>
        <w:rPr>
          <w:rFonts w:hint="eastAsia" w:ascii="宋体" w:hAnsi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</w:rPr>
        <w:t>填报日期：</w:t>
      </w:r>
      <w:r>
        <w:rPr>
          <w:rFonts w:hint="eastAsia" w:ascii="宋体" w:hAnsi="宋体" w:eastAsia="宋体" w:cs="宋体"/>
          <w:color w:val="auto"/>
          <w:spacing w:val="0"/>
          <w:position w:val="0"/>
          <w:sz w:val="23"/>
          <w:szCs w:val="23"/>
          <w:highlight w:val="none"/>
          <w:lang w:val="en-US" w:eastAsia="zh-CN"/>
        </w:rPr>
        <w:t>2025.7.8</w:t>
      </w:r>
    </w:p>
    <w:sectPr>
      <w:footerReference r:id="rId4" w:type="default"/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2DB8E2D-4EE4-47D3-8B79-5BB63C85C8D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5E77CE4-3F93-43FB-9BDF-5D6E0E5638E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8BDB557-9F22-4591-9DF7-6274E8E4D1F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9F7FB57-E77D-4948-AD5B-44CA9420AF5F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292DD79F-946F-494F-90DF-FAD3A2D44C9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56BFCF78-BAFF-415A-B3BD-470C4D7F5E4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7" w:fontKey="{A259DE64-513E-4830-BAF9-4CBA48B17399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EA8124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5FE8655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E8655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A33073">
    <w:pPr>
      <w:pStyle w:val="3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05E3EE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05E3EE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F80864"/>
    <w:multiLevelType w:val="singleLevel"/>
    <w:tmpl w:val="80F8086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8F9525FE"/>
    <w:multiLevelType w:val="singleLevel"/>
    <w:tmpl w:val="8F9525F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A106682A"/>
    <w:multiLevelType w:val="singleLevel"/>
    <w:tmpl w:val="A106682A"/>
    <w:lvl w:ilvl="0" w:tentative="0">
      <w:start w:val="10"/>
      <w:numFmt w:val="chineseCounting"/>
      <w:suff w:val="space"/>
      <w:lvlText w:val="%1、"/>
      <w:lvlJc w:val="left"/>
      <w:rPr>
        <w:rFonts w:hint="eastAsia"/>
      </w:rPr>
    </w:lvl>
  </w:abstractNum>
  <w:abstractNum w:abstractNumId="3">
    <w:nsid w:val="B82BC52E"/>
    <w:multiLevelType w:val="singleLevel"/>
    <w:tmpl w:val="B82BC52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DFC0C5EF"/>
    <w:multiLevelType w:val="singleLevel"/>
    <w:tmpl w:val="DFC0C5EF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5">
    <w:nsid w:val="3316DE5C"/>
    <w:multiLevelType w:val="singleLevel"/>
    <w:tmpl w:val="3316DE5C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390DBFDF"/>
    <w:multiLevelType w:val="singleLevel"/>
    <w:tmpl w:val="390DBFDF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6F6E47E"/>
    <w:multiLevelType w:val="singleLevel"/>
    <w:tmpl w:val="56F6E47E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xOThjOGJlZDlhNTFiNzMyYjY3MjAwMDFlOGIxZjUifQ=="/>
  </w:docVars>
  <w:rsids>
    <w:rsidRoot w:val="76284CE1"/>
    <w:rsid w:val="000A3765"/>
    <w:rsid w:val="001D7282"/>
    <w:rsid w:val="00304385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408F9"/>
    <w:rsid w:val="01057CDE"/>
    <w:rsid w:val="010B4A82"/>
    <w:rsid w:val="01192786"/>
    <w:rsid w:val="01201E6A"/>
    <w:rsid w:val="01273801"/>
    <w:rsid w:val="012D57C0"/>
    <w:rsid w:val="012E7568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380"/>
    <w:rsid w:val="064E0F6B"/>
    <w:rsid w:val="06517717"/>
    <w:rsid w:val="065E4BB4"/>
    <w:rsid w:val="065F1D56"/>
    <w:rsid w:val="06617309"/>
    <w:rsid w:val="06650E6A"/>
    <w:rsid w:val="066A7BFC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07096B"/>
    <w:rsid w:val="0B163034"/>
    <w:rsid w:val="0B1D5B5D"/>
    <w:rsid w:val="0B1F5B6D"/>
    <w:rsid w:val="0B2F4AF7"/>
    <w:rsid w:val="0B3312B6"/>
    <w:rsid w:val="0B4064B3"/>
    <w:rsid w:val="0B42766B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6278"/>
    <w:rsid w:val="0C297E69"/>
    <w:rsid w:val="0C3840B9"/>
    <w:rsid w:val="0C4A1DFD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733B4F"/>
    <w:rsid w:val="107C029A"/>
    <w:rsid w:val="108449FF"/>
    <w:rsid w:val="108A0CDB"/>
    <w:rsid w:val="108B34B0"/>
    <w:rsid w:val="108F1E83"/>
    <w:rsid w:val="109E2943"/>
    <w:rsid w:val="10C8346E"/>
    <w:rsid w:val="10E63F69"/>
    <w:rsid w:val="10EF4366"/>
    <w:rsid w:val="10FE6AB1"/>
    <w:rsid w:val="1112624E"/>
    <w:rsid w:val="11153798"/>
    <w:rsid w:val="11170F69"/>
    <w:rsid w:val="11195AAD"/>
    <w:rsid w:val="11297158"/>
    <w:rsid w:val="112C3426"/>
    <w:rsid w:val="11422B48"/>
    <w:rsid w:val="114B2C9B"/>
    <w:rsid w:val="114D3E70"/>
    <w:rsid w:val="115D78BB"/>
    <w:rsid w:val="116001E2"/>
    <w:rsid w:val="11654A0E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47D3B"/>
    <w:rsid w:val="140C7BCE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EB19D7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8A2763"/>
    <w:rsid w:val="15931764"/>
    <w:rsid w:val="15A42FA4"/>
    <w:rsid w:val="15A6418F"/>
    <w:rsid w:val="15AA091B"/>
    <w:rsid w:val="15BC6BD3"/>
    <w:rsid w:val="15C454F7"/>
    <w:rsid w:val="15CF095E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E71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AF7EAD"/>
    <w:rsid w:val="18B037F0"/>
    <w:rsid w:val="18BD3DC4"/>
    <w:rsid w:val="18C149F3"/>
    <w:rsid w:val="18C30CAC"/>
    <w:rsid w:val="18D233DB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384B81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D464CA"/>
    <w:rsid w:val="1EDA5DF7"/>
    <w:rsid w:val="1EDB3703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3C7C11"/>
    <w:rsid w:val="20421AEB"/>
    <w:rsid w:val="20471AED"/>
    <w:rsid w:val="20487E48"/>
    <w:rsid w:val="204E17C3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0914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EC7852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0F1A5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7799C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B523D"/>
    <w:rsid w:val="2E704114"/>
    <w:rsid w:val="2E7A08F9"/>
    <w:rsid w:val="2E7B33BD"/>
    <w:rsid w:val="2E96363C"/>
    <w:rsid w:val="2EAA0E75"/>
    <w:rsid w:val="2EAF7C29"/>
    <w:rsid w:val="2EB25D05"/>
    <w:rsid w:val="2EB86707"/>
    <w:rsid w:val="2EB97DD7"/>
    <w:rsid w:val="2EC92184"/>
    <w:rsid w:val="2ECD27F6"/>
    <w:rsid w:val="2EF97788"/>
    <w:rsid w:val="2F004E69"/>
    <w:rsid w:val="2F09010D"/>
    <w:rsid w:val="2F0E1C14"/>
    <w:rsid w:val="2F0F3B5B"/>
    <w:rsid w:val="2F24787C"/>
    <w:rsid w:val="2F306D92"/>
    <w:rsid w:val="2F366FC1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1287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2F53A1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7096C"/>
    <w:rsid w:val="35195F01"/>
    <w:rsid w:val="35313A72"/>
    <w:rsid w:val="35493C91"/>
    <w:rsid w:val="355C0228"/>
    <w:rsid w:val="356A29C5"/>
    <w:rsid w:val="35770D21"/>
    <w:rsid w:val="357800DF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E3E66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26A1B"/>
    <w:rsid w:val="3807648B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2E618D"/>
    <w:rsid w:val="3A3E52E7"/>
    <w:rsid w:val="3A4109A1"/>
    <w:rsid w:val="3A424466"/>
    <w:rsid w:val="3A604E19"/>
    <w:rsid w:val="3A742C8C"/>
    <w:rsid w:val="3A7B2702"/>
    <w:rsid w:val="3A896EEE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352F2A"/>
    <w:rsid w:val="3E4A1D40"/>
    <w:rsid w:val="3E4C287B"/>
    <w:rsid w:val="3E606251"/>
    <w:rsid w:val="3E633FD2"/>
    <w:rsid w:val="3E68503F"/>
    <w:rsid w:val="3E6A62CB"/>
    <w:rsid w:val="3E6F32D2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CA1ECF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22AA"/>
    <w:rsid w:val="4CCF426B"/>
    <w:rsid w:val="4CD061C1"/>
    <w:rsid w:val="4CE06178"/>
    <w:rsid w:val="4CE62DD9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5D5FD6"/>
    <w:rsid w:val="51633834"/>
    <w:rsid w:val="51653405"/>
    <w:rsid w:val="516A7012"/>
    <w:rsid w:val="51721A38"/>
    <w:rsid w:val="517D016D"/>
    <w:rsid w:val="51890449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B637E"/>
    <w:rsid w:val="554D6204"/>
    <w:rsid w:val="5556054C"/>
    <w:rsid w:val="557B1A25"/>
    <w:rsid w:val="55862A42"/>
    <w:rsid w:val="558A26C0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3720A6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09228A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A11ED6"/>
    <w:rsid w:val="59AB0DFC"/>
    <w:rsid w:val="59C1557F"/>
    <w:rsid w:val="59C34F85"/>
    <w:rsid w:val="59C8615E"/>
    <w:rsid w:val="59D41CD5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E91049"/>
    <w:rsid w:val="5AEF582B"/>
    <w:rsid w:val="5B0B5334"/>
    <w:rsid w:val="5B1B7ACD"/>
    <w:rsid w:val="5B247C71"/>
    <w:rsid w:val="5B2A406A"/>
    <w:rsid w:val="5B2A7A78"/>
    <w:rsid w:val="5B392BD6"/>
    <w:rsid w:val="5B544354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30E02"/>
    <w:rsid w:val="5D77660D"/>
    <w:rsid w:val="5D7A7C97"/>
    <w:rsid w:val="5D8A240A"/>
    <w:rsid w:val="5D8A4019"/>
    <w:rsid w:val="5D9907FA"/>
    <w:rsid w:val="5DC15F6D"/>
    <w:rsid w:val="5DC1666E"/>
    <w:rsid w:val="5DC37FD1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54FBB"/>
    <w:rsid w:val="5F5D331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71E4"/>
    <w:rsid w:val="645F56D4"/>
    <w:rsid w:val="646253D3"/>
    <w:rsid w:val="64627D01"/>
    <w:rsid w:val="646535AC"/>
    <w:rsid w:val="646F1D71"/>
    <w:rsid w:val="646F55EE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858A2"/>
    <w:rsid w:val="65E82859"/>
    <w:rsid w:val="65EA1755"/>
    <w:rsid w:val="65F22562"/>
    <w:rsid w:val="65F65692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43330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4AF6"/>
    <w:rsid w:val="67F16AAB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D011AA2"/>
    <w:rsid w:val="6D0D25B8"/>
    <w:rsid w:val="6D1A2893"/>
    <w:rsid w:val="6D2A2544"/>
    <w:rsid w:val="6D490A6B"/>
    <w:rsid w:val="6D4E3368"/>
    <w:rsid w:val="6D5610FF"/>
    <w:rsid w:val="6D582A6D"/>
    <w:rsid w:val="6D604FD1"/>
    <w:rsid w:val="6D635FBA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7BD9"/>
    <w:rsid w:val="70A51792"/>
    <w:rsid w:val="70A92DC8"/>
    <w:rsid w:val="70A94A40"/>
    <w:rsid w:val="70B774F6"/>
    <w:rsid w:val="70BB13B4"/>
    <w:rsid w:val="70D80F32"/>
    <w:rsid w:val="70D97C76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5614F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C4177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41FDD"/>
    <w:rsid w:val="74EF6361"/>
    <w:rsid w:val="74F00D7B"/>
    <w:rsid w:val="74F347DF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15AEC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987ED2"/>
    <w:rsid w:val="79AE1AE3"/>
    <w:rsid w:val="79AE77FB"/>
    <w:rsid w:val="79AF50E3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352C9"/>
    <w:rsid w:val="7BAA07E8"/>
    <w:rsid w:val="7BAB6832"/>
    <w:rsid w:val="7BAC2D3A"/>
    <w:rsid w:val="7BAE3C97"/>
    <w:rsid w:val="7BB16076"/>
    <w:rsid w:val="7BB46DB9"/>
    <w:rsid w:val="7BC12C72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B43A8E"/>
    <w:rsid w:val="7CC106AB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32A1C"/>
    <w:rsid w:val="7EFA2ADA"/>
    <w:rsid w:val="7F1339F1"/>
    <w:rsid w:val="7F1568D7"/>
    <w:rsid w:val="7F2E0D24"/>
    <w:rsid w:val="7F312E91"/>
    <w:rsid w:val="7F33645C"/>
    <w:rsid w:val="7F370B28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4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2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3430</Words>
  <Characters>3837</Characters>
  <Lines>0</Lines>
  <Paragraphs>0</Paragraphs>
  <TotalTime>0</TotalTime>
  <ScaleCrop>false</ScaleCrop>
  <LinksUpToDate>false</LinksUpToDate>
  <CharactersWithSpaces>3926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批注</cp:lastModifiedBy>
  <cp:lastPrinted>2025-07-01T08:26:00Z</cp:lastPrinted>
  <dcterms:modified xsi:type="dcterms:W3CDTF">2026-08-30T01:35:36Z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22E8BFD5237345D7879BA18ED24FC71D_13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