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FC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0533C035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5D38B4D3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735F6F8">
      <w:pPr>
        <w:pStyle w:val="12"/>
        <w:ind w:left="0" w:leftChars="0" w:firstLine="0" w:firstLineChars="0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</w:pPr>
    </w:p>
    <w:p w14:paraId="73B0A7BD">
      <w:pPr>
        <w:pStyle w:val="12"/>
        <w:rPr>
          <w:rFonts w:hint="default"/>
          <w:color w:val="auto"/>
          <w:highlight w:val="none"/>
          <w:lang w:val="en-US" w:eastAsia="zh-CN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东方红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小学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B522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5111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8A60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8F26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4869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51B9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E78F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273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06FA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06C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4008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B713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52A7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036E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B397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14C2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5BAAE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9353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0BD1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部门(单位)名称：岳阳市岳阳楼区东方红小学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79489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73A1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1F3A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岳阳市岳阳楼区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东方红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小学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一、</w:t>
      </w: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7B6734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1、宣传贯彻执行党和国家的教育方针、政策、法律法规等，坚持依法治教、依法治学，贯彻执行岳阳楼区教育局的行政规章制度。</w:t>
      </w:r>
    </w:p>
    <w:p w14:paraId="454C24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2、维护学校的教学秩序，为学生创造良好的学习环境，积极稳妥地推进教育改革，按教育规律办事，不断提高教育质量。</w:t>
      </w:r>
    </w:p>
    <w:p w14:paraId="6B0261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3、根据学校规模，设置学校管理机构，建立健全各项规章制度和岗位责任制。</w:t>
      </w:r>
    </w:p>
    <w:p w14:paraId="4CD0B8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4、坚持教书育人，服务育人，环境育人方针，加强对学生的思想品德教育，使学生的德智体全面发展。</w:t>
      </w:r>
    </w:p>
    <w:p w14:paraId="37B76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5、抓好教师队伍建设，使每个教师都热心于教育事业。</w:t>
      </w:r>
    </w:p>
    <w:p w14:paraId="663B2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6、做好安全防范，保证学生的人身安全。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我单位性质为全额拨款的事业单位，隶属于岳阳市岳阳楼区教育局，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本单位内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设机构包括：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  <w:lang w:val="en-US" w:eastAsia="zh-CN"/>
        </w:rPr>
        <w:t>校长室、学校办公室、教导处、政教处、后勤处。根据编办核定，我校共有教职工325人，其中：在职编制200人；离退休125人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年末学生人数4529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486E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1、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以校为本，提升课程品质。通过“寻味岳阳”实践课程，引导学生开展“美味、乡味、年味”实践活动。充分利用“我的小菜园”，一园、一课、一菜单，培养学生实践能力。学校举办第二届艺体节，为爱好艺体的学生搭建舞台。本届艺体节音乐类比赛参与人数创历史新高，独奏决赛100人；独舞决赛140人；第二届“快乐童声”校园小歌手大赛，海选1001人、复赛76人、入围总决赛12人。2024年9月我校被教育部、中央军委政治工作部评为“全国国防教育示范学校”。2024年9月在中国剧协举办的“少儿戏曲比赛”中，我校的巴陵戏《日出东方》获“第28届中国少儿戏曲小梅花荟萃”活动业余组集体项目“小梅花”荣誉称号。</w:t>
      </w:r>
    </w:p>
    <w:p w14:paraId="644DA19E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以生为本，提升课堂品质。细化“一对两线三课”教研体系。“一对”，即开展师徒结对活动引领教师成长；“两线”，指通过“教研室-教研组-教研共同体和学科建设团队-教研组长-共同体负责人”两条线，提升教研水平；“三课”，即通过“汇报课、展示课、同课异构”，打造高容高效课堂。从知识的宽度、内容的深度、教学的效度、作业设计的梯度四个维度，提升课堂效率。</w:t>
      </w:r>
    </w:p>
    <w:p w14:paraId="0A2473CF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、以人为本，提升文化品质。以继续创建“全国文明校园”为契机，加强对学生的文明礼貌、礼仪常规教育。坚持每周一升国旗仪式，激发学生爱国热情，提高学生道德意识。开展“寻找身边的道德榜样”活动，树立学生身边的道德榜样，发挥身边人的榜样示范作用。利用班会课、黑板报、红领巾电视台、广播站和学校网页宣传等加强对学生的引导和教育，培养学生良好的道德品质和文明行为。</w:t>
      </w:r>
    </w:p>
    <w:p w14:paraId="69572D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firstLine="675" w:firstLineChars="225"/>
        <w:jc w:val="left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、以爱为本，提升治理品质。优化年级组考评机制。成立由下年级行政、行管、年级主任、年级辅导员组成的年级专班，进一步提升了年级组管理水平，促进了教育教学秩序规范化，也增强了年级组的凝聚力。成立由下年级行政、行管、年级主任、年级辅导员组成的年级专班，进一步提升了年级组管理水平，促进了教育教学秩序规范化，也增强了年级组的凝聚力。在食堂采购上，由党委成员参与，严格执行成本核算制度，并进一步规范了膳食委员会和家长陪餐工作。精细化管理提高了学校的管理品质。2023年度我校被评为岳阳楼区教育系统“绩效考核先进单位”。</w:t>
      </w:r>
    </w:p>
    <w:p w14:paraId="488C3D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4393.15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3438.40万元：包括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997.00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11.48万元；奖金683.29万元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伙食补助费55.58万元；绩效工资557.71万元；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324.79万元；职工基本医疗保险缴费136.31万元；其他社会保障缴费25.41万元；住房公积金245.59万元；其他工资福利支出83.86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退休费316.35万元；抚恤金0.38万元；其他对个人和家庭的补助0.65万元。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277.74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21.69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7.27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8.83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16.11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邮电费2.03万元；差旅费0.17万元；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89.10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会议费19.54万元；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15.86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专用材料费1.78万元；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13.72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万元；委托业务费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0.94万元；工会经费25.40万元；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18.43万元；办公设备购置36.87万元。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6ABC20BE">
      <w:pPr>
        <w:spacing w:line="240" w:lineRule="auto"/>
        <w:ind w:firstLine="600" w:firstLineChars="200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677.01万元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度，东方红小学在区教育局的正确领导下，充分发挥学校行政班子的引领作用，明确职责，精诚团结，在全体教职工的共同努力下，圆满完成了年初制订的学校自主发展目标：课程建设精致实用、课堂建设精耕细作、文化建设精益求精、学校治理务实创新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我校共有教职工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325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人，其中：在职编制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125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年末学生人数4529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人。</w:t>
      </w:r>
    </w:p>
    <w:p w14:paraId="6D70A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学校举办第二届艺体节，大大促进了学校音乐、体育、美术等课程建设，吸引了众多学生参与比赛。本届艺体节音乐类比赛参与人数创历史新高，独奏决赛100人；独舞决赛140人；第二届“快乐童声”校园小歌手大赛，海选1001人、复赛76人、入围总决赛12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69003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以继续创建“全国文明校园”为契机，加强对学生的文明礼貌、礼仪常规教育。坚持每周一升国旗仪式，激发学生爱国热情，提高学生道德意识。开展“寻找身边的道德榜样”活动，树立学生身边的道德榜样，发挥身边人的榜样示范作用。利用班会课、黑板报、红领巾电视台、广播站和学校网页宣传等加强对学生的引导和教育，培养学生良好的道德品质和文明行为。</w:t>
      </w:r>
    </w:p>
    <w:p w14:paraId="2DC6E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推动后勤管理精细化。在各项采购和食堂管理方面。学校委托第三方公司对采购校服，食堂大宗供货商、广告公司、电脑设备维护公司等进行公开招标，进一步完善了后勤采购机制。特别是在食堂采购上，由党委成员参与，严格执行成本核算制度，并进一步规范了膳食委员会和家长陪餐工作。</w:t>
      </w:r>
    </w:p>
    <w:p w14:paraId="0E89A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）结合学校实际，做好实践课程建设。通过“寻味岳阳”实践课程，引导学生开展“美味、乡味、年味”实践活动。充分利用“我的小菜园”，一园、一课、一菜单，培养学生实践能力。利用寒暑假，拓展系列课程，以告家长书形式组织学生积极参与活动，返校后，学校收集学生作品，表彰展出优秀作品，取得很好的活动效果。</w:t>
      </w:r>
    </w:p>
    <w:p w14:paraId="37EBF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765D4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春、秋两季教育教学计划按时完成。</w:t>
      </w:r>
    </w:p>
    <w:p w14:paraId="20CF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6E9DC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严格控制“三公”经费列支，做到“三公”经费支出0万元；全年教育投入经费5515.26万元。</w:t>
      </w:r>
    </w:p>
    <w:p w14:paraId="4822F5F1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604488A4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54F17C8B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59E786F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6143E292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细化课堂评价指标。从知识的宽度、内容的深度、教学的效度、作业设计的梯度四个维度，提升课堂效率。细化教研共同体评价指标，从集体备课、三课呈现、教研效果、组内差距等方面，优化共同体建设效果。实效开展的教研共同体研究，为教师们搭建了专业发展平台。教研共同体“小兵团作战”模式，使教师素养大幅提升，个体差距越来越小，学科素养的提升促进了教学质量的提升，教研共同体建设成效显著。</w:t>
      </w:r>
    </w:p>
    <w:p w14:paraId="58C64CF7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优化年级组考评机制。成立由下年级行政、行管、年级主任、年级辅导员组成的年级专班，进一步提升了年级组管理水平，促进了教育教学秩序规范化，也增强了年级组的凝聚力。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5DC99327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细化“一对两线三课”教研体系。“一对”，即开展师徒结对活动引领教师成长；“两线”，指通过“教研室-教研组-教研共同体和学科建设团队-教研组长-共同体负责人”两条线，提升教研水平；“三课”，即通过“汇报课、展示课、同课异构”，打造高容高效课堂。本年度教师师徒结队79对，推门课78节次，成立学科共同体74个，共同体参与人数达384人次，共同体先行课144节，同课异构83节次，优课展示50节。今年上学期，我校六年级语、数、外学科参加岳阳楼区质量监测，均获得优异成绩，学校再次被评为2023--2024学年“岳阳楼区教学质量先进单位”。本学期，在岳阳市“金鹗杯”课堂教学竞赛中，我校陈佳林老师获小学英语学科第一名，钟媛老师获小学综合实践学科第四名的好成绩。</w:t>
      </w:r>
    </w:p>
    <w:p w14:paraId="18044802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宣传工作见成效。2024年全年共发布宣传报道136条。《倾情铺就支教路--岳阳楼区教育系统开展“三区”支教十年纪实》发表在《人民日报》上；邓建军校长写的报道《怎样办出家门口的好学校--东方红小学的时间与探索》在《中小学校长》刊物上发表。</w:t>
      </w:r>
    </w:p>
    <w:p w14:paraId="7ABA8D4B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00" w:firstLineChars="200"/>
        <w:jc w:val="both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2024年9月我校被教育部、中央军委政治工作部评为“全国国防教育示范学校”。2024年9月在中国剧协举办的“少儿戏曲比赛”中，我校的巴陵戏《日出东方》获“第28届中国少儿戏曲小梅花荟萃”活动业余组集体项目“小梅花”荣誉称号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师生对学校管理满意度100%，家长对学校管理满意度100%。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3E5CA2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在课程建设与与自我发展及学校品质发展存在差距。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6881E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以《义务教育学校管理标准》提升学校办学品位，认真落实《义务教育法》，力促教师专业成长。主要从课程建设、课堂建设、文化建设、学校治理等几个方面来推进学校各项工作发展，做有品质的教育。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20" w:lineRule="exact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根据部门整体支出绩效评价指标体系，东方红小学在2024年度取得了较好的评价结果。学校将绩效自评结果作为本部门、本单位完善政策和改进管理的重要依据。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2D0881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8466F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62E9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4BE7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7C83CF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2、单位整体支出绩效自评表</w:t>
      </w:r>
    </w:p>
    <w:p w14:paraId="0E70D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098" w:firstLineChars="300"/>
        <w:textAlignment w:val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、项目支出绩效自评表</w:t>
      </w: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br w:type="page"/>
      </w:r>
    </w:p>
    <w:p w14:paraId="6D79DC66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2FA80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6B00C650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DD9F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4686AFE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8FAF1C8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东方红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595A0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36AC67D6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BB489A5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0D1B688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7284462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10A935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6B1290A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2BE83C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53FEE3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5140212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6B5EF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1F5C105F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F747EB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528483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2"/>
                <w:szCs w:val="22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63F100F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2"/>
                <w:szCs w:val="22"/>
                <w:highlight w:val="none"/>
              </w:rPr>
              <w:t>年决算数</w:t>
            </w:r>
          </w:p>
        </w:tc>
      </w:tr>
      <w:tr w14:paraId="43A54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363D5DA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DC6F4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20E74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E618E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4606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2C96A8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D949C1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B6E0D1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C93292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65F6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7037B1B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237EB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DA9F5E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1E5A7BF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31B2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C988CFB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8AB82F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0E1489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DBA8F4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ABE7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7B7CC9B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296D52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7167876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8DB72A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3DE78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8D0832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3C7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BA64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963B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F697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2E9CB6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1792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5290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28416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677.51</w:t>
            </w:r>
          </w:p>
        </w:tc>
      </w:tr>
      <w:tr w14:paraId="5103A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21DF22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C9B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9976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20420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652.51</w:t>
            </w:r>
          </w:p>
        </w:tc>
      </w:tr>
      <w:tr w14:paraId="09F6F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0A11DB83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8126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D90C6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99E9D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593E6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7AE9DE0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3997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C986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B789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E09A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165BAA87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8830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543.49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A584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325.01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99CC8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1324.49</w:t>
            </w:r>
          </w:p>
        </w:tc>
      </w:tr>
      <w:tr w14:paraId="47AA6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2E881D7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7B9F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40.49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966F3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49.41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38B73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24.87</w:t>
            </w:r>
          </w:p>
        </w:tc>
      </w:tr>
      <w:tr w14:paraId="47EAB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1C3431B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6A46F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24.14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7855D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47C14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28.65</w:t>
            </w:r>
          </w:p>
        </w:tc>
      </w:tr>
      <w:tr w14:paraId="4BD59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322BB53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FA864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33.31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54DC8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7F604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35.40</w:t>
            </w:r>
          </w:p>
        </w:tc>
      </w:tr>
      <w:tr w14:paraId="57D2D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9DF0D8F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43AD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2263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234.38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DEF6C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364.16</w:t>
            </w:r>
          </w:p>
        </w:tc>
      </w:tr>
      <w:tr w14:paraId="1F04E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BA38C37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1B831A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5E13C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D9F000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69E78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158B9D28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4DBFE5E3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AB9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6BBD2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9B4D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72929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430E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E1A5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6313E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2D9D4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696A4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19ED7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054FF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1DB17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16DD8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55831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A0DC35B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18999BBE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201FD4F3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67AAC805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3C62E9E7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0C7CCF99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231860C8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39C04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476E0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D92E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0405C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03159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4F8DB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刘惠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13873096111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01AC9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</w:p>
    <w:p w14:paraId="019AA410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6E9E8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020"/>
        <w:gridCol w:w="975"/>
        <w:gridCol w:w="1620"/>
        <w:gridCol w:w="1211"/>
        <w:gridCol w:w="1268"/>
        <w:gridCol w:w="716"/>
        <w:gridCol w:w="873"/>
        <w:gridCol w:w="1450"/>
      </w:tblGrid>
      <w:tr w14:paraId="7330CC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2945" w:type="dxa"/>
            <w:gridSpan w:val="3"/>
            <w:noWrap w:val="0"/>
            <w:vAlign w:val="top"/>
          </w:tcPr>
          <w:p w14:paraId="46085B3E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7138" w:type="dxa"/>
            <w:gridSpan w:val="6"/>
            <w:noWrap w:val="0"/>
            <w:vAlign w:val="top"/>
          </w:tcPr>
          <w:p w14:paraId="2DF3D0F9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岳阳市岳阳楼区东方红</w:t>
            </w:r>
            <w:r>
              <w:rPr>
                <w:color w:val="auto"/>
                <w:highlight w:val="none"/>
                <w:lang w:val="en-US" w:eastAsia="zh-CN"/>
              </w:rPr>
              <w:t>小学</w:t>
            </w:r>
          </w:p>
        </w:tc>
      </w:tr>
      <w:tr w14:paraId="5DEFDD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restart"/>
            <w:tcBorders>
              <w:bottom w:val="nil"/>
            </w:tcBorders>
            <w:noWrap w:val="0"/>
            <w:vAlign w:val="top"/>
          </w:tcPr>
          <w:p w14:paraId="51705493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AAB0E6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3A4D5EE2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221AB3AE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1995" w:type="dxa"/>
            <w:gridSpan w:val="2"/>
            <w:noWrap w:val="0"/>
            <w:vAlign w:val="top"/>
          </w:tcPr>
          <w:p w14:paraId="6A0C2E60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620" w:type="dxa"/>
            <w:noWrap w:val="0"/>
            <w:vAlign w:val="top"/>
          </w:tcPr>
          <w:p w14:paraId="40F3B766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211" w:type="dxa"/>
            <w:noWrap w:val="0"/>
            <w:vAlign w:val="top"/>
          </w:tcPr>
          <w:p w14:paraId="6A3D35C7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60D901C1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1688318E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CA6ED8A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7F3B88D9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4D394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FB4DE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995" w:type="dxa"/>
            <w:gridSpan w:val="2"/>
            <w:noWrap w:val="0"/>
            <w:vAlign w:val="top"/>
          </w:tcPr>
          <w:p w14:paraId="12A41D9F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620" w:type="dxa"/>
            <w:noWrap w:val="0"/>
            <w:vAlign w:val="top"/>
          </w:tcPr>
          <w:p w14:paraId="5F626B8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3903.92</w:t>
            </w:r>
          </w:p>
        </w:tc>
        <w:tc>
          <w:tcPr>
            <w:tcW w:w="1211" w:type="dxa"/>
            <w:noWrap w:val="0"/>
            <w:vAlign w:val="top"/>
          </w:tcPr>
          <w:p w14:paraId="0483C0E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5525.26</w:t>
            </w:r>
          </w:p>
        </w:tc>
        <w:tc>
          <w:tcPr>
            <w:tcW w:w="1268" w:type="dxa"/>
            <w:noWrap w:val="0"/>
            <w:vAlign w:val="top"/>
          </w:tcPr>
          <w:p w14:paraId="49AF3BD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5515.26</w:t>
            </w:r>
          </w:p>
        </w:tc>
        <w:tc>
          <w:tcPr>
            <w:tcW w:w="716" w:type="dxa"/>
            <w:noWrap w:val="0"/>
            <w:vAlign w:val="top"/>
          </w:tcPr>
          <w:p w14:paraId="7822C8BD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5A8DAB0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99.82%</w:t>
            </w:r>
          </w:p>
        </w:tc>
        <w:tc>
          <w:tcPr>
            <w:tcW w:w="1450" w:type="dxa"/>
            <w:noWrap w:val="0"/>
            <w:vAlign w:val="top"/>
          </w:tcPr>
          <w:p w14:paraId="18378A3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54FDC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B997E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top"/>
          </w:tcPr>
          <w:p w14:paraId="5F99800E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8D98D59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1EA2AB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3D61C5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top"/>
          </w:tcPr>
          <w:p w14:paraId="5FF564A3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4393.15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64BC37E">
            <w:pPr>
              <w:spacing w:before="21" w:line="207" w:lineRule="auto"/>
              <w:ind w:left="115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4837.75</w:t>
            </w:r>
          </w:p>
        </w:tc>
      </w:tr>
      <w:tr w14:paraId="6856F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6644F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top"/>
          </w:tcPr>
          <w:p w14:paraId="05928F85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82E7ECC">
            <w:pPr>
              <w:spacing w:before="21" w:line="207" w:lineRule="auto"/>
              <w:ind w:left="717" w:leftChars="0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677.51</w:t>
            </w:r>
          </w:p>
        </w:tc>
      </w:tr>
      <w:tr w14:paraId="33F3D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029F0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top"/>
          </w:tcPr>
          <w:p w14:paraId="4E09FB93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63D77C8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F9CD2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</w:tcBorders>
            <w:noWrap w:val="0"/>
            <w:vAlign w:val="top"/>
          </w:tcPr>
          <w:p w14:paraId="5AB747E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top"/>
          </w:tcPr>
          <w:p w14:paraId="44156D18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1122.11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A7EA858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FA680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restart"/>
            <w:tcBorders>
              <w:bottom w:val="nil"/>
            </w:tcBorders>
            <w:noWrap w:val="0"/>
            <w:vAlign w:val="top"/>
          </w:tcPr>
          <w:p w14:paraId="331CFA11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CE9DDC7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2C969F4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826" w:type="dxa"/>
            <w:gridSpan w:val="4"/>
            <w:noWrap w:val="0"/>
            <w:vAlign w:val="top"/>
          </w:tcPr>
          <w:p w14:paraId="4DFA7DD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E1EBB3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0FED3C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950" w:type="dxa"/>
            <w:vMerge w:val="continue"/>
            <w:tcBorders>
              <w:top w:val="nil"/>
            </w:tcBorders>
            <w:noWrap w:val="0"/>
            <w:vAlign w:val="top"/>
          </w:tcPr>
          <w:p w14:paraId="09A442C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826" w:type="dxa"/>
            <w:gridSpan w:val="4"/>
            <w:noWrap w:val="0"/>
            <w:vAlign w:val="center"/>
          </w:tcPr>
          <w:p w14:paraId="77F160F0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1、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抓好教学教育工作，开展各项教研活动，狠抓教师队伍建设，不断提高教育质量。</w:t>
            </w:r>
          </w:p>
          <w:p w14:paraId="0D41CF4B">
            <w:pPr>
              <w:pStyle w:val="11"/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2、加强对学生的思想品德教育，</w:t>
            </w: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落实“双减”，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使学生的德智体全面发展。</w:t>
            </w:r>
          </w:p>
          <w:p w14:paraId="74743644">
            <w:pPr>
              <w:pStyle w:val="11"/>
              <w:jc w:val="both"/>
              <w:rPr>
                <w:rFonts w:hint="default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3、做好后勤保障工作，加强学校安全教育，全方位保障校园安全。</w:t>
            </w:r>
          </w:p>
          <w:p w14:paraId="27541FF1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4、完成上级部门交给的其他工作，按时完成上级部门交给的创文创卫工作和其他工作。</w:t>
            </w:r>
          </w:p>
          <w:p w14:paraId="085E0C83"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31E63DEA">
            <w:pPr>
              <w:pStyle w:val="11"/>
              <w:numPr>
                <w:ilvl w:val="0"/>
                <w:numId w:val="6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细化“一对两线三课”教研体系。“一对”，即开展师徒结对活动引领教师成长；“两线”，指通过“教研室-教研组-教研共同体和学科建设团队-教研组长-共同体负责人”两条线，提升教研水平；“三课”，即通过“汇报课、展示课、同课异构”，打造高容高效课堂。细化课堂评价指标。从知识的宽度、内容的深度、教学的效度、作业设计的梯度四个维度，提升课堂效率。</w:t>
            </w:r>
          </w:p>
          <w:p w14:paraId="2E6C0807">
            <w:pPr>
              <w:pStyle w:val="11"/>
              <w:numPr>
                <w:ilvl w:val="0"/>
                <w:numId w:val="6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通过“寻味岳阳”实践课程，引导学生开展“美味、乡味、年味”等实践活动，培养学生实践能力。学校举办第二届艺体节，为爱好艺体的学生搭建舞台。</w:t>
            </w:r>
          </w:p>
          <w:p w14:paraId="1D49E64C">
            <w:pPr>
              <w:pStyle w:val="11"/>
              <w:numPr>
                <w:ilvl w:val="0"/>
                <w:numId w:val="6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2024年，后勤处制定和完善了内控管理的相关制度，特别是在食堂采购上，由党委成员参与，严格执行成本核算制度，并进一步规范了膳食委员会和家长陪餐工作。精细化管理提高了学校的管理品质。</w:t>
            </w:r>
          </w:p>
          <w:p w14:paraId="50579868">
            <w:pPr>
              <w:pStyle w:val="11"/>
              <w:numPr>
                <w:ilvl w:val="0"/>
                <w:numId w:val="6"/>
              </w:numPr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按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时完成上级部门交给的工作。今年，宣传工作见成效。全年共发布宣传报道136条。今年学校再次被评为2023--2024学年“岳阳楼区教学质量先进单位”。2024年9月我校被教育部、中央军委政治工作部评为“全国国防教育示范学校”。</w:t>
            </w:r>
          </w:p>
        </w:tc>
      </w:tr>
      <w:tr w14:paraId="366A8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950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22147EF0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F950155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20" w:type="dxa"/>
            <w:noWrap w:val="0"/>
            <w:vAlign w:val="top"/>
          </w:tcPr>
          <w:p w14:paraId="5EB21F2E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975" w:type="dxa"/>
            <w:noWrap w:val="0"/>
            <w:vAlign w:val="top"/>
          </w:tcPr>
          <w:p w14:paraId="61AEC6AC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620" w:type="dxa"/>
            <w:noWrap w:val="0"/>
            <w:vAlign w:val="top"/>
          </w:tcPr>
          <w:p w14:paraId="3D5841B8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211" w:type="dxa"/>
            <w:noWrap w:val="0"/>
            <w:vAlign w:val="top"/>
          </w:tcPr>
          <w:p w14:paraId="6CB92493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504020D6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2D570B59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770019A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66858719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140A8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77B381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restart"/>
            <w:tcBorders>
              <w:bottom w:val="nil"/>
            </w:tcBorders>
            <w:noWrap w:val="0"/>
            <w:vAlign w:val="top"/>
          </w:tcPr>
          <w:p w14:paraId="3C0936BA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8365640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DE7AA21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23BF296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0C1CC28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5D1ECD0C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37A62E1D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975" w:type="dxa"/>
            <w:vMerge w:val="restart"/>
            <w:tcBorders>
              <w:bottom w:val="nil"/>
            </w:tcBorders>
            <w:noWrap w:val="0"/>
            <w:vAlign w:val="top"/>
          </w:tcPr>
          <w:p w14:paraId="77555F13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117A7086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620" w:type="dxa"/>
            <w:noWrap w:val="0"/>
            <w:vAlign w:val="center"/>
          </w:tcPr>
          <w:p w14:paraId="6C0ECD52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小学</w:t>
            </w: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义务教育在校生</w:t>
            </w:r>
          </w:p>
        </w:tc>
        <w:tc>
          <w:tcPr>
            <w:tcW w:w="1211" w:type="dxa"/>
            <w:noWrap w:val="0"/>
            <w:vAlign w:val="center"/>
          </w:tcPr>
          <w:p w14:paraId="3A19F9B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4500人</w:t>
            </w:r>
          </w:p>
        </w:tc>
        <w:tc>
          <w:tcPr>
            <w:tcW w:w="1268" w:type="dxa"/>
            <w:noWrap w:val="0"/>
            <w:vAlign w:val="center"/>
          </w:tcPr>
          <w:p w14:paraId="5403412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4529人</w:t>
            </w:r>
          </w:p>
        </w:tc>
        <w:tc>
          <w:tcPr>
            <w:tcW w:w="716" w:type="dxa"/>
            <w:noWrap w:val="0"/>
            <w:vAlign w:val="center"/>
          </w:tcPr>
          <w:p w14:paraId="6AF2565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C94154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77480A8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3A73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8BC99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84CCC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3F85F5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37E171C9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211" w:type="dxa"/>
            <w:noWrap w:val="0"/>
            <w:vAlign w:val="center"/>
          </w:tcPr>
          <w:p w14:paraId="4BF3B03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50人</w:t>
            </w:r>
          </w:p>
        </w:tc>
        <w:tc>
          <w:tcPr>
            <w:tcW w:w="1268" w:type="dxa"/>
            <w:noWrap w:val="0"/>
            <w:vAlign w:val="center"/>
          </w:tcPr>
          <w:p w14:paraId="4DB308C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90人</w:t>
            </w:r>
          </w:p>
        </w:tc>
        <w:tc>
          <w:tcPr>
            <w:tcW w:w="716" w:type="dxa"/>
            <w:noWrap w:val="0"/>
            <w:vAlign w:val="center"/>
          </w:tcPr>
          <w:p w14:paraId="383A37B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0AF32D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4023CAC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9327B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073CC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A348F9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</w:tcBorders>
            <w:noWrap w:val="0"/>
            <w:vAlign w:val="top"/>
          </w:tcPr>
          <w:p w14:paraId="414CDEC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7820BCF7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211" w:type="dxa"/>
            <w:shd w:val="clear" w:color="auto" w:fill="auto"/>
            <w:noWrap w:val="0"/>
            <w:vAlign w:val="center"/>
          </w:tcPr>
          <w:p w14:paraId="7874809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200人次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6C277F8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260人次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0A3FB80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9E4674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3FA1BF6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9E38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A58F8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857C2F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</w:tcBorders>
            <w:noWrap w:val="0"/>
            <w:vAlign w:val="top"/>
          </w:tcPr>
          <w:p w14:paraId="1A1A38D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 w14:paraId="3EC2EFE5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学生课外活动数量</w:t>
            </w:r>
          </w:p>
        </w:tc>
        <w:tc>
          <w:tcPr>
            <w:tcW w:w="1211" w:type="dxa"/>
            <w:shd w:val="clear" w:color="auto" w:fill="auto"/>
            <w:noWrap w:val="0"/>
            <w:vAlign w:val="center"/>
          </w:tcPr>
          <w:p w14:paraId="57ED2D1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≧10次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66FB6F7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15次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7717C55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3D89B14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3B4A2C6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80735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48454F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2E826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restart"/>
            <w:tcBorders>
              <w:bottom w:val="nil"/>
            </w:tcBorders>
            <w:noWrap w:val="0"/>
            <w:vAlign w:val="top"/>
          </w:tcPr>
          <w:p w14:paraId="436D215A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7CAA4E7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620" w:type="dxa"/>
            <w:noWrap w:val="0"/>
            <w:vAlign w:val="center"/>
          </w:tcPr>
          <w:p w14:paraId="6B17C77B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211" w:type="dxa"/>
            <w:noWrap w:val="0"/>
            <w:vAlign w:val="center"/>
          </w:tcPr>
          <w:p w14:paraId="5114956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6B79D06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4254D10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CA1B9C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65D6DA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12F87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5A722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7F221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B5D69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41C60697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购置设备投入使用率</w:t>
            </w:r>
          </w:p>
        </w:tc>
        <w:tc>
          <w:tcPr>
            <w:tcW w:w="1211" w:type="dxa"/>
            <w:noWrap w:val="0"/>
            <w:vAlign w:val="center"/>
          </w:tcPr>
          <w:p w14:paraId="4541DD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6D6151B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173C1AC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5D9A35F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FE5F17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55B5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69547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7B0261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D9DDFA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noWrap w:val="0"/>
            <w:vAlign w:val="center"/>
          </w:tcPr>
          <w:p w14:paraId="2C607805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211" w:type="dxa"/>
            <w:noWrap w:val="0"/>
            <w:vAlign w:val="center"/>
          </w:tcPr>
          <w:p w14:paraId="53454EB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3E28B08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136AB77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22FE76D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F5BC53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EB7F5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7A73D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D59163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BD971FD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1A2A07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noWrap w:val="0"/>
            <w:vAlign w:val="center"/>
          </w:tcPr>
          <w:p w14:paraId="0C05547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055F6A6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0577785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1F5921D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55F651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E3798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209A81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0B51B41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6D3B4C7A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62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A15CD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noWrap w:val="0"/>
            <w:vAlign w:val="center"/>
          </w:tcPr>
          <w:p w14:paraId="3E7CBD6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5525.26万元</w:t>
            </w:r>
          </w:p>
        </w:tc>
        <w:tc>
          <w:tcPr>
            <w:tcW w:w="1268" w:type="dxa"/>
            <w:noWrap w:val="0"/>
            <w:vAlign w:val="center"/>
          </w:tcPr>
          <w:p w14:paraId="56CAB64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5515.26万元</w:t>
            </w:r>
          </w:p>
        </w:tc>
        <w:tc>
          <w:tcPr>
            <w:tcW w:w="716" w:type="dxa"/>
            <w:noWrap w:val="0"/>
            <w:vAlign w:val="center"/>
          </w:tcPr>
          <w:p w14:paraId="0BAC712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166E3E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A71507B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7ABE95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0F2E1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3841510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7027DEB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A98611E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327E809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CFB34BC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46758986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EB6783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035CCE70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E316F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noWrap w:val="0"/>
            <w:vAlign w:val="center"/>
          </w:tcPr>
          <w:p w14:paraId="18605B9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1D76B11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36E0D93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1BA3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62DA0B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5519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03BB9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0415D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505D0B8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5FCDF66E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vAlign w:val="top"/>
          </w:tcPr>
          <w:p w14:paraId="32391473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211" w:type="dxa"/>
            <w:noWrap w:val="0"/>
            <w:vAlign w:val="center"/>
          </w:tcPr>
          <w:p w14:paraId="30365DD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2FFAD7C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1D9AE2F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B434E6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70736A1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6184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D30A6F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91871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F43D3CB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6185AB4E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41A8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noWrap w:val="0"/>
            <w:vAlign w:val="center"/>
          </w:tcPr>
          <w:p w14:paraId="2B77213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6E6CEFB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46A6B80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A7E63E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D82970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9A53E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B41D08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42005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EA3CFE4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1862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noWrap w:val="0"/>
            <w:vAlign w:val="center"/>
          </w:tcPr>
          <w:p w14:paraId="6B27D029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6AD1FD36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7D449E76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51EA1537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A7560C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8EE7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950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C7B72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2845472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265C2C97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1EC13651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4CA9F5D6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85CCB2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7625BE6C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3010CE8F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757885B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31CFBDB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211" w:type="dxa"/>
            <w:noWrap w:val="0"/>
            <w:vAlign w:val="center"/>
          </w:tcPr>
          <w:p w14:paraId="7443D8AE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258611C7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29B19A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8EDCF9B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0AE1FCA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31F823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950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04D2D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3AF46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AC00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620" w:type="dxa"/>
            <w:tcBorders>
              <w:left w:val="single" w:color="auto" w:sz="4" w:space="0"/>
            </w:tcBorders>
            <w:noWrap w:val="0"/>
            <w:vAlign w:val="center"/>
          </w:tcPr>
          <w:p w14:paraId="16BBD05D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211" w:type="dxa"/>
            <w:noWrap w:val="0"/>
            <w:vAlign w:val="center"/>
          </w:tcPr>
          <w:p w14:paraId="6196CE2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3FCD904A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0F1A2A2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2F4414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297783F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EF01B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464F3FAA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62C9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655DC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450" w:type="dxa"/>
            <w:noWrap w:val="0"/>
            <w:vAlign w:val="top"/>
          </w:tcPr>
          <w:p w14:paraId="5B1E3F3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5BC281AE">
      <w:pPr>
        <w:spacing w:line="132" w:lineRule="exact"/>
        <w:rPr>
          <w:color w:val="auto"/>
          <w:highlight w:val="none"/>
        </w:rPr>
      </w:pPr>
    </w:p>
    <w:p w14:paraId="0F496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3EFC5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7512C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刘惠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13873096111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29574E9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7262A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6A85FD0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B412E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01612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71DD2BB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A31E9E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890FA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ECA0678">
      <w:pPr>
        <w:spacing w:before="191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5FB1B3AB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17E7D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7048D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28AB28C0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B5650EA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2397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364C4D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B035BE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8B040B5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05F0C24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0C90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A318977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272DF87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185030F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E92C48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8867C8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6934277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C3E9FEF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076E6BE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DC08EE6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FC2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64F4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84798E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C0498A3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8D4FC9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EBC835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167E915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11B932DF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9FF5346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322D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93929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89B42D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298A90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69DF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F47FF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2D065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FBE17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413BE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A8B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A2F5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95343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B9EDF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57379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BC8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39D5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F8296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87E94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8604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C66F6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098B4C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DF99C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59A5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0638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CD3EF3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FE02E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5B5C1B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FA1F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27F2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11C2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F81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A312E98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27D4AEE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4775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5AE36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3EC56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8C8F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0DE7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914593C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5A6C57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8140FA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5C71B44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77772B10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0E03F14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53A1556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CD359A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3E080A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93C70D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2426D2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39037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83B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E58CD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3E31FD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A4593D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147825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DFB4AF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484A42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D5ACCF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15EFA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C78EE9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722A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E67A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DCC11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CE1C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FE43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BAB7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FCC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AC92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906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56A3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82EE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76292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A771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A5DE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F1B02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5DD7F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7C5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296C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5055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66258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5D1426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EC9BF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DBCB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9D07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EC9E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7288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F7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A7E1A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84B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A9F35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7FF12FF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3276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D674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CC56D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B2C8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1C65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3910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9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0723A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CB21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6BAE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F9E7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2F30A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DD0D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288838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2DA6E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990A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6D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1011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4E700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FBAEF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A5752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B088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1B4D8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95B8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3EAC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0C5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3A5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FEB40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9C5D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A6D2E34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59AC806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48A269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B197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F1E4D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D711D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CBD5A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37F38E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635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B973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27AB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7B0A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44D6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57F5F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537F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83AF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BF8B4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09AD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BFC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4753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D9E8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011F7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5ECBB9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3638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939B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BA30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D66A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B4A1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5E6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B239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AACF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4F86F92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D56D87A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784F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8F5A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C52B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491B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C5F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B576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EDF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1D04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7F17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D677C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6387C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66A1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1ADB5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AA22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C551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C0DC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37C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43837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14346E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CD69DE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97505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6AA6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93AB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98B9B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188B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7874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45D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F1F4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A29CABE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3E219D9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6004A87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D46751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C531CB5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1F265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287E64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8F314CE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76A8F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8B149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7FFA6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D2BD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48899D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563B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578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A977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B069E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E739E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5623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E9D24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192E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750C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3D0B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88FD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2A9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3F81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B846F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1704E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70AB5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B9214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755C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FCBC5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84865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45585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425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07A7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C695D4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5E78C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A72D137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22E5E9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735E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8173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B6C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2EEB8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5DF0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631D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778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81E80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6333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2A796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A664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4E87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605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34A2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1CCC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75007E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B5B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2BE4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E234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2AA9C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9583F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9280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561C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E95C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C7530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43FBC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45C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E4797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C258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F74572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212D9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30E759C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B3E5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14F45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794E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84F8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7A87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24BA2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17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2EDE4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2C4586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BE14F2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E2042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631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B7BF3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7407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705E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CC395C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CB7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D54F53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C191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C0E5E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E4BDD4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8B30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99E9B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C670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D049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E07A6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C94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6A4D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5F47BC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8AFE53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59B9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0D042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E771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5369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3095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24E9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213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01A55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9B69DB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D10E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0656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04C1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AD9C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ECF2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96AA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98BD0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50D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B2047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A7CC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165C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D91EA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A36F6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E2C1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862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27C08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0CC4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731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5CDE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ACD0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9719E02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A68664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6B9A3E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5C1F735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CF4BC8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2A3022B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C8D7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864F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C05C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5DFD1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550A2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6E8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D3B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D06E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6E61D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04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F21E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0AE7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CBA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BD6A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ADFF92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631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AA1C3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6EBA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92F2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E85891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974CF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66492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46AEC9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CD7EE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1BC486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A694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7215FB62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175DB39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AF7FE3B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1E39B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679251A6">
      <w:pPr>
        <w:spacing w:line="217" w:lineRule="auto"/>
        <w:rPr>
          <w:sz w:val="22"/>
          <w:szCs w:val="22"/>
        </w:rPr>
      </w:pPr>
    </w:p>
    <w:p w14:paraId="03129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firstLine="46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刘惠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13873096111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36343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 w:firstLine="460"/>
        <w:textAlignment w:val="auto"/>
        <w:rPr>
          <w:rFonts w:hint="default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2506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sectPr>
      <w:footerReference r:id="rId4" w:type="default"/>
      <w:pgSz w:w="11906" w:h="16838"/>
      <w:pgMar w:top="1417" w:right="1531" w:bottom="1417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396438D-2D4A-4C32-8FA9-C4253515A2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46E70A7-1856-4FF5-84D5-FA46B5F414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0710754-FC0E-4965-854A-779B5A86C6B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38C1C8C-710F-4736-BC8A-2D13E896095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41C6299-0165-4A79-96D1-4E4577F28CE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39814638-B0EB-45D9-B0D6-348522B3740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32FC728C-2ECE-4566-B7BC-6D98E9447032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F088C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E31FD99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31FD99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2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D02BD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3D3B7B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BFF63EA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E6007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B08CE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534A8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7C0148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337AC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basedOn w:val="1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3">
    <w:name w:val="表格文字"/>
    <w:next w:val="3"/>
    <w:qFormat/>
    <w:uiPriority w:val="0"/>
    <w:pPr>
      <w:widowControl w:val="0"/>
      <w:jc w:val="both"/>
    </w:pPr>
    <w:rPr>
      <w:rFonts w:ascii="等线" w:hAnsi="等线" w:eastAsia="楷体_GB2312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5654</Words>
  <Characters>6207</Characters>
  <Lines>0</Lines>
  <Paragraphs>0</Paragraphs>
  <TotalTime>1080</TotalTime>
  <ScaleCrop>false</ScaleCrop>
  <LinksUpToDate>false</LinksUpToDate>
  <CharactersWithSpaces>6272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2026-08-28T02:13:25Z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111912B7231E441F8693BFA2DAFE4FA5_13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