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4"/>
          <w:sz w:val="31"/>
          <w:szCs w:val="31"/>
          <w:highlight w:val="none"/>
          <w:lang w:val="en-US" w:eastAsia="zh-CN"/>
        </w:rPr>
        <w:t xml:space="preserve"> </w:t>
      </w:r>
    </w:p>
    <w:p w14:paraId="4EEE7141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4C88AA7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119F321D">
      <w:pPr>
        <w:pStyle w:val="10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站前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部门(单位)名称：岳阳市岳阳楼区站前小学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2025年07月07日</w:t>
      </w:r>
    </w:p>
    <w:p w14:paraId="5C39BC5F">
      <w:pPr>
        <w:pStyle w:val="10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CE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站前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小学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单位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2F7AE3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  <w:t>宣传贯彻执行党和国家的教育方针、政策、法律法规等，坚持依法治教、依法治学，贯彻执行岳阳楼区教育局的行政规章制度。</w:t>
      </w:r>
    </w:p>
    <w:p w14:paraId="2EB84E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  <w:t>2、维护学校的教学秩序，为学生创造良好的学习环境。</w:t>
      </w:r>
    </w:p>
    <w:p w14:paraId="33D774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  <w:t>3、积极稳妥地推进教育改革，按教育规律办事，不断提高教育质量。</w:t>
      </w:r>
    </w:p>
    <w:p w14:paraId="40208A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  <w:t>4、根据学校规模，设置学校管理机构，建立健全各项规章制度和岗位责任制。</w:t>
      </w:r>
    </w:p>
    <w:p w14:paraId="6FB8A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  <w:t>5、坚持教书育人，服务育人，环境育人方针，加强对学生的思想品德教育，使学生的德智体全面发展。</w:t>
      </w:r>
    </w:p>
    <w:p w14:paraId="663B2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color w:val="auto"/>
          <w:kern w:val="0"/>
          <w:sz w:val="30"/>
          <w:szCs w:val="30"/>
          <w:highlight w:val="none"/>
        </w:rPr>
        <w:t>6、抓好教师队伍建设，使每个教师都热心于教育事业；做好安全防范，保证学生的人身安全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我单位性质为全额拨款的事业单位，隶属于岳阳市岳阳楼区教育局，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本单位内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设机构包括：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校务办、教研室、德育办、后勤保卫办。根据编办核定，我校共有教职工1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/>
        </w:rPr>
        <w:t>62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人，其中：在职编制9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人；离退休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/>
        </w:rPr>
        <w:t>67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人。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学生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2060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4135C9B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坚持五育并举，突出德育首位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共筑全面发展。一方面坚持不懈地抓好学生的养成教育，利用常规检查评比、红领巾监督岗、广播站宣传、班主任教育等方式培养学生的文明礼仪和卫生习惯，将“干干净净、彬彬有礼”贯彻始终。另一方面开展丰富多彩的德育活动。每周一次的升旗仪式集中展现了班级育人的成果，升旗仪式紧扣主题、突出教育作用，具有良好的引领作用。</w:t>
      </w:r>
    </w:p>
    <w:p w14:paraId="52CAC20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en-US"/>
        </w:rPr>
        <w:t>强化安全防范，守牢校园平安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en-US"/>
        </w:rPr>
        <w:t>健全了各种制度及防范应急预案，建立了安全监控台账，明确了职责分工，签订安全责任书，确保了与家长的有效沟通提醒。牵头召开了有公安、城管、社区、街道、交警等部门参加的联席会议，出台了《关于建立部门联动，共同防范公共安全风险的意见》，部门联动，有力保障了校门口的安全。</w:t>
      </w:r>
    </w:p>
    <w:p w14:paraId="1DF9BB6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en-US"/>
        </w:rPr>
        <w:t>狠抓食堂整治。我们严格落实《2024年湖南省中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en-US" w:bidi="ar-SA"/>
        </w:rPr>
        <w:t>小学食堂管理办法》与《岳阳楼区中小学食堂监管细则》文件要求，执行智慧监管+明厨亮灶的监管模式，每天的采购、食谱、消毒、留样、人员晨检等上平台；食物从采购、验收、清洗、分拣、切配、到烹调、分餐，都进行了实时监管；严格落实采购复核验收制度；学校班子成员不定期对食堂工作进行督查，及时处置偶发情况，并坚持陪餐。</w:t>
      </w:r>
    </w:p>
    <w:p w14:paraId="3F81A1D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en-US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4、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en-US" w:bidi="ar-SA"/>
        </w:rPr>
        <w:t>注重常规管理，提升办学品质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。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en-US" w:bidi="ar-SA"/>
        </w:rPr>
        <w:t>一是注重教师培训。本学年，先后选派多名教师参加国家级、省级培训，新课程培训、教育信息化培训。二是深化教研教改。推进集体备课和听评课活动，召开教学质量研讨会，教师在教育教学、课题研究、项目式作业设计等方面取得了显著成绩。</w:t>
      </w:r>
    </w:p>
    <w:p w14:paraId="1C7B98F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5、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en-US" w:bidi="ar-SA"/>
        </w:rPr>
        <w:t>坚持党建引领，清廉校园建设激发新潜力。组织党员教师通过集中学习、专题研讨、自主学习等多种形式，深入学习《中国共产党纪律处分条例》、《党章》、中央八项规定、廉洁自律十不准、党的二十大、二十届三中全会等文件精神；书记带头讲党课、学习李东同的先进事迹等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，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en-US" w:bidi="ar-SA"/>
        </w:rPr>
        <w:t>激发党员活力。本学期重点结合党纪学习及清廉校园建设不断强化廉洁自律要求。在民主治校、三重一大、日常管理等方面，我们都力求营造一个“风清气正、和谐友爱、积极向上”的学校氛围。班子成员，通过分管工作，层层传导，让廉洁之花开遍校园。</w:t>
      </w:r>
    </w:p>
    <w:p w14:paraId="488C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1778.30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1635.22万元：包括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475.69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3.69万元；奖金218.25万元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伙食补助费11.53万元；绩效工资351.68万元；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158.70万元；职工基本医疗保险缴费65.68万元；其他社会</w:t>
      </w:r>
      <w:bookmarkStart w:id="0" w:name="_GoBack"/>
      <w:bookmarkEnd w:id="0"/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保障缴费12.43万元；住房公积金117.69万元；其他工资福利支出51.24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退休费167.33万元；他对个人和家庭的补助1.31万元。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143.08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19.56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7.47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8.87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8.50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邮电费2.55万元；物业管理费2.91万元；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18.15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万元；租赁费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0.28万元；会议费5.29万元；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3.65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专用材料费7.09万元；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5.19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工会经费6.07万元；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36.42万元；办公设备购置5.64万元；专用设备购置5.44万元。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212.33万元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0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0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0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202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  <w:lang w:val="en-US" w:eastAsia="zh-CN"/>
        </w:rPr>
        <w:t>4年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</w:rPr>
        <w:t>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站前小学在区教育局的坚强领导下，深入贯彻党的二十大、二十届三中全会精神，全面落实“立德树人”的使命任务，坚守“五育并举”的育人理念，不断精进，矢志不渝，致力于打造更加精致、精品的校园，取得了较好的成绩。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1）本年度，我校共有教职工162人，含新进4名教师。其中：在职编制95人；离退休67人。学生2060人。</w:t>
      </w:r>
    </w:p>
    <w:p w14:paraId="6D70A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本学年，先后选派多名教师参加国家级、省级培训，新课程培训、教育信息化培训。陈茜、何方晴、李志等培训后都给相关老师们做了分享交流。同时，鼓励教师参加线上学习、学术讨论会、观摩优质课等活动。</w:t>
      </w:r>
    </w:p>
    <w:p w14:paraId="1B8B28E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质量指标</w:t>
      </w:r>
    </w:p>
    <w:p w14:paraId="69003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全工作是学校工作的重中之重。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紧抓安全宣传。一是班主任老师的1530常规安全教育落到了实处；二是德育、保卫等部门利用课间操及特定时期，及时为全体学生及家长进行安全教育；三是请法治副校长、派出所干警就校园暴力、校园欺凌、校园性侵、防溺水等为同学们做了专题讲座；四是开展专项安全活动，突出安全教育，如开展“珍爱生命，安全出行”“骑行请带头盔”为主题的交通安全教育，并联合交警在校门口开展了不带安全头盔行为专项整治行动；11月9日消防安全日组织安全撤离演练；学校还形成了多方位关注学生心理健康机制，本学年共完成法制讲座6次，大型团体讲座12次，开展班级心理团辅活动60次，个体咨询访谈50余次，心理危机干预1次，通过心理健康和情绪管理知识讲座、画幸福画像、玩团体游戏等活动培养学生积极阳光的心态。</w:t>
      </w:r>
    </w:p>
    <w:p w14:paraId="010F2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紧盯隐患排查。本学年共对各班进行安全排查40次，学校检查排查20次，及时更换灭火器75个，加固多个灭火器架，更换消防水管，增加消防应急灯、应急疏散标志多个；更换了三百多套有安全隐患的课桌椅；增加或改造幼儿园教室、午托班寝室逃生窗18个；为所有厕所安装了防滑条；通过争取经费，更换了校门口防冲撞桩，重新铺设了沥青路面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严格控制“三公”经费列支，做到“三公”经费支出0万元；全年教育投入经费2517.46万元。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6143E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本学期，学校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以丰富多彩的美术特色教育，推进校园文化建设，培养学生的艺术修养，提升学生审美品位。精心组织“六一”儿童节、美术周、体育节、画展等活动，为学生搭建展现自我、释放光彩的舞台，培养浑身有劲、脸上有笑、眼中有光、心中有梦的站前学子。与理工学院合作，邀请艺术家进校园举办了“青花耀站前”主题讲座，激发学生们创作了一批以“青花”为主题的纸扇、纸伞、书签、轻粘土作品。营造校园浓厚的读书氛围，开展教师读书分享活动，通过线上线下的书香教师示范引领、好书分享、交流探讨带动全校教师多读、乐读，从而辐射各年级、各班级学生养成乐读习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76F46E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本学年，通过“党员示范课”、“送教下乡”、“集团校同课异构”等活动，促进了校际间教学交流，提升了两校教学质量。党总支代表学校向胥家桥小学捐赠了价值为6000元的图书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深化集团办学。</w:t>
      </w:r>
    </w:p>
    <w:p w14:paraId="4C4F6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教师们在金钥匙教学竞赛、名师工作室同台赛课、“梧桐花开”教学竞赛中屡获佳绩，展示了站前小学的教学实力。同时，李志、李慧、陈茜等老师在岳阳市体育学科“强基工程”、岳阳县骨干教师培训、岳阳楼区中小学师训工作被聘为讲师并做讲座；胡艳玲分别给张家界、岳阳县、华容等地区的老师进行心理健康知识培训讲座；胡艳玲、马满满、方靓老师为家长会作培训；谈燎的思政课《奔跑在追光的路上》获市级一等奖。胡艳玲、马满满、方靓、谈燎争相加入楼区名师工作室。艺体考研组还有可能获得市级荣誉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7ABA8D4B">
      <w:pPr>
        <w:pStyle w:val="10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本学年，我校在岳阳楼区信息科技、小学体育与健康教学质量监测中获得优秀；在岳阳楼区学生作业设计评选活动、《学英语报》“小小朗读者”活动中获优秀组织单位；艺体教研组获评优秀教研组；站前代表队在市运会棋类比赛中荣获两个团体冠军，一个第二名，两个第三名；我校教师130余人次在教学竞赛、论文撰写、文章发表、微课评比、指导学生等方面获奖；我校128名学生在科技创新大赛、红领巾宣讲活动、征文比赛、书法比赛、经典诵读、英语配音方面取得佳绩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学生对学校管理满意度98%，家长对学校管理满意度98%。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3E5CA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一是办学条件还有待于进一步改善；二是管理的精细化程度还不高；三是在营造阅读氛围上还存在短板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6881E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将进一步加强学校硬件建设的同时，进一步加强师资队伍建设，努力打造名师，用教研教改锤炼教师，用教师魅力熏陶学生，用学生质量发展学校，为争创一流规范化学校而努力奋斗。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根据部门整体支出绩效评价指标体系，站前小学在2024年度取得了较好的评价结果。学校将绩效自评结果作为本部门、本单位完善政策和改进管理的重要依据。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0C0E1D15">
      <w:pPr>
        <w:pStyle w:val="10"/>
        <w:rPr>
          <w:rFonts w:ascii="Arial"/>
          <w:color w:val="auto"/>
          <w:sz w:val="21"/>
          <w:highlight w:val="none"/>
        </w:rPr>
      </w:pPr>
    </w:p>
    <w:p w14:paraId="6E375B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spacing w:val="6"/>
          <w:highlight w:val="none"/>
        </w:rPr>
      </w:pPr>
      <w:r>
        <w:rPr>
          <w:color w:val="auto"/>
          <w:spacing w:val="6"/>
          <w:highlight w:val="none"/>
        </w:rPr>
        <w:t>附件：1、</w:t>
      </w:r>
      <w:r>
        <w:rPr>
          <w:rFonts w:hint="eastAsia"/>
          <w:color w:val="auto"/>
          <w:spacing w:val="6"/>
          <w:highlight w:val="none"/>
          <w:lang w:eastAsia="zh-CN"/>
        </w:rPr>
        <w:t>单位</w:t>
      </w:r>
      <w:r>
        <w:rPr>
          <w:color w:val="auto"/>
          <w:spacing w:val="6"/>
          <w:highlight w:val="none"/>
        </w:rPr>
        <w:t>整体支出绩效评价基础数据表</w:t>
      </w:r>
    </w:p>
    <w:p w14:paraId="056139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86" w:firstLineChars="300"/>
        <w:jc w:val="left"/>
        <w:textAlignment w:val="auto"/>
        <w:rPr>
          <w:color w:val="auto"/>
          <w:spacing w:val="6"/>
          <w:highlight w:val="none"/>
        </w:rPr>
      </w:pPr>
      <w:r>
        <w:rPr>
          <w:color w:val="auto"/>
          <w:spacing w:val="6"/>
          <w:highlight w:val="none"/>
        </w:rPr>
        <w:t>2、</w:t>
      </w:r>
      <w:r>
        <w:rPr>
          <w:rFonts w:hint="eastAsia"/>
          <w:color w:val="auto"/>
          <w:spacing w:val="6"/>
          <w:highlight w:val="none"/>
          <w:lang w:eastAsia="zh-CN"/>
        </w:rPr>
        <w:t>单位</w:t>
      </w:r>
      <w:r>
        <w:rPr>
          <w:color w:val="auto"/>
          <w:spacing w:val="6"/>
          <w:highlight w:val="none"/>
        </w:rPr>
        <w:t>整体支出绩效自评表</w:t>
      </w:r>
    </w:p>
    <w:p w14:paraId="06202F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86" w:firstLineChars="300"/>
        <w:jc w:val="left"/>
        <w:textAlignment w:val="auto"/>
        <w:rPr>
          <w:rFonts w:hint="eastAsia"/>
          <w:color w:val="auto"/>
          <w:spacing w:val="6"/>
          <w:highlight w:val="none"/>
          <w:lang w:val="en-US" w:eastAsia="zh-CN"/>
        </w:rPr>
      </w:pPr>
      <w:r>
        <w:rPr>
          <w:rFonts w:hint="eastAsia"/>
          <w:color w:val="auto"/>
          <w:spacing w:val="6"/>
          <w:highlight w:val="none"/>
          <w:lang w:val="en-US" w:eastAsia="zh-CN"/>
        </w:rPr>
        <w:t>3、</w:t>
      </w:r>
      <w:r>
        <w:rPr>
          <w:rFonts w:hint="eastAsia"/>
          <w:color w:val="auto"/>
          <w:spacing w:val="6"/>
          <w:highlight w:val="none"/>
          <w:lang w:eastAsia="zh-CN"/>
        </w:rPr>
        <w:t>项目支出绩效自评表</w:t>
      </w:r>
    </w:p>
    <w:p w14:paraId="2A561FF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hint="eastAsia" w:eastAsia="仿宋"/>
          <w:color w:val="auto"/>
          <w:spacing w:val="8"/>
          <w:highlight w:val="none"/>
          <w:lang w:val="en-US" w:eastAsia="zh-CN"/>
        </w:rPr>
      </w:pPr>
    </w:p>
    <w:p w14:paraId="33061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9A7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3A88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DDDA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268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06EF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4556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1BB5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3AF9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735C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11AC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8D31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整体支出绩效评价基础数据表</w:t>
      </w:r>
    </w:p>
    <w:p w14:paraId="0997FD5D">
      <w:pPr>
        <w:spacing w:line="115" w:lineRule="exact"/>
        <w:rPr>
          <w:color w:val="auto"/>
          <w:highlight w:val="none"/>
        </w:rPr>
      </w:pPr>
    </w:p>
    <w:tbl>
      <w:tblPr>
        <w:tblStyle w:val="11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站前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2"/>
                <w:szCs w:val="22"/>
                <w:highlight w:val="none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2"/>
                <w:szCs w:val="22"/>
                <w:highlight w:val="none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0FC8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03799C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213.63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4A5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6AC5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213.63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5D824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3E30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公用经费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8E10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213.92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2DFD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151.3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A70F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143.08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其中：办公经费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97F6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20.24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2858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49.58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E99EF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19.56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水费、电费、差旅费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5210C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15.74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2FB47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14.3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F6FA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17.37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会议费、培训费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45C29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10.17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A631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8.5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E082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8.94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政府采购金额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096C0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D260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86.04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2C4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72.35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2"/>
                <w:szCs w:val="22"/>
                <w:highlight w:val="none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(202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黎志鹏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15200829199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37F932AB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11732130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年度预算单位整体支出绩效自评表</w:t>
      </w:r>
    </w:p>
    <w:p w14:paraId="42B8247D">
      <w:pPr>
        <w:spacing w:line="132" w:lineRule="exact"/>
        <w:rPr>
          <w:color w:val="auto"/>
          <w:highlight w:val="none"/>
        </w:rPr>
      </w:pPr>
    </w:p>
    <w:tbl>
      <w:tblPr>
        <w:tblStyle w:val="11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503"/>
        <w:gridCol w:w="1280"/>
        <w:gridCol w:w="1297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岳阳市岳阳楼区站前小学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2"/>
              <w:spacing w:line="467" w:lineRule="auto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2"/>
              <w:spacing w:line="235" w:lineRule="exac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年初预算数</w:t>
            </w:r>
          </w:p>
        </w:tc>
        <w:tc>
          <w:tcPr>
            <w:tcW w:w="1280" w:type="dxa"/>
            <w:noWrap w:val="0"/>
            <w:vAlign w:val="top"/>
          </w:tcPr>
          <w:p w14:paraId="224AB50B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全年预算数</w:t>
            </w:r>
          </w:p>
        </w:tc>
        <w:tc>
          <w:tcPr>
            <w:tcW w:w="1297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年度资金总额</w:t>
            </w:r>
          </w:p>
        </w:tc>
        <w:tc>
          <w:tcPr>
            <w:tcW w:w="1503" w:type="dxa"/>
            <w:noWrap w:val="0"/>
            <w:vAlign w:val="top"/>
          </w:tcPr>
          <w:p w14:paraId="4EBABD1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1801.42</w:t>
            </w:r>
          </w:p>
        </w:tc>
        <w:tc>
          <w:tcPr>
            <w:tcW w:w="1280" w:type="dxa"/>
            <w:noWrap w:val="0"/>
            <w:vAlign w:val="top"/>
          </w:tcPr>
          <w:p w14:paraId="1894813E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2521.46</w:t>
            </w:r>
          </w:p>
        </w:tc>
        <w:tc>
          <w:tcPr>
            <w:tcW w:w="1297" w:type="dxa"/>
            <w:noWrap w:val="0"/>
            <w:vAlign w:val="top"/>
          </w:tcPr>
          <w:p w14:paraId="19B4ED86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2517.46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2"/>
              <w:spacing w:before="54" w:line="194" w:lineRule="auto"/>
              <w:ind w:left="270" w:leftChars="0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99.84%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9.98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color w:val="auto"/>
                <w:spacing w:val="8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</w:p>
        </w:tc>
        <w:tc>
          <w:tcPr>
            <w:tcW w:w="4069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24DD533E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1990.63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1245705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2303.83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6A066E16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19FA3FE7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213.63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103DEC4D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36CFBBEE">
            <w:pPr>
              <w:pStyle w:val="12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5A62EA7F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526.83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C4263E1">
            <w:pPr>
              <w:pStyle w:val="12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2"/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871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预期目标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4BA7D6D3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1、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抓好教学教育工作，开展各项教研活动，狠抓教师队伍建设，不断提高教育质量。</w:t>
            </w:r>
          </w:p>
          <w:p w14:paraId="6429A2A9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2、加强学校安全工作，规范食堂管理，全方位保障校园安全。</w:t>
            </w:r>
          </w:p>
          <w:p w14:paraId="2E595872">
            <w:pPr>
              <w:pStyle w:val="12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3、从严治党，夯实基层党建工作。</w:t>
            </w:r>
          </w:p>
          <w:p w14:paraId="67CC86C6">
            <w:pPr>
              <w:pStyle w:val="12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4、完成上级部门交给的其他工作，按时完成上级部门交给的创文创卫工作和其他工作。</w:t>
            </w:r>
          </w:p>
          <w:p w14:paraId="2AD6AD55">
            <w:pPr>
              <w:jc w:val="lef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69" w:type="dxa"/>
            <w:gridSpan w:val="4"/>
            <w:noWrap w:val="0"/>
            <w:vAlign w:val="center"/>
          </w:tcPr>
          <w:p w14:paraId="05352880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zh-CN" w:eastAsia="zh-CN"/>
              </w:rPr>
              <w:t>1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zh-CN" w:eastAsia="zh-CN"/>
              </w:rPr>
              <w:t>、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坚持五育并举，突出德育首位，共筑全面发展。抓好学生的养成教育，开展丰富多彩的德育活动。注重教师培训。本学年先后选派多名教师参加国家级、省级培训，新课程培训、教育信息化培训。通过“党员示范课”、“送教下乡”、“集团校同课异构”等活动，促进了校际间教学交流，提升了两校教学质量，深化集团办学。</w:t>
            </w:r>
          </w:p>
          <w:p w14:paraId="4649EC70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2、健全工作机制，明确职责分工。出台了《关于建立部门联动，共同防范公共安全风险的意见》，部门联动，有力保障了校门口的安全。班主任老师的1530常规安全教育落到了实处，通过安全教育专题讲座，心理健康和情绪管理知识讲座、幸福画像、玩团体游戏等活动培养学生积极阳光的心态。校班子成员不定期对食堂工作进行督查，及时处置偶发情况。</w:t>
            </w:r>
          </w:p>
          <w:p w14:paraId="1D50869B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3、本学期重点结合党纪学习及清廉校园建设不断强化廉洁自律要求。组织师德师风教育培训，在民主治校、三重一大、日常管理等方面，我们都力求营造一个“风清气正、和谐友爱、积极向上”的学校氛围。</w:t>
            </w:r>
          </w:p>
          <w:p w14:paraId="3728C6BA">
            <w:pPr>
              <w:pStyle w:val="12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4、本学年，我校在岳阳楼区信息科技、小学体育与健康教学质量监测中获得优秀；在岳阳楼区学生作业设计评选活动、《学英语报》“小小朗读者”活动中获优秀组织单位；艺体教研组获评优秀教研组；站前代表队在市运会棋类比赛中荣获两个团体冠军，一个第二名，两个第三名的好成绩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2"/>
              <w:spacing w:line="36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8"/>
                <w:szCs w:val="18"/>
                <w:highlight w:val="none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1503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1280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年度指标值</w:t>
            </w:r>
          </w:p>
        </w:tc>
        <w:tc>
          <w:tcPr>
            <w:tcW w:w="1297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8"/>
                <w:szCs w:val="18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2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2B18029A">
            <w:pPr>
              <w:pStyle w:val="12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13842F4">
            <w:pPr>
              <w:pStyle w:val="12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6AD5ED7A">
            <w:pPr>
              <w:pStyle w:val="12"/>
              <w:spacing w:line="27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8"/>
                <w:szCs w:val="18"/>
                <w:highlight w:val="none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center"/>
          </w:tcPr>
          <w:p w14:paraId="72596CD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1503" w:type="dxa"/>
            <w:tcBorders>
              <w:bottom w:val="single" w:color="000000" w:sz="2" w:space="0"/>
            </w:tcBorders>
            <w:noWrap w:val="0"/>
            <w:vAlign w:val="center"/>
          </w:tcPr>
          <w:p w14:paraId="4F09808E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小学</w:t>
            </w: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义务教育在校生</w:t>
            </w:r>
          </w:p>
        </w:tc>
        <w:tc>
          <w:tcPr>
            <w:tcW w:w="1280" w:type="dxa"/>
            <w:noWrap w:val="0"/>
            <w:vAlign w:val="center"/>
          </w:tcPr>
          <w:p w14:paraId="3273D77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2040人</w:t>
            </w:r>
          </w:p>
        </w:tc>
        <w:tc>
          <w:tcPr>
            <w:tcW w:w="1297" w:type="dxa"/>
            <w:noWrap w:val="0"/>
            <w:vAlign w:val="center"/>
          </w:tcPr>
          <w:p w14:paraId="5BB18058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2060人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4CBD655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68B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1B959F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3BD444">
            <w:pPr>
              <w:pStyle w:val="12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1CEBF1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引起优质教师</w:t>
            </w:r>
          </w:p>
        </w:tc>
        <w:tc>
          <w:tcPr>
            <w:tcW w:w="1280" w:type="dxa"/>
            <w:noWrap w:val="0"/>
            <w:vAlign w:val="center"/>
          </w:tcPr>
          <w:p w14:paraId="69748D7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4人</w:t>
            </w:r>
          </w:p>
        </w:tc>
        <w:tc>
          <w:tcPr>
            <w:tcW w:w="1297" w:type="dxa"/>
            <w:noWrap w:val="0"/>
            <w:vAlign w:val="center"/>
          </w:tcPr>
          <w:p w14:paraId="1A210B27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4人</w:t>
            </w:r>
          </w:p>
        </w:tc>
        <w:tc>
          <w:tcPr>
            <w:tcW w:w="576" w:type="dxa"/>
            <w:noWrap w:val="0"/>
            <w:vAlign w:val="center"/>
          </w:tcPr>
          <w:p w14:paraId="380EBC3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6546825C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1C39A14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967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17E520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262726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D07F5">
            <w:pPr>
              <w:pStyle w:val="12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49310A2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280" w:type="dxa"/>
            <w:noWrap w:val="0"/>
            <w:vAlign w:val="center"/>
          </w:tcPr>
          <w:p w14:paraId="01E6511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95人次</w:t>
            </w:r>
          </w:p>
        </w:tc>
        <w:tc>
          <w:tcPr>
            <w:tcW w:w="1297" w:type="dxa"/>
            <w:noWrap w:val="0"/>
            <w:vAlign w:val="center"/>
          </w:tcPr>
          <w:p w14:paraId="50CD3FCC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216人次</w:t>
            </w:r>
          </w:p>
        </w:tc>
        <w:tc>
          <w:tcPr>
            <w:tcW w:w="576" w:type="dxa"/>
            <w:noWrap w:val="0"/>
            <w:vAlign w:val="center"/>
          </w:tcPr>
          <w:p w14:paraId="566A71A0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41CA23B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5762754D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1C3FAD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3A061107">
            <w:pPr>
              <w:pStyle w:val="12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1A158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280" w:type="dxa"/>
            <w:noWrap w:val="0"/>
            <w:vAlign w:val="center"/>
          </w:tcPr>
          <w:p w14:paraId="2ECF979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≧10次</w:t>
            </w:r>
          </w:p>
        </w:tc>
        <w:tc>
          <w:tcPr>
            <w:tcW w:w="1297" w:type="dxa"/>
            <w:noWrap w:val="0"/>
            <w:vAlign w:val="center"/>
          </w:tcPr>
          <w:p w14:paraId="044A3CC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15次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26027A6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AC86A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  <w:t>质量指标</w:t>
            </w: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DF4ADC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80" w:type="dxa"/>
            <w:tcBorders>
              <w:bottom w:val="single" w:color="000000" w:sz="2" w:space="0"/>
            </w:tcBorders>
            <w:noWrap w:val="0"/>
            <w:vAlign w:val="center"/>
          </w:tcPr>
          <w:p w14:paraId="0F0E65F8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1D662E2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618F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5B1CC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3BAA2F">
            <w:pPr>
              <w:pStyle w:val="12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553A8A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0B890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762836D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4876BB90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3C7FB5D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072704F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7F2DDC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67BD02">
            <w:pPr>
              <w:pStyle w:val="12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F1A3D0C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4C83772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09DC9B4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3C1107E0">
            <w:pPr>
              <w:pStyle w:val="12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2CB0A7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97" w:type="dxa"/>
            <w:noWrap w:val="0"/>
            <w:vAlign w:val="center"/>
          </w:tcPr>
          <w:p w14:paraId="17882C3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2521.46万元</w:t>
            </w:r>
          </w:p>
        </w:tc>
        <w:tc>
          <w:tcPr>
            <w:tcW w:w="1297" w:type="dxa"/>
            <w:noWrap w:val="0"/>
            <w:vAlign w:val="center"/>
          </w:tcPr>
          <w:p w14:paraId="66EBED16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2517.46万元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157FEF">
            <w:pPr>
              <w:pStyle w:val="12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CE565B3">
            <w:pPr>
              <w:pStyle w:val="12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A54530B">
            <w:pPr>
              <w:pStyle w:val="12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EF866B9">
            <w:pPr>
              <w:pStyle w:val="12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8"/>
                <w:szCs w:val="18"/>
                <w:highlight w:val="none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E3725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C722E66">
            <w:pPr>
              <w:spacing w:line="225" w:lineRule="auto"/>
              <w:ind w:left="232" w:lef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D012B2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80" w:type="dxa"/>
            <w:tcBorders>
              <w:left w:val="single" w:color="000000" w:sz="2" w:space="0"/>
            </w:tcBorders>
            <w:noWrap w:val="0"/>
            <w:vAlign w:val="center"/>
          </w:tcPr>
          <w:p w14:paraId="59073583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97" w:type="dxa"/>
            <w:noWrap w:val="0"/>
            <w:vAlign w:val="center"/>
          </w:tcPr>
          <w:p w14:paraId="4ABFE83D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576" w:type="dxa"/>
            <w:noWrap w:val="0"/>
            <w:vAlign w:val="center"/>
          </w:tcPr>
          <w:p w14:paraId="412CBF6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581307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3ADDA7E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4707CFE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42E1F182">
            <w:pPr>
              <w:pStyle w:val="12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促进学生全面发展，提高教育教学质量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1AE0783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97" w:type="dxa"/>
            <w:noWrap w:val="0"/>
            <w:vAlign w:val="center"/>
          </w:tcPr>
          <w:p w14:paraId="00079AD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center"/>
          </w:tcPr>
          <w:p w14:paraId="6D2F745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209C4576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BF365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9A6CC3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83A2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44F3A1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97" w:type="dxa"/>
            <w:noWrap w:val="0"/>
            <w:vAlign w:val="center"/>
          </w:tcPr>
          <w:p w14:paraId="0EB4E24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center"/>
          </w:tcPr>
          <w:p w14:paraId="328C804E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220AD7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left="227" w:leftChars="0" w:right="116" w:rightChars="0" w:hanging="98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AE02">
            <w:pPr>
              <w:pStyle w:val="12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97" w:type="dxa"/>
            <w:noWrap w:val="0"/>
            <w:vAlign w:val="center"/>
          </w:tcPr>
          <w:p w14:paraId="3DD9F3E5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highlight w:val="none"/>
              </w:rPr>
              <w:t>标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3E06374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学生满意度</w:t>
            </w:r>
          </w:p>
        </w:tc>
        <w:tc>
          <w:tcPr>
            <w:tcW w:w="1280" w:type="dxa"/>
            <w:noWrap w:val="0"/>
            <w:vAlign w:val="center"/>
          </w:tcPr>
          <w:p w14:paraId="14C2A648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730A41A3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35744124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97FA7D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5D7AC8A5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80" w:type="dxa"/>
            <w:noWrap w:val="0"/>
            <w:vAlign w:val="center"/>
          </w:tcPr>
          <w:p w14:paraId="22B70D27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258E6F5D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586947B7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CFC4B1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99.98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</w:p>
    <w:p w14:paraId="1DD0F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黎志鹏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15200829199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648E6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1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455F4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黎志鹏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15200829199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C86AF13-7912-4960-8265-8BFFF3F3B7B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F959C46-E40C-4C32-B4AC-9C6ED0D442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FE88153-DCFB-47A5-90BF-9BE79A096B0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AA82FB6-FFB9-4151-9EE4-36E7C5E746A7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0DA1395-8BD5-4814-89B8-BA05E575DC7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02A09594-4346-4EDC-ACB3-412F7E5BB76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99B0DEDC-171C-402D-B466-059087CCE188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11D5B94C"/>
    <w:multiLevelType w:val="singleLevel"/>
    <w:tmpl w:val="11D5B94C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B2C7F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13AC9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BB210C"/>
    <w:rsid w:val="06C90184"/>
    <w:rsid w:val="06C9437B"/>
    <w:rsid w:val="06E54070"/>
    <w:rsid w:val="06EB12EA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841EA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A50BB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2D7AC5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1F76DE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710CBF"/>
    <w:rsid w:val="14774392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153A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E339CC"/>
    <w:rsid w:val="17F33C57"/>
    <w:rsid w:val="18021A7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A87477"/>
    <w:rsid w:val="1FD17F79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9C77F7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3F7310"/>
    <w:rsid w:val="294D5371"/>
    <w:rsid w:val="295867A0"/>
    <w:rsid w:val="295A0917"/>
    <w:rsid w:val="295A5964"/>
    <w:rsid w:val="296248B4"/>
    <w:rsid w:val="29626133"/>
    <w:rsid w:val="29647C56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7D59D5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33283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272E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5351F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D44917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54B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2378C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AD5BAB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726C4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55DF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9D0869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054F8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606A0B"/>
    <w:rsid w:val="486D78BB"/>
    <w:rsid w:val="486E4136"/>
    <w:rsid w:val="488241D3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24C63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26A98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001F4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7D7C2E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21B93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B04F50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1E5A0F"/>
    <w:rsid w:val="57213E7D"/>
    <w:rsid w:val="5723561B"/>
    <w:rsid w:val="572362C9"/>
    <w:rsid w:val="57260908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A65D6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515C9"/>
    <w:rsid w:val="60D96580"/>
    <w:rsid w:val="60DD4245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91CD7"/>
    <w:rsid w:val="618A6F1A"/>
    <w:rsid w:val="61925F04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30DDA"/>
    <w:rsid w:val="650B22E3"/>
    <w:rsid w:val="650E3520"/>
    <w:rsid w:val="651D0967"/>
    <w:rsid w:val="654069DE"/>
    <w:rsid w:val="65413B3E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B779D"/>
    <w:rsid w:val="67594618"/>
    <w:rsid w:val="675B3954"/>
    <w:rsid w:val="675C3383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6E6382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0851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CA2AC1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DE05374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800BDC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7CC3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C25E0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6E36DA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9531A8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477EF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2B3E1B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06159E"/>
    <w:rsid w:val="7F1568D7"/>
    <w:rsid w:val="7F274003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1615</Words>
  <Characters>1759</Characters>
  <Lines>0</Lines>
  <Paragraphs>0</Paragraphs>
  <TotalTime>41</TotalTime>
  <ScaleCrop>false</ScaleCrop>
  <LinksUpToDate>false</LinksUpToDate>
  <CharactersWithSpaces>1766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2026-07-29T11:21:16Z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B4D78A1015C341AF914471B3809258D9_13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