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4"/>
          <w:sz w:val="31"/>
          <w:szCs w:val="31"/>
          <w:highlight w:val="none"/>
          <w:lang w:val="en-US" w:eastAsia="zh-CN"/>
        </w:rPr>
        <w:t xml:space="preserve"> </w:t>
      </w:r>
    </w:p>
    <w:p w14:paraId="4EEE7141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119F321D">
      <w:pPr>
        <w:pStyle w:val="10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年度岳阳市外国语学校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部门(单位)名称：岳阳市外国语学校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2025年06月30日</w:t>
      </w:r>
    </w:p>
    <w:p w14:paraId="5C39BC5F">
      <w:pPr>
        <w:pStyle w:val="10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582F8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4D8B9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6D955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0E58E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岳阳市外国语学校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420F51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（一）机构设置</w:t>
      </w:r>
    </w:p>
    <w:p w14:paraId="67D9D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性质为事业单位，按照规定执行《事业单位会计制度》。经机构编制管理部门核定，事业正式编制人员260人，实有在职人数172人，退休人数88人。我单位机构数为一个，包括4个职能处室，分别为：办公室，总务处，教务处，政教处。</w:t>
      </w:r>
    </w:p>
    <w:p w14:paraId="7EDE2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（二）职能职责</w:t>
      </w:r>
    </w:p>
    <w:p w14:paraId="280EA0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1、贯彻执行国家教育方针政策，深化教育改革，加强教育教学工作，稳步提高教学质量，发展素质教育，促进教育事业的发展。</w:t>
      </w:r>
    </w:p>
    <w:p w14:paraId="4D29F1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2、加强师德师风建设，树立以人为本，依法治教，以德执教的理念，强化师德素养，提高教师教书育人的能力。</w:t>
      </w:r>
    </w:p>
    <w:p w14:paraId="17463D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3、加强学校预算资金的管理和使用，做好后勤保障管理工作，为师生提供良好的教学工作环境。</w:t>
      </w:r>
    </w:p>
    <w:p w14:paraId="6A3D45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4、保证合理的校园基础建设和教学设备投入，为学校教学教研提供良好的工作条件。</w:t>
      </w:r>
    </w:p>
    <w:p w14:paraId="0C731C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（三）部门预算单位构成</w:t>
      </w:r>
    </w:p>
    <w:p w14:paraId="1C7B98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我单位只有本级,没有其他预算单位,因此本部门预算仅含本级预算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。</w:t>
      </w:r>
    </w:p>
    <w:p w14:paraId="488C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3FBA9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pacing w:val="9"/>
          <w:position w:val="21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9"/>
          <w:position w:val="21"/>
          <w:sz w:val="30"/>
          <w:szCs w:val="30"/>
          <w:highlight w:val="none"/>
        </w:rPr>
        <w:t>（一）基本支出情况</w:t>
      </w:r>
    </w:p>
    <w:p w14:paraId="440AC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318" w:firstLineChars="100"/>
        <w:textAlignment w:val="auto"/>
        <w:rPr>
          <w:rFonts w:hint="eastAsia" w:ascii="仿宋" w:hAnsi="仿宋" w:eastAsia="仿宋" w:cs="仿宋"/>
          <w:color w:val="auto"/>
          <w:spacing w:val="9"/>
          <w:position w:val="21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9"/>
          <w:position w:val="21"/>
          <w:sz w:val="30"/>
          <w:szCs w:val="30"/>
          <w:highlight w:val="none"/>
        </w:rPr>
        <w:t>2024年年初预算批复的基本支出数为3,043.66万元，其中工资福利支出2,655.56万元，商品和服务支出173.98万元，对个人和家庭的补助支出214.12万元。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pacing w:val="9"/>
          <w:position w:val="21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9"/>
          <w:position w:val="21"/>
          <w:sz w:val="30"/>
          <w:szCs w:val="30"/>
          <w:highlight w:val="none"/>
        </w:rPr>
        <w:t>2024年度决算基本支出数为3701.52万元，其中教育支出2,833.92万元，社会保障和就业支出528.37万元，卫生健康支出125.46万元，住房保障支出213.77万元。</w:t>
      </w:r>
    </w:p>
    <w:p w14:paraId="17C67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  <w:t>其中：一般公共预算财政拨款基本支出人员经费3326.16万元。</w:t>
      </w:r>
    </w:p>
    <w:p w14:paraId="37DEC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  <w:t>（1）工资福利支出3,033.51万元：包括基本工资1,032.42万元；津补贴122.59万元，奖金599.04万元，伙食补助费62.04万元，绩效工资540.52万元。机关事业单位基本养老保险缴费292.71万元；职工基本医疗保险缴费122.17万元；  其他社会保障缴费27.43万元；住房公积金222.10万元；其他工资福利支出12.49万元。</w:t>
      </w:r>
    </w:p>
    <w:p w14:paraId="4A10B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  <w:t>（2） 对个人和家庭的补助支出292.65万元：包括退休费279.34万元，抚恤金8.01万元，奖励金5.30万元。</w:t>
      </w:r>
    </w:p>
    <w:p w14:paraId="1C7D2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  <w:t>一般公共预算财政拨款基本支出公用经费375.36万元。</w:t>
      </w:r>
    </w:p>
    <w:p w14:paraId="260E3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  <w:t>（1）商品和服务支出360.83万元：包括办公费7.94万元，印刷费29.06万元，水费16.38万元，电费35.93万元，邮电费2.04万元，物业管理费31.00万元，差旅费3.37万元，维修（护）费53.09万元，培训费8.49万元，专用材料费14.11万元，劳务费15.46万元，委托业务费21.65万元，工会经费56.83万元，福利费46.64万元，其他交通费2.97万元，其他商品和服务支出15.87万元。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/>
        </w:rPr>
        <w:t>（2）资本性支出14.53万元：包括办公设备购置7.76万元，专用设备购置2.14万元，文物和陈列品购置3.54万元，其他资本性支出1.09万元。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205.21万元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0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本单位2024年年度政府性基金预算支出0.00万元。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0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本单位2024年年度国有资本经营预算支出0.00万元。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0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本单位2024年年度社会保险基金预算支出0.00万元。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4CCAE655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2024年，我校在市、区领导的关心支持下，全体师生齐心协力，学校各项工作顺利推进，较好地完成了年度工作目标。通过加强预算收支管理，不断建立健全内部管理制度，梳理内部管理流程，部门整体支出管理水平得到大幅度提升。根据部门整体支出绩效评价指标体系，我单位2024年度评价得分为99.98分。部门整体支出绩效情况如下方面：</w:t>
      </w:r>
    </w:p>
    <w:p w14:paraId="21FB4C84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1.以党建护航学校发展。我校加强党建工作与教育教学工作的深度融合，把党建工作贯穿于教育教学工作的全过程，以党建促教学，以教学强党建。</w:t>
      </w:r>
    </w:p>
    <w:p w14:paraId="5363C9A9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校党总支始终把思想政治建设摆在首位，深入学习贯彻习近平新时代中国特色社会主义思想和党的二十大、二十届三中全会精神，开展主题党日、专题党课、集中学习等，不断提高党员教师的政治觉悟和理论水平。同时，以专业的思政教师团队，创新思政课堂模式。同时，研究并发挥各个学科的德育功能，挖掘育人素材。</w:t>
      </w:r>
    </w:p>
    <w:p w14:paraId="5F963392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认真落实党风廉政建设责任制，多渠道开展党风廉政及师德师风的教育和宣传。制订并签订《落实规范办学行为二十条规定承诺书》，填写《教师从教行为自查表》，在令行禁止，建章立制的基础上，评选师德标兵，树立模范典型。</w:t>
      </w:r>
    </w:p>
    <w:p w14:paraId="5A58512D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发挥党员先锋模范作用，校长、书记亲自上党课，设立党员示范岗，开展党员陪餐、党员送教、党员护校、党员教师结对帮扶等活动，让党徽照耀校园。在教学竞赛、业务考试等工作中，党员教师踊跃参与，并取得了优异成绩。</w:t>
      </w:r>
    </w:p>
    <w:p w14:paraId="28A31936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2.以德育稳固学校发展。加强德育工作的研究和实践，制定个性化的德育工作计划。</w:t>
      </w:r>
    </w:p>
    <w:p w14:paraId="35A33DAA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加强班主任队伍建设，召开班主任例会、举办班主任培训、经验交流等活动，提高班主任的管理水平和业务能力。涌现了岳阳市“十佳教师”甘敏，岳阳楼区优秀青年卜小，岳阳楼区“十佳”班主任方奇灵，岳阳楼区优秀班主任毛卫东等名优教师。</w:t>
      </w:r>
    </w:p>
    <w:p w14:paraId="6D66F8A9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强化学生思想道德教育。通过主题班会、国旗下讲话、校园广播等形式，广泛开展爱国主义、集体主义、社会主义教育和文明礼仪、行为规范教育。加强学生心理健康教育，开设心理健康讲座，建立心理咨询室，为学生提供心理咨询和辅导服务。</w:t>
      </w:r>
    </w:p>
    <w:p w14:paraId="45F2F642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组织开展形式多样的主题教育活动，如 “学雷锋” 活动、感恩教育等。组织学生参加志愿者服务、社区公益活动等，培养学生的社会责任感和实践能力。</w:t>
      </w:r>
    </w:p>
    <w:p w14:paraId="2E072A5A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落实平安校园创建要求，实施封闭式管理，严禁提前放学，发现一起通报一起。配齐配足保安人员，严查出入学校人员信息，扩容监控系统。组织老师成立护校队，加强校园巡逻管控，年内，我校未发生了一起重大安全事故。</w:t>
      </w:r>
    </w:p>
    <w:p w14:paraId="3D3DE5C1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3.以教学扎实学校发展。加大教学改革力度，加强教师培训和教学研究，提高课堂教学效率。</w:t>
      </w:r>
    </w:p>
    <w:p w14:paraId="1DDECC60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建立健全常规检查和教研等制度。备课组集体研讨做到定主题、定中心发言人、定时间、定地点；研政策、研资料、研学情；有记录、有反思、有效果。强化学情评价，借助现代信息技术，坚持作业考试化，重点学科周测化。实施教学督导，开展毕业年级建模示范课和建模督导课，并及时反馈督导情况。</w:t>
      </w:r>
    </w:p>
    <w:p w14:paraId="7408CF09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积极探索适合本校实际的课堂教学模式，开展“先兵器”课改。通过先学后教、兵教兵、数字赋能，使教学设计体现“自主学习”，课堂活动突显“学生主体”，质量评价注重“数据分析”，激发学生的学习兴趣和主动性。举办了“先兵器”示范课和青年教师竞赛课等活动。加强信息技术与学科教学的整合，新建人机对话室，引进AI课堂。加大数字化考试系统的培训和使用，开展了四次“数字赋能 精准施策”系列培训。</w:t>
      </w:r>
    </w:p>
    <w:p w14:paraId="079F3085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高度重视毕业班工作，成立毕业班工作领导小组，制定科学合理的复习计划。在高三年级采用“新教育”数字化平台。关注毕业班学生的思想动态和学习情况，做好心理疏导和学习辅导工作。今年高考再创佳绩，本科达线率80.71%，特控上线率37.23%，8名同学取得600分以上的好成绩，特别是首届六年一贯制课改班本科上线率达到92%，特控上线率达70%。高三九个备课组被评为岳阳楼区教学质量先进学科组。</w:t>
      </w:r>
    </w:p>
    <w:p w14:paraId="7D513682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4.以特色创新学校发展。加强外语特色课程的开发和建设，提高社团活动的质量和水平。</w:t>
      </w:r>
    </w:p>
    <w:p w14:paraId="1F48F13F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推进外语特色建设。做强英语学科，举办外语文化节、外语单词默写比赛、外语课后续写比赛等活动。做优小语种，开设有德语、日语、韩语等三门课程，实行等级考试。德语A1等级考试，通过率达100%，我校入选湖湘中学日语教研共同体联盟单位。何宛臻同学成功被北京外国语大学录取。</w:t>
      </w:r>
    </w:p>
    <w:p w14:paraId="259AA4EE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举办体育节、外语节、艺术节、感恩节、读书节、成人节等六大校园文化节，有效组织丰富多彩的系列活动。成立模联社、足球社、美术社、合唱社、武术社、舞龙社、文学社等，定期举办社团开放日。我校学生冯俊玮被评为湖南省龙狮公开赛优秀运动员；校舞狮队参加湖南省第二届舞龙舞狮锦标赛获得三个金奖，两个银奖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39E96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20" w:firstLineChars="20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预算编制工作有待细化。预算编制不够明确和细化，预算编制的合理性需要提高，预算执行力度还要进一步加强。</w:t>
      </w:r>
    </w:p>
    <w:p w14:paraId="3E5CA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42420F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20" w:firstLineChars="20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针对上述存在的问题及对外整体支出管理工作的需要，拟实施的改进措施如下：</w:t>
      </w:r>
    </w:p>
    <w:p w14:paraId="548F91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仿宋" w:hAnsi="仿宋" w:eastAsia="仿宋" w:cs="仿宋"/>
          <w:b/>
          <w:bCs/>
          <w:spacing w:val="5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</w:rPr>
        <w:t> </w:t>
      </w:r>
      <w:r>
        <w:rPr>
          <w:rFonts w:hint="eastAsia" w:ascii="仿宋" w:hAnsi="仿宋" w:eastAsia="仿宋" w:cs="仿宋"/>
          <w:b/>
          <w:bCs/>
          <w:spacing w:val="5"/>
          <w:sz w:val="30"/>
          <w:szCs w:val="30"/>
        </w:rPr>
        <w:t>（一） 严格预决算管理</w:t>
      </w:r>
    </w:p>
    <w:p w14:paraId="074026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20" w:firstLineChars="20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1、 加强预算管理。加强预算编制的前瞻性，按照《预算法》及其实施条例的相关规定，按政策规定及本部门的发展规划，结合上一年度预算执行情况和本年度预算收支变化因素，科学、合理地编制本年预算草案，避免预算支出与实际执行出现较大偏差的情况。支出预算要按照“量入为出”和“保工资，保运转，保稳定，促发展”的原则合理安排。进一步提高预算编制的科学性、严谨性和可控性。加强内部预算编制的审核和预算控制指标的下达。</w:t>
      </w:r>
    </w:p>
    <w:p w14:paraId="35EF62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20" w:firstLineChars="20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2、 加强决算管理。切实履行单位决算的工作组织，编制审核，汇总报送，分析利用以及考核评价等方面的管理职责，做到决算数据真实准确，内容完整。</w:t>
      </w:r>
    </w:p>
    <w:p w14:paraId="6363E0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 </w:t>
      </w:r>
    </w:p>
    <w:p w14:paraId="17B75E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仿宋" w:hAnsi="仿宋" w:eastAsia="仿宋" w:cs="仿宋"/>
          <w:b/>
          <w:bCs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bCs/>
          <w:spacing w:val="5"/>
          <w:sz w:val="30"/>
          <w:szCs w:val="30"/>
        </w:rPr>
        <w:t>（二）加强收支管理</w:t>
      </w:r>
    </w:p>
    <w:p w14:paraId="3C0FC9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20" w:firstLineChars="20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1、 加强收入管理，将本单位收入全部纳入财政预算一体化系统，实行国库集中支付电子化管理。</w:t>
      </w:r>
    </w:p>
    <w:p w14:paraId="17021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20" w:firstLineChars="20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2 、加强支出管理，严格按照预算规定的费用项目和用途进行资金使用审核、列报支付、财务核算，杜绝超支现象的发生。基本支出和项目支出不得混用，公用经费和人员经费不得混用。</w:t>
      </w:r>
    </w:p>
    <w:p w14:paraId="6F0617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0" w:firstLineChars="10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（1）工资福利管理，严格执行相关工资及津补贴政策，不得自立项目，超范围超标准发放津补贴奖金和其他福利。</w:t>
      </w:r>
    </w:p>
    <w:p w14:paraId="58DA65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0" w:firstLineChars="10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（2）差旅费管理，切实加强差旅费预算管理，从严控制出差天数和人数，严禁无实质内容无明确公务目的的差旅活动。对公务出差人员按政策标准据实报销交通费住宿费和伙食补助。</w:t>
      </w:r>
    </w:p>
    <w:p w14:paraId="3D6326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0" w:firstLineChars="10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（3）政府采购管理，本单位在编制单位预算的同时，按《预算法》有关规定编制政府采购预算。严格按照《中华人民共和国政府采购法》和《政府集中采购目录》的有关规定，凡采购物品和服务项目金额达到政府采购标准的，都必须实施政府采购。不得将采购项目化整为零，规避政府采购。</w:t>
      </w:r>
    </w:p>
    <w:p w14:paraId="14A0B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</w:p>
    <w:p w14:paraId="05C2DB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仿宋" w:hAnsi="仿宋" w:eastAsia="仿宋" w:cs="仿宋"/>
          <w:b/>
          <w:bCs/>
          <w:spacing w:val="5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5"/>
          <w:sz w:val="30"/>
          <w:szCs w:val="30"/>
        </w:rPr>
        <w:t>（三） 建立健全内部控制制度</w:t>
      </w:r>
    </w:p>
    <w:p w14:paraId="7F7CEF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1、 岗位管理，严格按照《会计法》和相关政策要求设置财务岗位，明确岗位职责权限，严格执行不相容职务相分离制度。</w:t>
      </w:r>
    </w:p>
    <w:p w14:paraId="110718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2、 内部控制，加强内部审计，实行日常监督和专项监督相结合的财务监督制度，规范单位各项经济活动，依法公开财务信息。</w:t>
      </w:r>
    </w:p>
    <w:p w14:paraId="2E96A2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3、 业务培训，加强财务人员业务培训，继续教育，不断提高财务人员政治素质，业务能力和职业道德水平。</w:t>
      </w:r>
    </w:p>
    <w:p w14:paraId="319ECE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仿宋" w:hAnsi="仿宋" w:eastAsia="仿宋" w:cs="仿宋"/>
          <w:spacing w:val="5"/>
          <w:sz w:val="30"/>
          <w:szCs w:val="30"/>
        </w:rPr>
      </w:pPr>
    </w:p>
    <w:p w14:paraId="0CEFC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0" w:firstLineChars="1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0"/>
          <w:szCs w:val="30"/>
        </w:rPr>
        <w:t>本单位将以结果为导向，健全绩效评估与绩效评价结果挂钩机制，对绩效评价发现的问题，采取有力措施绩效整改，并将绩效评价结果作为年度绩效考核的依据，加强绩效评价结果的应用，持续提高资金使用效益。同时将评价结果按照政府信息公开的要求，按时按质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0C0E1D15">
      <w:pPr>
        <w:pStyle w:val="10"/>
        <w:rPr>
          <w:rFonts w:ascii="Arial"/>
          <w:color w:val="auto"/>
          <w:sz w:val="21"/>
          <w:highlight w:val="none"/>
        </w:rPr>
      </w:pPr>
    </w:p>
    <w:p w14:paraId="6E375B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  <w:r>
        <w:rPr>
          <w:color w:val="auto"/>
          <w:spacing w:val="6"/>
          <w:highlight w:val="none"/>
        </w:rPr>
        <w:t>附件：1、</w:t>
      </w:r>
      <w:r>
        <w:rPr>
          <w:rFonts w:hint="eastAsia"/>
          <w:color w:val="auto"/>
          <w:spacing w:val="6"/>
          <w:highlight w:val="none"/>
          <w:lang w:eastAsia="zh-CN"/>
        </w:rPr>
        <w:t>单位</w:t>
      </w:r>
      <w:r>
        <w:rPr>
          <w:color w:val="auto"/>
          <w:spacing w:val="6"/>
          <w:highlight w:val="none"/>
        </w:rPr>
        <w:t>整体支出绩效评价基础数据表</w:t>
      </w:r>
    </w:p>
    <w:p w14:paraId="056139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86" w:firstLineChars="300"/>
        <w:jc w:val="left"/>
        <w:textAlignment w:val="auto"/>
        <w:rPr>
          <w:color w:val="auto"/>
          <w:spacing w:val="6"/>
          <w:highlight w:val="none"/>
        </w:rPr>
      </w:pPr>
      <w:r>
        <w:rPr>
          <w:color w:val="auto"/>
          <w:spacing w:val="6"/>
          <w:highlight w:val="none"/>
        </w:rPr>
        <w:t>2、</w:t>
      </w:r>
      <w:r>
        <w:rPr>
          <w:rFonts w:hint="eastAsia"/>
          <w:color w:val="auto"/>
          <w:spacing w:val="6"/>
          <w:highlight w:val="none"/>
          <w:lang w:eastAsia="zh-CN"/>
        </w:rPr>
        <w:t>单位</w:t>
      </w:r>
      <w:r>
        <w:rPr>
          <w:color w:val="auto"/>
          <w:spacing w:val="6"/>
          <w:highlight w:val="none"/>
        </w:rPr>
        <w:t>整体支出绩效自评表</w:t>
      </w:r>
    </w:p>
    <w:p w14:paraId="06202F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86" w:firstLineChars="300"/>
        <w:jc w:val="left"/>
        <w:textAlignment w:val="auto"/>
        <w:rPr>
          <w:rFonts w:hint="eastAsia"/>
          <w:color w:val="auto"/>
          <w:spacing w:val="6"/>
          <w:highlight w:val="none"/>
          <w:lang w:val="en-US" w:eastAsia="zh-CN"/>
        </w:rPr>
      </w:pPr>
      <w:r>
        <w:rPr>
          <w:rFonts w:hint="eastAsia"/>
          <w:color w:val="auto"/>
          <w:spacing w:val="6"/>
          <w:highlight w:val="none"/>
          <w:lang w:val="en-US" w:eastAsia="zh-CN"/>
        </w:rPr>
        <w:t>3、</w:t>
      </w:r>
      <w:r>
        <w:rPr>
          <w:rFonts w:hint="eastAsia"/>
          <w:color w:val="auto"/>
          <w:spacing w:val="6"/>
          <w:highlight w:val="none"/>
          <w:lang w:eastAsia="zh-CN"/>
        </w:rPr>
        <w:t>项目支出绩效自评表</w:t>
      </w:r>
    </w:p>
    <w:p w14:paraId="2A561F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hint="eastAsia" w:eastAsia="仿宋"/>
          <w:color w:val="auto"/>
          <w:spacing w:val="8"/>
          <w:highlight w:val="none"/>
          <w:lang w:val="en-US" w:eastAsia="zh-CN"/>
        </w:rPr>
      </w:pPr>
    </w:p>
    <w:p w14:paraId="33061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D39B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DB94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tbl>
      <w:tblPr>
        <w:tblStyle w:val="11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134AF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53DAB5C8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40C5AF8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eastAsia="zh-CN"/>
              </w:rPr>
              <w:t>岳阳市外国语学校</w:t>
            </w:r>
          </w:p>
        </w:tc>
      </w:tr>
      <w:tr w14:paraId="6DD97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3AB4A91B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005CAD2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4C8793D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475FCC7">
            <w:pPr>
              <w:spacing w:before="103" w:line="219" w:lineRule="auto"/>
              <w:ind w:firstLine="472" w:firstLineChars="2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704E2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67F6883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70DE2C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25E9C5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B610843">
            <w:pP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100.00%</w:t>
            </w:r>
          </w:p>
        </w:tc>
      </w:tr>
      <w:tr w14:paraId="5EE92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728126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C1B432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9DFCABD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4318F8A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6F2BA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B3DE1A8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605D892">
            <w:pP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7A551C3">
            <w:pPr>
              <w:ind w:firstLine="960" w:firstLineChars="40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088D017">
            <w:pP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0</w:t>
            </w:r>
          </w:p>
        </w:tc>
      </w:tr>
      <w:tr w14:paraId="4945B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407AC19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59001FF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C0011C2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  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A9F453F">
            <w:pPr>
              <w:ind w:firstLine="840" w:firstLineChars="400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29E74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D4501B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33D794F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E989FD9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  0 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0097254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0</w:t>
            </w:r>
          </w:p>
        </w:tc>
      </w:tr>
      <w:tr w14:paraId="61A9F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B7808FA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8CB8C2E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2ABB372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  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A7279D2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0</w:t>
            </w:r>
          </w:p>
        </w:tc>
      </w:tr>
      <w:tr w14:paraId="63950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0CD8933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AA02A9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6D756F3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  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605E084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0</w:t>
            </w:r>
          </w:p>
        </w:tc>
      </w:tr>
      <w:tr w14:paraId="7E0C2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EA12911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C0D2D3E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829D93A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  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F980F54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0</w:t>
            </w:r>
          </w:p>
        </w:tc>
      </w:tr>
      <w:tr w14:paraId="49C9B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D85280A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7B833BD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FF0000"/>
                <w:sz w:val="21"/>
                <w:lang w:val="en-US" w:eastAsia="zh-CN"/>
              </w:rPr>
              <w:t xml:space="preserve">  0</w:t>
            </w:r>
            <w:bookmarkStart w:id="0" w:name="_GoBack"/>
            <w:bookmarkEnd w:id="0"/>
          </w:p>
        </w:tc>
        <w:tc>
          <w:tcPr>
            <w:tcW w:w="2325" w:type="dxa"/>
            <w:gridSpan w:val="2"/>
            <w:noWrap w:val="0"/>
            <w:vAlign w:val="top"/>
          </w:tcPr>
          <w:p w14:paraId="11B38204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  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ABF9E12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205.21</w:t>
            </w:r>
          </w:p>
        </w:tc>
      </w:tr>
      <w:tr w14:paraId="06D92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3A56A5A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75CA8E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5412B7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4500CB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67724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705C78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18BBFF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D070C73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CC8F6E9">
            <w:pPr>
              <w:ind w:firstLine="630" w:firstLineChars="300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205.21</w:t>
            </w:r>
          </w:p>
        </w:tc>
      </w:tr>
      <w:tr w14:paraId="43CE9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4FBBBC8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9F161AC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1FBCF11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15C21C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BE3C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1DB95792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8F5878A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E068F34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00BC83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A144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7B8193A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310C728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E40E38F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E283CD7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66B7D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A743041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7F4182C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744D30B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F1C57A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8EB6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B2901C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EF73E0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291.16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7443AF3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173.98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3A3016C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375.36</w:t>
            </w:r>
          </w:p>
        </w:tc>
      </w:tr>
      <w:tr w14:paraId="67ED0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B0B6905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EA1760D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2204A5A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 10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8C056AB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7.94</w:t>
            </w:r>
          </w:p>
        </w:tc>
      </w:tr>
      <w:tr w14:paraId="4A51D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BCF7999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196402D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27.89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E3DDF13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39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5635E18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55.68</w:t>
            </w:r>
          </w:p>
        </w:tc>
      </w:tr>
      <w:tr w14:paraId="2D8D4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3348715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0C0EA32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8.97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D6E63D6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8.02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BB8E775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8.49  </w:t>
            </w:r>
          </w:p>
        </w:tc>
      </w:tr>
      <w:tr w14:paraId="332E7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CDD43DC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129F7A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210.62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21BD7C3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171.72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81B2B8B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356.11</w:t>
            </w:r>
          </w:p>
        </w:tc>
      </w:tr>
      <w:tr w14:paraId="011E2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9583FDD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4D7FFF9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FB7F37A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 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80E1278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 0</w:t>
            </w:r>
          </w:p>
        </w:tc>
      </w:tr>
      <w:tr w14:paraId="3374F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8BAD52C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262F1C68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373E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15A74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6FC4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D310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58086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062B3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56DD2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FB1A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64534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40847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3999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61DE8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0F23F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77C7A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5D3F9B0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5F5E9F76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0</w:t>
            </w:r>
          </w:p>
        </w:tc>
        <w:tc>
          <w:tcPr>
            <w:tcW w:w="990" w:type="dxa"/>
            <w:noWrap w:val="0"/>
            <w:vAlign w:val="top"/>
          </w:tcPr>
          <w:p w14:paraId="6779B79D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0</w:t>
            </w:r>
          </w:p>
        </w:tc>
        <w:tc>
          <w:tcPr>
            <w:tcW w:w="1140" w:type="dxa"/>
            <w:noWrap w:val="0"/>
            <w:vAlign w:val="top"/>
          </w:tcPr>
          <w:p w14:paraId="2F7577A7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0</w:t>
            </w:r>
          </w:p>
        </w:tc>
        <w:tc>
          <w:tcPr>
            <w:tcW w:w="1185" w:type="dxa"/>
            <w:noWrap w:val="0"/>
            <w:vAlign w:val="top"/>
          </w:tcPr>
          <w:p w14:paraId="0E902EBC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 0</w:t>
            </w:r>
          </w:p>
        </w:tc>
        <w:tc>
          <w:tcPr>
            <w:tcW w:w="810" w:type="dxa"/>
            <w:noWrap w:val="0"/>
            <w:vAlign w:val="top"/>
          </w:tcPr>
          <w:p w14:paraId="170093AF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0</w:t>
            </w:r>
          </w:p>
        </w:tc>
        <w:tc>
          <w:tcPr>
            <w:tcW w:w="869" w:type="dxa"/>
            <w:noWrap w:val="0"/>
            <w:vAlign w:val="top"/>
          </w:tcPr>
          <w:p w14:paraId="559C2B76">
            <w:pP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val="en-US" w:eastAsia="zh-CN"/>
              </w:rPr>
              <w:t xml:space="preserve">   0</w:t>
            </w:r>
          </w:p>
        </w:tc>
      </w:tr>
      <w:tr w14:paraId="32A4B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25205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60A2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lang w:eastAsia="zh-CN"/>
              </w:rPr>
              <w:t>严格控制在预算内开支，不超预算开支，不挤占挪用预算资金</w:t>
            </w:r>
          </w:p>
        </w:tc>
      </w:tr>
    </w:tbl>
    <w:p w14:paraId="0C42B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720" w:num="1"/>
          <w:rtlGutter w:val="0"/>
          <w:docGrid w:linePitch="1" w:charSpace="0"/>
        </w:sect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代凤琪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联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13786066355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填报日期：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2025.06.30</w:t>
      </w: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1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45AFD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5D0EF87F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42D80FF9">
            <w:pPr>
              <w:pStyle w:val="12"/>
              <w:spacing w:line="239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 xml:space="preserve">  岳阳市外国语学校</w:t>
            </w:r>
          </w:p>
        </w:tc>
      </w:tr>
      <w:tr w14:paraId="13374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E0C7D3A">
            <w:pPr>
              <w:pStyle w:val="12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31452BBC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7EB2A9D8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noWrap w:val="0"/>
            <w:vAlign w:val="top"/>
          </w:tcPr>
          <w:p w14:paraId="368EF109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7CCAE5C5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04220E4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3C194A5C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B089380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00203667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9E6F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C62D32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3BC4E3C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46E29AFC">
            <w:pPr>
              <w:pStyle w:val="12"/>
              <w:spacing w:line="235" w:lineRule="exact"/>
              <w:ind w:firstLine="200" w:firstLineChars="100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3043.66</w:t>
            </w:r>
          </w:p>
        </w:tc>
        <w:tc>
          <w:tcPr>
            <w:tcW w:w="1310" w:type="dxa"/>
            <w:noWrap w:val="0"/>
            <w:vAlign w:val="top"/>
          </w:tcPr>
          <w:p w14:paraId="3A471A68">
            <w:pPr>
              <w:pStyle w:val="12"/>
              <w:spacing w:line="235" w:lineRule="exact"/>
              <w:ind w:firstLine="200" w:firstLineChars="100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 xml:space="preserve"> 4165.01</w:t>
            </w:r>
          </w:p>
        </w:tc>
        <w:tc>
          <w:tcPr>
            <w:tcW w:w="1268" w:type="dxa"/>
            <w:noWrap w:val="0"/>
            <w:vAlign w:val="top"/>
          </w:tcPr>
          <w:p w14:paraId="6DD6491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 xml:space="preserve">  4157.01</w:t>
            </w:r>
          </w:p>
        </w:tc>
        <w:tc>
          <w:tcPr>
            <w:tcW w:w="716" w:type="dxa"/>
            <w:noWrap w:val="0"/>
            <w:vAlign w:val="top"/>
          </w:tcPr>
          <w:p w14:paraId="413EAEFC">
            <w:pPr>
              <w:pStyle w:val="12"/>
              <w:spacing w:before="54" w:line="194" w:lineRule="auto"/>
              <w:ind w:left="27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1774FFDD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 xml:space="preserve">  99.80%</w:t>
            </w:r>
          </w:p>
        </w:tc>
        <w:tc>
          <w:tcPr>
            <w:tcW w:w="1450" w:type="dxa"/>
            <w:noWrap w:val="0"/>
            <w:vAlign w:val="top"/>
          </w:tcPr>
          <w:p w14:paraId="5CA2AE7C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 xml:space="preserve">      9.98</w:t>
            </w:r>
          </w:p>
        </w:tc>
      </w:tr>
      <w:tr w14:paraId="39F9CA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8A513E6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F306D21">
            <w:pPr>
              <w:spacing w:before="22" w:line="206" w:lineRule="auto"/>
              <w:ind w:left="111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E084D2F">
            <w:pPr>
              <w:spacing w:before="22" w:line="206" w:lineRule="auto"/>
              <w:ind w:left="116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527AC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3A7BC6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E3C6109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cs="宋体"/>
                <w:color w:val="000000" w:themeColor="text1"/>
                <w:spacing w:val="1"/>
                <w:sz w:val="19"/>
                <w:szCs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3701.52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2A4B0CE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color w:val="000000" w:themeColor="text1"/>
                <w:sz w:val="19"/>
                <w:szCs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19"/>
                <w:szCs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19"/>
                <w:szCs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3951.80</w:t>
            </w:r>
          </w:p>
        </w:tc>
      </w:tr>
      <w:tr w14:paraId="71A2D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5F9042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EAD4403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CA9E165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color w:val="000000" w:themeColor="text1"/>
                <w:sz w:val="19"/>
                <w:szCs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9"/>
                <w:szCs w:val="19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9"/>
                <w:szCs w:val="19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205.21</w:t>
            </w:r>
          </w:p>
        </w:tc>
      </w:tr>
      <w:tr w14:paraId="3AEFE1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3160D65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2B3C03F">
            <w:pPr>
              <w:spacing w:before="20" w:line="208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290EFBB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553A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E328D56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ABAD795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cs="宋体"/>
                <w:spacing w:val="-2"/>
                <w:sz w:val="19"/>
                <w:szCs w:val="19"/>
                <w:lang w:val="en-US" w:eastAsia="zh-CN"/>
              </w:rPr>
              <w:t xml:space="preserve"> 455.49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189C30D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549F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5AAFBCB">
            <w:pPr>
              <w:pStyle w:val="12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2398D697">
            <w:pPr>
              <w:pStyle w:val="12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39A226EE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13EAFF20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64F1AF5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9247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D81A0EF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7E007A4">
            <w:pPr>
              <w:pStyle w:val="12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目标1：加大教师培养力度，促进青年教师快速成长，计划完成教师培训人次140次； 目标2：完成年初制定的招生工作，预计招生1760人；目标3：加快完善德智体美劳全面培养的育人体系，促进学生全面健康发展，计划完成学生课外活动数量10次。目标1：及时完成校园修缮工作，校园修缮完成率必须达到100%；目标2：常态化进行校舍校园、消防设施、食品安全检查，营造舒适而安全的校园生活环境。目标1：按时足额发放教师工资福利，保障教学经费的正常开支；目标2：做好后勤保障管理工作，解决师生后顾之忧，为师生提供良好的教育教学环境。目标1：开展省级“清廉学校”创建和“五模范”示范岗活动，提升学校可持续发展能力。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279036F">
            <w:pPr>
              <w:pStyle w:val="12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、举办了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先兵器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示范课和青年教师竞赛课等活动；加大数字化考试系统的培训和使用，开展了四次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数字赋能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精准施策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系列培训。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年本科达线率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80.71%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，高三九个备课组被评为岳阳楼区教学质量先进学科组。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、举办体育节、外语节、艺术节、感恩节、读书节、成人节等六大校园文化节，成立模联社、足球社、美术社、合唱社、武术社、舞龙社、文学社等，定期举办社团开放日。我校学生冯俊玮被评为湖南省龙狮公开赛优秀运动员；校舞狮队参加湖南省第二届舞龙舞狮锦标赛获得三个金奖，两个银奖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年度，我校未发生一起重大安全事故。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、多渠道开展党风廉政及师德师风的教育和宣传。制订并签订《落实规范办学行为二十条规定承诺书》，填写《教师从教行为自查表》，设立党员示范岗，开展党员陪餐、党员送教、党员护校、党员教师结对帮扶等活动。</w:t>
            </w:r>
          </w:p>
        </w:tc>
      </w:tr>
      <w:tr w14:paraId="44783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left w:val="single" w:color="auto" w:sz="4" w:space="0"/>
              <w:bottom w:val="single" w:color="auto" w:sz="4" w:space="0"/>
            </w:tcBorders>
            <w:noWrap w:val="0"/>
            <w:textDirection w:val="tbRlV"/>
            <w:vAlign w:val="top"/>
          </w:tcPr>
          <w:p w14:paraId="3CEF0707">
            <w:pPr>
              <w:pStyle w:val="12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4398B422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noWrap w:val="0"/>
            <w:vAlign w:val="top"/>
          </w:tcPr>
          <w:p w14:paraId="020724BA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tcBorders>
              <w:bottom w:val="single" w:color="auto" w:sz="4" w:space="0"/>
            </w:tcBorders>
            <w:noWrap w:val="0"/>
            <w:vAlign w:val="top"/>
          </w:tcPr>
          <w:p w14:paraId="715AF834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62F7ECA3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top"/>
          </w:tcPr>
          <w:p w14:paraId="212353F1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tcBorders>
              <w:bottom w:val="single" w:color="auto" w:sz="4" w:space="0"/>
            </w:tcBorders>
            <w:noWrap w:val="0"/>
            <w:vAlign w:val="top"/>
          </w:tcPr>
          <w:p w14:paraId="2BAB5391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tcBorders>
              <w:bottom w:val="single" w:color="auto" w:sz="4" w:space="0"/>
            </w:tcBorders>
            <w:noWrap w:val="0"/>
            <w:vAlign w:val="top"/>
          </w:tcPr>
          <w:p w14:paraId="68D88447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bottom w:val="single" w:color="auto" w:sz="4" w:space="0"/>
            </w:tcBorders>
            <w:noWrap w:val="0"/>
            <w:vAlign w:val="top"/>
          </w:tcPr>
          <w:p w14:paraId="70C41B3E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tcBorders>
              <w:bottom w:val="single" w:color="auto" w:sz="4" w:space="0"/>
            </w:tcBorders>
            <w:noWrap w:val="0"/>
            <w:vAlign w:val="top"/>
          </w:tcPr>
          <w:p w14:paraId="7F11DBEE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646B5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extDirection w:val="tbRlV"/>
            <w:vAlign w:val="top"/>
          </w:tcPr>
          <w:p w14:paraId="1026F043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9FA8708">
            <w:pPr>
              <w:pStyle w:val="12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6FC86C85">
            <w:pPr>
              <w:pStyle w:val="12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05B2155E">
            <w:pPr>
              <w:pStyle w:val="12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320C90C2">
            <w:pPr>
              <w:pStyle w:val="12"/>
              <w:spacing w:line="273" w:lineRule="auto"/>
              <w:rPr>
                <w:rFonts w:hint="eastAsia" w:ascii="宋体" w:hAnsi="宋体" w:eastAsia="宋体" w:cs="宋体"/>
              </w:rPr>
            </w:pPr>
          </w:p>
          <w:p w14:paraId="6E0C358F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0A48C279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</w:t>
            </w:r>
            <w:r>
              <w:rPr>
                <w:rFonts w:hint="eastAsia" w:ascii="宋体" w:hAnsi="宋体" w:cs="宋体"/>
                <w:spacing w:val="1"/>
                <w:position w:val="2"/>
                <w:sz w:val="19"/>
                <w:szCs w:val="19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C1237E3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149734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购置相关仪器设备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8D5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20台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9AC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20台</w:t>
            </w:r>
          </w:p>
        </w:tc>
        <w:tc>
          <w:tcPr>
            <w:tcW w:w="71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78D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FC5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C72FF5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B7AE4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16BA7E45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71E7523E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1E346E4E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center"/>
          </w:tcPr>
          <w:p w14:paraId="14251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310" w:type="dxa"/>
            <w:tcBorders>
              <w:top w:val="single" w:color="auto" w:sz="4" w:space="0"/>
            </w:tcBorders>
            <w:noWrap w:val="0"/>
            <w:vAlign w:val="center"/>
          </w:tcPr>
          <w:p w14:paraId="7FFDC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1760人</w:t>
            </w:r>
          </w:p>
        </w:tc>
        <w:tc>
          <w:tcPr>
            <w:tcW w:w="1268" w:type="dxa"/>
            <w:tcBorders>
              <w:top w:val="single" w:color="auto" w:sz="4" w:space="0"/>
            </w:tcBorders>
            <w:noWrap w:val="0"/>
            <w:vAlign w:val="center"/>
          </w:tcPr>
          <w:p w14:paraId="3AE4D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1772人</w:t>
            </w:r>
          </w:p>
        </w:tc>
        <w:tc>
          <w:tcPr>
            <w:tcW w:w="716" w:type="dxa"/>
            <w:tcBorders>
              <w:top w:val="single" w:color="auto" w:sz="4" w:space="0"/>
            </w:tcBorders>
            <w:noWrap w:val="0"/>
            <w:vAlign w:val="center"/>
          </w:tcPr>
          <w:p w14:paraId="5CA3A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</w:tcBorders>
            <w:noWrap w:val="0"/>
            <w:vAlign w:val="center"/>
          </w:tcPr>
          <w:p w14:paraId="383A8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</w:tcBorders>
            <w:noWrap w:val="0"/>
            <w:vAlign w:val="top"/>
          </w:tcPr>
          <w:p w14:paraId="6C5C2FCC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5810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541239D6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255CBD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0ADD16FD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2B26F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教职工培训人次</w:t>
            </w:r>
          </w:p>
        </w:tc>
        <w:tc>
          <w:tcPr>
            <w:tcW w:w="1310" w:type="dxa"/>
            <w:noWrap w:val="0"/>
            <w:vAlign w:val="center"/>
          </w:tcPr>
          <w:p w14:paraId="70E86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140人次</w:t>
            </w:r>
          </w:p>
        </w:tc>
        <w:tc>
          <w:tcPr>
            <w:tcW w:w="1268" w:type="dxa"/>
            <w:noWrap w:val="0"/>
            <w:vAlign w:val="center"/>
          </w:tcPr>
          <w:p w14:paraId="09147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146人次</w:t>
            </w:r>
          </w:p>
        </w:tc>
        <w:tc>
          <w:tcPr>
            <w:tcW w:w="716" w:type="dxa"/>
            <w:noWrap w:val="0"/>
            <w:vAlign w:val="center"/>
          </w:tcPr>
          <w:p w14:paraId="62853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45E9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171EC60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1BA2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1756219E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333D2C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449D29FC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2861E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引进优质教师</w:t>
            </w:r>
          </w:p>
        </w:tc>
        <w:tc>
          <w:tcPr>
            <w:tcW w:w="1310" w:type="dxa"/>
            <w:noWrap w:val="0"/>
            <w:vAlign w:val="center"/>
          </w:tcPr>
          <w:p w14:paraId="67EE8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13人</w:t>
            </w:r>
          </w:p>
        </w:tc>
        <w:tc>
          <w:tcPr>
            <w:tcW w:w="1268" w:type="dxa"/>
            <w:noWrap w:val="0"/>
            <w:vAlign w:val="center"/>
          </w:tcPr>
          <w:p w14:paraId="2AB84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13人</w:t>
            </w:r>
          </w:p>
        </w:tc>
        <w:tc>
          <w:tcPr>
            <w:tcW w:w="716" w:type="dxa"/>
            <w:noWrap w:val="0"/>
            <w:vAlign w:val="center"/>
          </w:tcPr>
          <w:p w14:paraId="5F22B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74BE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E56BF20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4FA55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2A983BD8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BC670C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nil"/>
            </w:tcBorders>
            <w:noWrap w:val="0"/>
            <w:vAlign w:val="top"/>
          </w:tcPr>
          <w:p w14:paraId="6E025A17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5DDA5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310" w:type="dxa"/>
            <w:noWrap w:val="0"/>
            <w:vAlign w:val="center"/>
          </w:tcPr>
          <w:p w14:paraId="7D182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268" w:type="dxa"/>
            <w:noWrap w:val="0"/>
            <w:vAlign w:val="center"/>
          </w:tcPr>
          <w:p w14:paraId="14FDF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16" w:type="dxa"/>
            <w:noWrap w:val="0"/>
            <w:vAlign w:val="center"/>
          </w:tcPr>
          <w:p w14:paraId="67DE8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9C37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25C0E19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3C89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5FC04F8E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6508C6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nil"/>
            </w:tcBorders>
            <w:noWrap w:val="0"/>
            <w:vAlign w:val="top"/>
          </w:tcPr>
          <w:p w14:paraId="39F55CAC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07D2C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310" w:type="dxa"/>
            <w:noWrap w:val="0"/>
            <w:vAlign w:val="center"/>
          </w:tcPr>
          <w:p w14:paraId="5F5FF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8" w:type="dxa"/>
            <w:noWrap w:val="0"/>
            <w:vAlign w:val="center"/>
          </w:tcPr>
          <w:p w14:paraId="43898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16" w:type="dxa"/>
            <w:noWrap w:val="0"/>
            <w:vAlign w:val="center"/>
          </w:tcPr>
          <w:p w14:paraId="63383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AEBC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E952CE3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69D0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6D59E6F3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99E4DF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096A2718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31AC4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中学毕业率/升学率</w:t>
            </w:r>
          </w:p>
        </w:tc>
        <w:tc>
          <w:tcPr>
            <w:tcW w:w="1310" w:type="dxa"/>
            <w:noWrap w:val="0"/>
            <w:vAlign w:val="center"/>
          </w:tcPr>
          <w:p w14:paraId="52F43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1268" w:type="dxa"/>
            <w:noWrap w:val="0"/>
            <w:vAlign w:val="center"/>
          </w:tcPr>
          <w:p w14:paraId="738FD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716" w:type="dxa"/>
            <w:noWrap w:val="0"/>
            <w:vAlign w:val="center"/>
          </w:tcPr>
          <w:p w14:paraId="06B9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22CD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3FDC64D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29FF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3ED448ED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5EEA7F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775D4418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A6ED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310" w:type="dxa"/>
            <w:noWrap w:val="0"/>
            <w:vAlign w:val="center"/>
          </w:tcPr>
          <w:p w14:paraId="4B279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1B7DE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04C2F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8B73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3DEE4D5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6AA9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3FBB68AA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8A2F200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424BF1EB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0E4A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新生入学率</w:t>
            </w:r>
          </w:p>
        </w:tc>
        <w:tc>
          <w:tcPr>
            <w:tcW w:w="1310" w:type="dxa"/>
            <w:noWrap w:val="0"/>
            <w:vAlign w:val="center"/>
          </w:tcPr>
          <w:p w14:paraId="7D12D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1268" w:type="dxa"/>
            <w:noWrap w:val="0"/>
            <w:vAlign w:val="center"/>
          </w:tcPr>
          <w:p w14:paraId="16FA8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0B43C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73" w:type="dxa"/>
            <w:noWrap w:val="0"/>
            <w:vAlign w:val="center"/>
          </w:tcPr>
          <w:p w14:paraId="095D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450" w:type="dxa"/>
            <w:noWrap w:val="0"/>
            <w:vAlign w:val="top"/>
          </w:tcPr>
          <w:p w14:paraId="0E1E4249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EA0B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799D690B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69B64F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5F85037B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2C49B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购置设备投入使用率</w:t>
            </w:r>
          </w:p>
        </w:tc>
        <w:tc>
          <w:tcPr>
            <w:tcW w:w="1310" w:type="dxa"/>
            <w:noWrap w:val="0"/>
            <w:vAlign w:val="center"/>
          </w:tcPr>
          <w:p w14:paraId="60FB4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6E657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5F8A3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2.5</w:t>
            </w:r>
          </w:p>
        </w:tc>
        <w:tc>
          <w:tcPr>
            <w:tcW w:w="873" w:type="dxa"/>
            <w:noWrap w:val="0"/>
            <w:vAlign w:val="center"/>
          </w:tcPr>
          <w:p w14:paraId="36A0F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2.5</w:t>
            </w:r>
          </w:p>
        </w:tc>
        <w:tc>
          <w:tcPr>
            <w:tcW w:w="1450" w:type="dxa"/>
            <w:noWrap w:val="0"/>
            <w:vAlign w:val="top"/>
          </w:tcPr>
          <w:p w14:paraId="49AA6824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189F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6114A4CB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FFEEF9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4052FFAE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7F252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升学率毕业率/完成时间</w:t>
            </w:r>
          </w:p>
        </w:tc>
        <w:tc>
          <w:tcPr>
            <w:tcW w:w="1310" w:type="dxa"/>
            <w:noWrap w:val="0"/>
            <w:vAlign w:val="center"/>
          </w:tcPr>
          <w:p w14:paraId="4E059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2024.6.30（毕业时间）</w:t>
            </w:r>
          </w:p>
        </w:tc>
        <w:tc>
          <w:tcPr>
            <w:tcW w:w="1268" w:type="dxa"/>
            <w:noWrap w:val="0"/>
            <w:vAlign w:val="center"/>
          </w:tcPr>
          <w:p w14:paraId="4D5F5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学生按时毕业</w:t>
            </w:r>
          </w:p>
        </w:tc>
        <w:tc>
          <w:tcPr>
            <w:tcW w:w="716" w:type="dxa"/>
            <w:noWrap w:val="0"/>
            <w:vAlign w:val="center"/>
          </w:tcPr>
          <w:p w14:paraId="4CC5C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2.5</w:t>
            </w:r>
          </w:p>
        </w:tc>
        <w:tc>
          <w:tcPr>
            <w:tcW w:w="873" w:type="dxa"/>
            <w:noWrap w:val="0"/>
            <w:vAlign w:val="center"/>
          </w:tcPr>
          <w:p w14:paraId="19697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2.5</w:t>
            </w:r>
          </w:p>
        </w:tc>
        <w:tc>
          <w:tcPr>
            <w:tcW w:w="1450" w:type="dxa"/>
            <w:noWrap w:val="0"/>
            <w:vAlign w:val="top"/>
          </w:tcPr>
          <w:p w14:paraId="1088E8CD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10D6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textDirection w:val="tbRlV"/>
            <w:vAlign w:val="top"/>
          </w:tcPr>
          <w:p w14:paraId="6E4D9F36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AF2B148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0D15AEA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2F501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新生入学率完成时间</w:t>
            </w: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 w14:paraId="2A9B9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2024.9.30（入学时间）</w:t>
            </w:r>
          </w:p>
        </w:tc>
        <w:tc>
          <w:tcPr>
            <w:tcW w:w="1268" w:type="dxa"/>
            <w:tcBorders>
              <w:bottom w:val="single" w:color="auto" w:sz="4" w:space="0"/>
            </w:tcBorders>
            <w:noWrap w:val="0"/>
            <w:vAlign w:val="center"/>
          </w:tcPr>
          <w:p w14:paraId="4A3B2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新生按时入学</w:t>
            </w:r>
          </w:p>
        </w:tc>
        <w:tc>
          <w:tcPr>
            <w:tcW w:w="716" w:type="dxa"/>
            <w:tcBorders>
              <w:bottom w:val="single" w:color="auto" w:sz="4" w:space="0"/>
            </w:tcBorders>
            <w:noWrap w:val="0"/>
            <w:vAlign w:val="center"/>
          </w:tcPr>
          <w:p w14:paraId="5315A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73" w:type="dxa"/>
            <w:tcBorders>
              <w:bottom w:val="single" w:color="auto" w:sz="4" w:space="0"/>
            </w:tcBorders>
            <w:noWrap w:val="0"/>
            <w:vAlign w:val="center"/>
          </w:tcPr>
          <w:p w14:paraId="7E495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450" w:type="dxa"/>
            <w:tcBorders>
              <w:bottom w:val="single" w:color="auto" w:sz="4" w:space="0"/>
            </w:tcBorders>
            <w:noWrap w:val="0"/>
            <w:vAlign w:val="top"/>
          </w:tcPr>
          <w:p w14:paraId="4B41B0A9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508D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textDirection w:val="tbRlV"/>
            <w:vAlign w:val="top"/>
          </w:tcPr>
          <w:p w14:paraId="760A078C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523C0A8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3BC82A4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04041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教师培训完成时间</w:t>
            </w: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 w14:paraId="0BA21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2024.9.1之前</w:t>
            </w:r>
          </w:p>
        </w:tc>
        <w:tc>
          <w:tcPr>
            <w:tcW w:w="1268" w:type="dxa"/>
            <w:tcBorders>
              <w:bottom w:val="single" w:color="auto" w:sz="4" w:space="0"/>
            </w:tcBorders>
            <w:noWrap w:val="0"/>
            <w:vAlign w:val="center"/>
          </w:tcPr>
          <w:p w14:paraId="13A6C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按时完成</w:t>
            </w:r>
          </w:p>
        </w:tc>
        <w:tc>
          <w:tcPr>
            <w:tcW w:w="716" w:type="dxa"/>
            <w:tcBorders>
              <w:bottom w:val="single" w:color="auto" w:sz="4" w:space="0"/>
            </w:tcBorders>
            <w:noWrap w:val="0"/>
            <w:vAlign w:val="center"/>
          </w:tcPr>
          <w:p w14:paraId="4792B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bottom w:val="single" w:color="auto" w:sz="4" w:space="0"/>
            </w:tcBorders>
            <w:noWrap w:val="0"/>
            <w:vAlign w:val="center"/>
          </w:tcPr>
          <w:p w14:paraId="55B2A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0" w:type="dxa"/>
            <w:tcBorders>
              <w:bottom w:val="single" w:color="auto" w:sz="4" w:space="0"/>
            </w:tcBorders>
            <w:noWrap w:val="0"/>
            <w:vAlign w:val="top"/>
          </w:tcPr>
          <w:p w14:paraId="1060BE65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6F35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extDirection w:val="tbRlV"/>
            <w:vAlign w:val="top"/>
          </w:tcPr>
          <w:p w14:paraId="38493829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5981A16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240E95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278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学校年支出金额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AD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≤4165.01万元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CCB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4157.01万元</w:t>
            </w:r>
          </w:p>
        </w:tc>
        <w:tc>
          <w:tcPr>
            <w:tcW w:w="71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E56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9C8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70F64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E5D2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extDirection w:val="tbRlV"/>
            <w:vAlign w:val="top"/>
          </w:tcPr>
          <w:p w14:paraId="1A06A82B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C467E3C">
            <w:pPr>
              <w:pStyle w:val="12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EA4702F">
            <w:pPr>
              <w:pStyle w:val="12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092C30B">
            <w:pPr>
              <w:pStyle w:val="12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F56BCA1">
            <w:pPr>
              <w:pStyle w:val="12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1BBF010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B6E631E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</w:t>
            </w:r>
            <w:r>
              <w:rPr>
                <w:rFonts w:hint="eastAsia" w:ascii="宋体" w:hAnsi="宋体" w:cs="宋体"/>
                <w:spacing w:val="3"/>
                <w:sz w:val="19"/>
                <w:szCs w:val="19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C758D7E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1F7D97B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931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教育投入产出比增加率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FBF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36C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71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AE5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BD9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DEFD7F0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FA95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extDirection w:val="tbRlV"/>
            <w:vAlign w:val="top"/>
          </w:tcPr>
          <w:p w14:paraId="1C38AD00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C900B6B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E77300E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66D908E8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B9D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提高教师队伍建设，提高教育教学质量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0FB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较上年提升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356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71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321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2FB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260ECF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A8CE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textDirection w:val="tbRlV"/>
            <w:vAlign w:val="top"/>
          </w:tcPr>
          <w:p w14:paraId="064417F3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AAFFCE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bottom w:val="nil"/>
            </w:tcBorders>
            <w:noWrap w:val="0"/>
            <w:vAlign w:val="top"/>
          </w:tcPr>
          <w:p w14:paraId="2C23F58C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7DAD0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310" w:type="dxa"/>
            <w:noWrap w:val="0"/>
            <w:vAlign w:val="center"/>
          </w:tcPr>
          <w:p w14:paraId="3948D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学习氛围愈加浓厚</w:t>
            </w:r>
          </w:p>
        </w:tc>
        <w:tc>
          <w:tcPr>
            <w:tcW w:w="1268" w:type="dxa"/>
            <w:noWrap w:val="0"/>
            <w:vAlign w:val="center"/>
          </w:tcPr>
          <w:p w14:paraId="77ACC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学习氛围提升</w:t>
            </w:r>
          </w:p>
        </w:tc>
        <w:tc>
          <w:tcPr>
            <w:tcW w:w="716" w:type="dxa"/>
            <w:noWrap w:val="0"/>
            <w:vAlign w:val="center"/>
          </w:tcPr>
          <w:p w14:paraId="34AFF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5577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407BA44">
            <w:pPr>
              <w:pStyle w:val="12"/>
              <w:rPr>
                <w:rFonts w:hint="eastAsia" w:ascii="宋体" w:hAnsi="宋体" w:eastAsia="宋体" w:cs="宋体"/>
              </w:rPr>
            </w:pPr>
          </w:p>
        </w:tc>
      </w:tr>
      <w:tr w14:paraId="219C7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8E829BB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98B64C1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31BE645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98EC34F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ED3DF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06A27AB7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0F4347F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2AC1C84C"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学生满意度</w:t>
            </w:r>
          </w:p>
        </w:tc>
        <w:tc>
          <w:tcPr>
            <w:tcW w:w="1310" w:type="dxa"/>
            <w:noWrap w:val="0"/>
            <w:vAlign w:val="center"/>
          </w:tcPr>
          <w:p w14:paraId="65AFF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1268" w:type="dxa"/>
            <w:noWrap w:val="0"/>
            <w:vAlign w:val="center"/>
          </w:tcPr>
          <w:p w14:paraId="6B770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716" w:type="dxa"/>
            <w:noWrap w:val="0"/>
            <w:vAlign w:val="center"/>
          </w:tcPr>
          <w:p w14:paraId="6E55A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8BF2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467DF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</w:p>
        </w:tc>
      </w:tr>
      <w:tr w14:paraId="4A60FA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4BC60E8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1E5C62C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FEA149">
            <w:pPr>
              <w:pStyle w:val="12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6E922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家长满意度</w:t>
            </w:r>
          </w:p>
        </w:tc>
        <w:tc>
          <w:tcPr>
            <w:tcW w:w="1310" w:type="dxa"/>
            <w:noWrap w:val="0"/>
            <w:vAlign w:val="center"/>
          </w:tcPr>
          <w:p w14:paraId="58FFA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1268" w:type="dxa"/>
            <w:noWrap w:val="0"/>
            <w:vAlign w:val="center"/>
          </w:tcPr>
          <w:p w14:paraId="122E8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716" w:type="dxa"/>
            <w:noWrap w:val="0"/>
            <w:vAlign w:val="center"/>
          </w:tcPr>
          <w:p w14:paraId="3358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D6B2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AAA8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</w:p>
        </w:tc>
      </w:tr>
      <w:tr w14:paraId="07CD3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516B82E9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noWrap w:val="0"/>
            <w:vAlign w:val="top"/>
          </w:tcPr>
          <w:p w14:paraId="6F6B986D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08920495">
            <w:pPr>
              <w:pStyle w:val="12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99.98</w:t>
            </w:r>
          </w:p>
        </w:tc>
        <w:tc>
          <w:tcPr>
            <w:tcW w:w="1450" w:type="dxa"/>
            <w:noWrap w:val="0"/>
            <w:vAlign w:val="top"/>
          </w:tcPr>
          <w:p w14:paraId="19CB9442">
            <w:pPr>
              <w:pStyle w:val="12"/>
              <w:rPr>
                <w:rFonts w:hint="eastAsia" w:ascii="宋体" w:hAnsi="宋体" w:eastAsia="宋体" w:cs="宋体"/>
              </w:rPr>
            </w:pPr>
          </w:p>
        </w:tc>
      </w:tr>
    </w:tbl>
    <w:p w14:paraId="02CD5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1DD0FB46">
      <w:pPr>
        <w:tabs>
          <w:tab w:val="left" w:pos="2572"/>
        </w:tabs>
        <w:bidi w:val="0"/>
        <w:jc w:val="left"/>
        <w:rPr>
          <w:rFonts w:hint="default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代凤琪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13786066355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2025.06.30</w:t>
      </w:r>
    </w:p>
    <w:p w14:paraId="2DFD9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CD5A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06F3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D698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9C9C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B6B7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7409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1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2A0F2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eastAsia="zh-CN"/>
        </w:rPr>
        <w:t>代凤琪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13786066355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2025.6.30</w:t>
      </w:r>
    </w:p>
    <w:sectPr>
      <w:footerReference r:id="rId4" w:type="default"/>
      <w:pgSz w:w="11906" w:h="16838"/>
      <w:pgMar w:top="1701" w:right="1701" w:bottom="1701" w:left="119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D503543-2DB4-4358-AF5F-B7614CE188A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1821AC8-9D31-4AAD-ADDC-02F15698F6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C60E86A-2E96-4276-9752-AB1382ED197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6AA6437-38C3-4E42-9066-87CDAE4A27F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68247847-C8A4-4024-9161-88A083E9A8D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BCB3783A-0533-4544-91E5-89A15651A8F7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8F613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67BBAA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67BBAA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A6786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B2C7F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8E44DF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13AC9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BB210C"/>
    <w:rsid w:val="06C90184"/>
    <w:rsid w:val="06C9437B"/>
    <w:rsid w:val="06E54070"/>
    <w:rsid w:val="06EB12EA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AEC0718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841EA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2D7AC5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5E6F4B"/>
    <w:rsid w:val="12637C4E"/>
    <w:rsid w:val="126D5B06"/>
    <w:rsid w:val="127030C8"/>
    <w:rsid w:val="127A7569"/>
    <w:rsid w:val="127F55BA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3F4D89"/>
    <w:rsid w:val="154034C3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275B7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3D4FA3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AB1C91"/>
    <w:rsid w:val="1EB95D76"/>
    <w:rsid w:val="1EC02D79"/>
    <w:rsid w:val="1EC54236"/>
    <w:rsid w:val="1ED464CA"/>
    <w:rsid w:val="1EDA5DF7"/>
    <w:rsid w:val="1EDB3703"/>
    <w:rsid w:val="1EEA037F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D17F79"/>
    <w:rsid w:val="1FDE0273"/>
    <w:rsid w:val="1FDE31D9"/>
    <w:rsid w:val="1FE41A04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9C77F7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AA35F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3F7310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8756CC"/>
    <w:rsid w:val="299E42B1"/>
    <w:rsid w:val="29A81FA5"/>
    <w:rsid w:val="29AB297C"/>
    <w:rsid w:val="29B7011F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1F34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C2A4C"/>
    <w:rsid w:val="2B3E1E16"/>
    <w:rsid w:val="2B5674FC"/>
    <w:rsid w:val="2B5D0E3B"/>
    <w:rsid w:val="2B5E2134"/>
    <w:rsid w:val="2B6F3EEE"/>
    <w:rsid w:val="2B70774D"/>
    <w:rsid w:val="2B7D446F"/>
    <w:rsid w:val="2B7D59D5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272E9"/>
    <w:rsid w:val="2E2F0A58"/>
    <w:rsid w:val="2E301D0F"/>
    <w:rsid w:val="2E4111DC"/>
    <w:rsid w:val="2E447583"/>
    <w:rsid w:val="2E4B4467"/>
    <w:rsid w:val="2E5520B9"/>
    <w:rsid w:val="2E58022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5351F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D44917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54B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AD5BAB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B6CD8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943B7F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9D0869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054F8"/>
    <w:rsid w:val="47123940"/>
    <w:rsid w:val="471B395B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8241D3"/>
    <w:rsid w:val="48915636"/>
    <w:rsid w:val="48985F31"/>
    <w:rsid w:val="48A46E47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24C63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125C2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67D85"/>
    <w:rsid w:val="4E4E7E80"/>
    <w:rsid w:val="4E534A5B"/>
    <w:rsid w:val="4E5C5562"/>
    <w:rsid w:val="4E5F22C6"/>
    <w:rsid w:val="4E5F69A8"/>
    <w:rsid w:val="4E655726"/>
    <w:rsid w:val="4E716700"/>
    <w:rsid w:val="4E726A98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001F4"/>
    <w:rsid w:val="4ED33DCB"/>
    <w:rsid w:val="4EDE5EDB"/>
    <w:rsid w:val="4EE34782"/>
    <w:rsid w:val="4EE63F4F"/>
    <w:rsid w:val="4F007E65"/>
    <w:rsid w:val="4F0A1AF8"/>
    <w:rsid w:val="4F0C71D9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94671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D7058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7D7C2E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A56D2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1E5A0F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53372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5F2752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515C9"/>
    <w:rsid w:val="60D96580"/>
    <w:rsid w:val="60DD4245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375D1C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91CD7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53C1A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30DDA"/>
    <w:rsid w:val="650B22E3"/>
    <w:rsid w:val="650E3520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4E5969"/>
    <w:rsid w:val="67516A42"/>
    <w:rsid w:val="67594618"/>
    <w:rsid w:val="675B3954"/>
    <w:rsid w:val="675C3383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6E6382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0851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A6BF8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DE05374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A10F7"/>
    <w:rsid w:val="742D098E"/>
    <w:rsid w:val="742D6CA9"/>
    <w:rsid w:val="742E58A2"/>
    <w:rsid w:val="742F147C"/>
    <w:rsid w:val="74525628"/>
    <w:rsid w:val="74562CF1"/>
    <w:rsid w:val="745F06BF"/>
    <w:rsid w:val="74666940"/>
    <w:rsid w:val="746C713B"/>
    <w:rsid w:val="746E36DA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9531A8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477EF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4A4001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2B3E1B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06159E"/>
    <w:rsid w:val="7F1568D7"/>
    <w:rsid w:val="7F274003"/>
    <w:rsid w:val="7F2E0D24"/>
    <w:rsid w:val="7F312E91"/>
    <w:rsid w:val="7F33645C"/>
    <w:rsid w:val="7F370B28"/>
    <w:rsid w:val="7F4B10D0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4666</Words>
  <Characters>5141</Characters>
  <Lines>0</Lines>
  <Paragraphs>0</Paragraphs>
  <TotalTime>144</TotalTime>
  <ScaleCrop>false</ScaleCrop>
  <LinksUpToDate>false</LinksUpToDate>
  <CharactersWithSpaces>5468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2026-08-30T18:43:49Z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B1A2CE2D1E414DD89CDBD18957333BAC_13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