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C8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4"/>
          <w:sz w:val="31"/>
          <w:szCs w:val="31"/>
          <w:highlight w:val="none"/>
          <w:lang w:val="en-US" w:eastAsia="zh-CN"/>
        </w:rPr>
        <w:t xml:space="preserve"> </w:t>
      </w:r>
    </w:p>
    <w:p w14:paraId="4EEE7141">
      <w:pPr>
        <w:pStyle w:val="1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24C88AA7">
      <w:pPr>
        <w:pStyle w:val="1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119F321D">
      <w:pPr>
        <w:pStyle w:val="12"/>
        <w:rPr>
          <w:rFonts w:hint="default"/>
          <w:color w:val="auto"/>
          <w:highlight w:val="none"/>
          <w:lang w:val="en-US" w:eastAsia="zh-CN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年度岳阳市岳阳楼区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东升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小学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部门(单位)名称：岳阳市岳阳楼区东升小学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2025年07月08日</w:t>
      </w:r>
    </w:p>
    <w:p w14:paraId="5C39BC5F">
      <w:pPr>
        <w:pStyle w:val="12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3CEF1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岳阳市岳阳楼区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东升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小学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单位</w:t>
      </w: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</w:rPr>
        <w:t>绩效自评报告</w:t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229CAE8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职能职责</w:t>
      </w:r>
    </w:p>
    <w:p w14:paraId="556502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1、宣传贯彻执行党和国家的教育方针、政策、法律法规等，坚持依法治教、依法治学，贯彻执行岳阳楼区教育局的行政规章制度。</w:t>
      </w:r>
    </w:p>
    <w:p w14:paraId="79D109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2、维护学校的教学秩序，为学生创造良好的学习环境。</w:t>
      </w:r>
    </w:p>
    <w:p w14:paraId="5F27BD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3、积极稳妥地推进教育改革，按教育规律办事，不断提高教育质量。</w:t>
      </w:r>
    </w:p>
    <w:p w14:paraId="52DB39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4、根据学校规模，设置学校管理机构，建立健全各项规章制度和岗位责任制。</w:t>
      </w:r>
    </w:p>
    <w:p w14:paraId="508D00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5、坚持教书育人，服务育人，环境育人方针，加强对学生的思想品德教育，使学生的德智体全面发展。</w:t>
      </w:r>
    </w:p>
    <w:p w14:paraId="1CA49D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6、抓好教师队伍建设，使每个教师都热心于教育事业。</w:t>
      </w:r>
    </w:p>
    <w:p w14:paraId="5984B4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7、做好安全防范，保证学生的人身安全。</w:t>
      </w:r>
    </w:p>
    <w:p w14:paraId="107A47A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0F4B3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我单位性质为全额拨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款的事业单位，隶属于岳阳市岳阳楼区教育局，本单位内设机构包括：校务办、教研室、德育办、后勤保卫办。根据编办核定，我校共有教职工296人，其中：在职编制254人；离退休42人。年末学生人数5284人。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（三）年度工作内容</w:t>
      </w:r>
    </w:p>
    <w:p w14:paraId="7486E1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zh-CN" w:eastAsia="zh-CN" w:bidi="ar-SA"/>
        </w:rPr>
        <w:t>1、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以人为本，不断深化队伍建设内涵。学校始终坚持以党建为引领，全面落实思想政治建设要求，严格执行“三重一大”决策制度，积极推进清廉学校建设。学校通过校务扩大会科学研讨，教师大会民主决策，修订了《年度积分办法》《班级管理津贴发放方案》《校园安全管理细则》等制度，修订后的制度更具科学性和激励性，学校在实施职称晋升、评优评先、班级管理等过程中有据可依、公平公正。</w:t>
      </w:r>
    </w:p>
    <w:p w14:paraId="4F2DA1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2、多措并举，全力筑牢自主能力根基。成功召开了东升教育集团第四次少代会，积极回应学生提案88条，充分发挥了学生主人翁意识。邀请专家成功举办了《爱孩子，从懂孩子开始》《如何帮助孩子管理情绪》《赋能式教育——如何与青春前期的孩子相处》等三期周末家长课堂，帮助家长化解家庭教育困惑，明确教育方向，起到了重要指导作用。</w:t>
      </w:r>
    </w:p>
    <w:p w14:paraId="021E32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3、优质高效，持续夯实“双减”教育成果。学校始终坚持把健康优质的教学质量摆在教育发展之首，始终追求综合的质量、全面的质量、健康的质量。全年共召开了10次处室工作讲评会，2次期中“双减”质量讲评大会，大家直面困难和问题，共商对策和方案，共同提升健康高效的教育质量。全面巩固“双减”成效。学校坚持把“常规做到极致就是质量”这一理念贯穿教学管理中。重视课堂巡查力度，不断优化作业设计，实施学生“分层作业”制度，确保在作业的“质”与“量”上，精准落实，细致管理。对教师的备、教、批、辅等工作提出了明确要求，坚持每月专题检查与随机抽查相结合，及时反馈情况，提出整改意见，真正达到了“以检查促规范，以规范促提升”的效果。</w:t>
      </w:r>
    </w:p>
    <w:p w14:paraId="69572D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四、持之以恒，全力打造平安优质校园。学校积极协调校、家、社三方力量，组成了由值日行政，党、团、队志愿者、家长志愿者、民警、交警、城管、市场监管、安保等人员联合参与的强大护学阵容，为学生上下学安全出行及健康成长保驾护航。</w:t>
      </w:r>
    </w:p>
    <w:p w14:paraId="488C3DD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2" w:firstLineChars="200"/>
        <w:jc w:val="both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38DED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4064.75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6CA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3624.19万元：包括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913.20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12.13万元；奖金561.08万元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绩效工资909.78万元；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503.62万元；职业年金缴费57.17万元；职工基本医疗保险缴费181.24万元；其他社会保障缴费31.31万元；住房公积金291.40万元；其他工资福利支出56.91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抚恤金6.31万元；生活补助100.04万元。 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440.56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办公费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7.64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万元；印刷费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11.85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17.98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19.70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邮电费2.01万元；物业管理费38万元；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48.26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会议费8.25万元；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培训费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15.53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专用材料费40.45万元；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劳务费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17.42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工会经费14.22万元；福利费116.90万元；其他交通费用0.18万元；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其他商品和服务支出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1.35万元；办公设备购置80.82万元。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479.58万元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6782FCD7">
      <w:pPr>
        <w:pStyle w:val="12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07A6E5CD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2024年，学校在区委区政府、局党委的坚强领导下，坚持以新时代先进教育思想为指导，坚定不移全面贯彻教育方针，遵循教育规律办学，遵循孩子成长规律办学，全面落实《东升小学2024年自主发展目标》，高效能推动学校高质量发展。现将学校本年度具体工作汇报如下：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4E371FAB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1、数量指标</w:t>
      </w:r>
    </w:p>
    <w:p w14:paraId="25D3A6C7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我校共有教职工296人，其中：在职编制254人；离退休42人。年末学生人数5284人。</w:t>
      </w:r>
    </w:p>
    <w:p w14:paraId="7DC9BD55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学校不断拓展学习渠道，全年累计派出260余人参加了市、区各项培训学习活动，教师专业能力和综合素养大幅度提升。</w:t>
      </w:r>
    </w:p>
    <w:p w14:paraId="24C451D8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3）开展了以“扣好人生第一粒扣子”“红领巾爱学习”、“爱绿、护绿、植绿”“二十四节气知多少之立夏”“铸魂2024.祭英烈”等一系列具有重要教育意义的主题实践活动。让孩子们开阔了视野，更促进了孩子们正确价值观的形成。本学期，182中队、198中队、177中队、179中队、180中队、181中队积极组织孩子们走进银行、造纸厂、医院、消防大队、军工企业等场所，开展社会实践活动。多元、融通、互动的育人网络，助力东升学子强健成长。2024年，学校被授予岳阳楼区“家校社协同育人示范基地学校”。</w:t>
      </w:r>
    </w:p>
    <w:p w14:paraId="1B8B28E2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2、质量指标</w:t>
      </w:r>
    </w:p>
    <w:p w14:paraId="6B691E5B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）学校应家长要求，邀请专家成功举办了《爱孩子，从懂孩子开始》《如何帮助孩子管理情绪》《赋能式教育——如何与青春前期的孩子相处》三期周末家长课堂，帮助家长化解家庭教育困惑，明确教育方向，起到了重要指导作用。另外，家长课堂还邀请各行精英家长来校授课20堂，授课内容涉及到法律、健康、环保、防欺诈等知识，为孩子们的健康成长开辟了新途径。</w:t>
      </w:r>
    </w:p>
    <w:p w14:paraId="11FF0938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2)构建了以家长和学生需求为主导，独具特色的“1+x”课后服务模式。开设了古筝、科幻画、健美操、航天科学、艺术体操、电脑绘画、足球、羽毛球、田径、篮球、花样跳绳、街舞等19项不同类型的多元化课程，学生综合素养得到全面提升。学校成功举办了第十七届科技节、第二届校园艺术节、第十六届“畅想杯”学生全员运动会、第二届“启航杯”足球联赛等校园重大赛事活动。2024年我校在各级艺体赛事上收获颇丰，分别斩获了“2024年岳阳市中小学运动会围棋比赛甲组第一名、乙组第一名”“2024年岳阳市中小学运动会跆拳道比赛乙组第二名”“岳阳楼区中小学啦啦操比赛一等奖”“岳阳楼区第七届中小学生足球联赛第二名”的好成绩。</w:t>
      </w:r>
    </w:p>
    <w:p w14:paraId="0E231D18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3）学校实现了校园公共区域监控摄像头网络全覆盖，有效杜绝了校园安全责任事故的发生。本年度，我校积极发挥校外法治副校长及家长课堂功能。组织专业力量，向学生讲授了防电信诈骗、防性侵、防欺凌、防交通事故、防溺水等安全防护知识，师生安全防范意识和防范能力不断提升。</w:t>
      </w:r>
    </w:p>
    <w:p w14:paraId="5059CE44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4）学校积极争取上级防涝整改项目，用于学校排水沟的清理与整改，彻底解决排水不畅、网络不稳定与用电安全隐患。先后投入专项资金40万元将教学楼屋顶进行防水处理；自筹资金53万元，更换了教室破旧课桌椅800套、教师办公桌椅90套、班班通设备8套、更换了餐桌80套、104个班级安装了窗帘。全心全意服务师生，校园处处彰显温馨与和谐。</w:t>
      </w:r>
    </w:p>
    <w:p w14:paraId="37EBF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765D4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春、秋两季教育教学计划按时完成。</w:t>
      </w:r>
    </w:p>
    <w:p w14:paraId="20CF4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6E9DC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严格控制“三公”经费列支，做到“三公”经费支出0万元；全年教育投入经费5567.35万元。</w:t>
      </w:r>
    </w:p>
    <w:p w14:paraId="4822F5F1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604488A4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1、经济效益</w:t>
      </w:r>
    </w:p>
    <w:p w14:paraId="54F17C8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</w:t>
      </w:r>
    </w:p>
    <w:p w14:paraId="59E786F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6143E292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年度，我校以专题讲座、好书推荐、家长访谈、读书分享、亲子课堂、家长沙龙等教育交流形式，共组织家长开展了18次“智慧父母成长营”线下活动，李寻老师为每期活动制作了视频号。家长与家长，家长与老师，家长与孩子们面对面交流，探讨、分享经验，大大提高了家长们的育儿水平，提升了孩子们的幸福指数。2024年，我校共有1名学生荣获市级“优秀少先队员”称号；2名学生荣获市级“三好学生”称号；8名学生荣获市级“红领巾奖章”三星章称号；34名学生荣获区级“三好学生”称号、17名学生荣获区级“优秀学生干部”称号。</w:t>
      </w:r>
    </w:p>
    <w:p w14:paraId="3958AF7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7A9E5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23DA3D6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5DC99327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1）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在思想政治建设上持续发力，永葆新动力。先后组织150多人参观了岳阳楼区廉政警示教育基地、湖南省爱国主义教育基地华容何长工纪念馆，邀请了罗湘君、周艳等专家来校开展师德师风专题讲座。组织全体教师先后签订了《师德师风承诺书》，观看了“岳阳楼区师德师风警示教育片”，认真贯彻了《开展群众身边不正之风和腐败问题集中整治工作方案》等文件精神。在平安护学、质量提升、特色创新、集团办学等重点工作上，全体教师凝心聚力、知行合一，全心全意服务于学校、服务于教育。</w:t>
      </w:r>
    </w:p>
    <w:p w14:paraId="18044802">
      <w:pPr>
        <w:pStyle w:val="4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）学校积极发挥班主任导师团队引领作用，创新辅导员考核评价机制，开展了最美班级评选活动，以师生艺术沟通、关爱特殊学生、突发事件处理、文明礼仪习惯养成教育等日常工作难点为主题，集中或分年级召开了德育工作专题会，大家针对典型“案例”，谈困惑、解疑难、分享经验共成长，有效提升了班主任管理水平。2024年，我校170、187、198、199、218五个中队荣获了区级“红领巾奖章”二星章集体；199中队荣获了市级“红领巾奖章”三星章集体。</w:t>
      </w:r>
    </w:p>
    <w:p w14:paraId="0CD9B591">
      <w:pPr>
        <w:pStyle w:val="5"/>
        <w:ind w:left="0" w:leftChars="0" w:firstLine="600" w:firstLineChars="200"/>
        <w:rPr>
          <w:rFonts w:hint="default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3）学校始终坚持把健康优质的教学质量摆在教育发展之首，始终追求综合的质量、全面的质量、健康的质量。为积极拓展教师成长空间，学校新增了音乐、体育、美术3个名师工作室，成立了悦览读书社等6大读书社，通过教师之间捆绑式发展，教师业务能力和学科素养快速提升。各学科组、工作室聚焦“双减”，努力向课堂40分钟要质量。全年，共授出85堂先行课、68堂“青蓝杯”竞赛课。朱蕾老师在市“金鹗杯”教学竞赛中荣获第一名；廖琳俐老师在市思政基本功竞赛中荣获第一名</w:t>
      </w:r>
    </w:p>
    <w:p w14:paraId="7ABA8D4B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4）学校先后荣获“全国国防教育示范校”“全国青少年校园足球特色学校”“2024年湖南省学校家庭社会协同育人典型案例”“岳阳楼区教育教学质量先进单位”等国家、省、市区级荣誉20余项，湖南卫视和湖南教育新闻分别对我校心育课教育经验、学生思想主题教育、校园安全工作进行了宣传报道。</w:t>
      </w:r>
    </w:p>
    <w:p w14:paraId="6F7703A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259AA4E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学生对学校管理满意度100%，家长对学校管理满意度100%。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3E5CA2A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绩效管理水平有待提高，特别是绩效指标设置的科学性、合理性有待进一步改善。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6881E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加强绩效管理，提高绩效管理水平，建立预算绩效管理协同联动机制。为加快构建全方位、全过程、全覆盖预算绩效管理体系，节约资源，减少重复检查，提高工作效率，压实预算绩效管理主体责任，进一步规范财政管理，提高财政资金管理效益。</w:t>
      </w:r>
    </w:p>
    <w:p w14:paraId="0BBA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2B893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根据部门整体支出绩效评价指标体系，东升小学在2024年度取得了较好的评价结果。学校将绩效自评结果作为本部门、本单位完善政策和改进管理的重要依据。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0C0E1D15">
      <w:pPr>
        <w:pStyle w:val="12"/>
        <w:rPr>
          <w:rFonts w:ascii="Arial"/>
          <w:color w:val="auto"/>
          <w:sz w:val="21"/>
          <w:highlight w:val="none"/>
        </w:rPr>
      </w:pPr>
    </w:p>
    <w:p w14:paraId="6E375B4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color w:val="auto"/>
          <w:highlight w:val="none"/>
        </w:rPr>
      </w:pPr>
      <w:r>
        <w:rPr>
          <w:color w:val="auto"/>
          <w:spacing w:val="6"/>
          <w:highlight w:val="none"/>
        </w:rPr>
        <w:t>附件：</w:t>
      </w:r>
      <w:r>
        <w:rPr>
          <w:rFonts w:ascii="Times New Roman" w:hAnsi="Times New Roman" w:eastAsia="Times New Roman" w:cs="Times New Roman"/>
          <w:color w:val="auto"/>
          <w:spacing w:val="6"/>
          <w:highlight w:val="none"/>
        </w:rPr>
        <w:t>1</w:t>
      </w:r>
      <w:r>
        <w:rPr>
          <w:color w:val="auto"/>
          <w:spacing w:val="6"/>
          <w:highlight w:val="none"/>
        </w:rPr>
        <w:t>、</w:t>
      </w:r>
      <w:r>
        <w:rPr>
          <w:rFonts w:hint="eastAsia"/>
          <w:color w:val="auto"/>
          <w:spacing w:val="6"/>
          <w:highlight w:val="none"/>
          <w:lang w:eastAsia="zh-CN"/>
        </w:rPr>
        <w:t>单位</w:t>
      </w:r>
      <w:r>
        <w:rPr>
          <w:color w:val="auto"/>
          <w:spacing w:val="6"/>
          <w:highlight w:val="none"/>
        </w:rPr>
        <w:t>整体支出绩效评价基础数据表</w:t>
      </w:r>
    </w:p>
    <w:p w14:paraId="056139FA">
      <w:pPr>
        <w:pStyle w:val="4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color w:val="auto"/>
          <w:spacing w:val="8"/>
          <w:highlight w:val="none"/>
        </w:rPr>
      </w:pPr>
      <w:r>
        <w:rPr>
          <w:rFonts w:hint="eastAsia"/>
          <w:color w:val="auto"/>
          <w:spacing w:val="8"/>
          <w:highlight w:val="none"/>
          <w:lang w:eastAsia="zh-CN"/>
        </w:rPr>
        <w:t>单位</w:t>
      </w:r>
      <w:r>
        <w:rPr>
          <w:color w:val="auto"/>
          <w:spacing w:val="8"/>
          <w:highlight w:val="none"/>
        </w:rPr>
        <w:t>整体支出绩效自评表</w:t>
      </w:r>
    </w:p>
    <w:p w14:paraId="0D1A847D">
      <w:pPr>
        <w:pStyle w:val="5"/>
        <w:numPr>
          <w:ilvl w:val="0"/>
          <w:numId w:val="0"/>
        </w:numPr>
        <w:ind w:firstLine="1098" w:firstLineChars="300"/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3、项目支出绩效自评表</w:t>
      </w:r>
    </w:p>
    <w:p w14:paraId="7E886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41D96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70D07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4A392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25499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F613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D48B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30883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7CD74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3DF0C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191BE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09662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75B23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223B5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46FF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F2E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  <w:t>1</w:t>
      </w:r>
    </w:p>
    <w:p w14:paraId="51559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整体支出绩效评价基础数据表</w:t>
      </w:r>
    </w:p>
    <w:p w14:paraId="0997FD5D">
      <w:pPr>
        <w:spacing w:line="115" w:lineRule="exact"/>
        <w:rPr>
          <w:color w:val="auto"/>
          <w:highlight w:val="none"/>
        </w:rPr>
      </w:pPr>
    </w:p>
    <w:tbl>
      <w:tblPr>
        <w:tblStyle w:val="13"/>
        <w:tblW w:w="10056" w:type="dxa"/>
        <w:tblInd w:w="-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2"/>
        <w:gridCol w:w="1176"/>
        <w:gridCol w:w="948"/>
        <w:gridCol w:w="1176"/>
        <w:gridCol w:w="1056"/>
        <w:gridCol w:w="1056"/>
        <w:gridCol w:w="1152"/>
      </w:tblGrid>
      <w:tr w14:paraId="56D1F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492" w:type="dxa"/>
            <w:tcBorders>
              <w:bottom w:val="nil"/>
            </w:tcBorders>
            <w:noWrap w:val="0"/>
            <w:vAlign w:val="center"/>
          </w:tcPr>
          <w:p w14:paraId="45BCC67D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57F53A04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东升</w:t>
            </w:r>
            <w:r>
              <w:rPr>
                <w:color w:val="auto"/>
                <w:highlight w:val="none"/>
                <w:lang w:val="en-US" w:eastAsia="zh-CN"/>
              </w:rPr>
              <w:t>小学</w:t>
            </w:r>
          </w:p>
        </w:tc>
      </w:tr>
      <w:tr w14:paraId="79838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top"/>
          </w:tcPr>
          <w:p w14:paraId="3FE9A53A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财政供养人员情况(人)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938F347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2"/>
                <w:szCs w:val="22"/>
                <w:highlight w:val="none"/>
              </w:rPr>
              <w:t>编制数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EBA1970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年实际在职人数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48308AC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控制率</w:t>
            </w:r>
          </w:p>
        </w:tc>
      </w:tr>
      <w:tr w14:paraId="4B9C6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5CA4236C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C452F20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254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C082593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254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2D99E31F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00.00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%</w:t>
            </w:r>
          </w:p>
        </w:tc>
      </w:tr>
      <w:tr w14:paraId="4B8D2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492" w:type="dxa"/>
            <w:noWrap w:val="0"/>
            <w:vAlign w:val="top"/>
          </w:tcPr>
          <w:p w14:paraId="6EC6B10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2"/>
                <w:szCs w:val="22"/>
                <w:highlight w:val="none"/>
              </w:rPr>
              <w:t>经费控制情况(万元)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C3BC7B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年决算数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98AB46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年预算数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6AFF4935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年决算数</w:t>
            </w:r>
          </w:p>
        </w:tc>
      </w:tr>
      <w:tr w14:paraId="21657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43EB7443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三公经费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132AC07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13C2666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A125564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545E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3492" w:type="dxa"/>
            <w:noWrap w:val="0"/>
            <w:vAlign w:val="top"/>
          </w:tcPr>
          <w:p w14:paraId="41AA4231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1、公务用车购置和维护经费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275A836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C11B72D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4CA9FC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A873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56CEF58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其中：公车购置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2E14BD4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2C3968C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321713A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8DA2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BA4C11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公车运行维护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7A809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1997CB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000E042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1B06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492" w:type="dxa"/>
            <w:noWrap w:val="0"/>
            <w:vAlign w:val="top"/>
          </w:tcPr>
          <w:p w14:paraId="702F96F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2、出国经费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529ED5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70C0FA2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4CCC2C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E014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33F49EC8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3、公务接待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1550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D53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7CB90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805F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3B3852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2"/>
                <w:szCs w:val="22"/>
                <w:highlight w:val="none"/>
              </w:rPr>
              <w:t>项目支出：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E9D9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70FC83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03799C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897.73</w:t>
            </w:r>
          </w:p>
        </w:tc>
      </w:tr>
      <w:tr w14:paraId="49139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6780C153">
            <w:pPr>
              <w:spacing w:before="133" w:line="200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1、业务工作经费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5DCF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4A5E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46AC5C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897.73</w:t>
            </w:r>
          </w:p>
        </w:tc>
      </w:tr>
      <w:tr w14:paraId="3AC88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076CBB4">
            <w:pPr>
              <w:spacing w:before="143" w:line="209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2、运行维护经费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659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5D8241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43E30D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</w:tr>
      <w:tr w14:paraId="580BD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18516462">
            <w:pPr>
              <w:spacing w:before="93" w:line="219" w:lineRule="auto"/>
              <w:ind w:firstLine="224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级专项资金(一个专项一行)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D659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E9B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1D8F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6CE8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492" w:type="dxa"/>
            <w:noWrap w:val="0"/>
            <w:vAlign w:val="top"/>
          </w:tcPr>
          <w:p w14:paraId="1B7DC5B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公用经费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8E10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566.96</w:t>
            </w: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72DFD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381.09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A70FF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993.51</w:t>
            </w:r>
          </w:p>
        </w:tc>
      </w:tr>
      <w:tr w14:paraId="04D0C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148BACF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其中：办公经费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97F68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16.81</w:t>
            </w: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528583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133.28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E99EF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7.64</w:t>
            </w:r>
          </w:p>
        </w:tc>
      </w:tr>
      <w:tr w14:paraId="0DF45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338579CB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水费、电费、差旅费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5210CC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41.36</w:t>
            </w: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2FB470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F6FA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41.5</w:t>
            </w:r>
          </w:p>
        </w:tc>
      </w:tr>
      <w:tr w14:paraId="3864E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44AE3B1E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会议费、培训费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45C293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43.14</w:t>
            </w: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A631A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E082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35.19</w:t>
            </w:r>
          </w:p>
        </w:tc>
      </w:tr>
      <w:tr w14:paraId="68795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136F59BB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政府采购金额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096C0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D260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285.28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2C45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171.84</w:t>
            </w:r>
          </w:p>
        </w:tc>
      </w:tr>
      <w:tr w14:paraId="61F9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492" w:type="dxa"/>
            <w:noWrap w:val="0"/>
            <w:vAlign w:val="top"/>
          </w:tcPr>
          <w:p w14:paraId="15FA9ACF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部门基本支出预算调整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643546E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A44EC4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6B1D9CF0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828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center"/>
          </w:tcPr>
          <w:p w14:paraId="6ACED326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2"/>
                <w:szCs w:val="22"/>
                <w:highlight w:val="none"/>
              </w:rPr>
              <w:t>楼堂馆所控制情况</w:t>
            </w:r>
          </w:p>
          <w:p w14:paraId="513E81AA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(202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年完工项目)</w:t>
            </w:r>
          </w:p>
        </w:tc>
        <w:tc>
          <w:tcPr>
            <w:tcW w:w="1176" w:type="dxa"/>
            <w:noWrap w:val="0"/>
            <w:vAlign w:val="center"/>
          </w:tcPr>
          <w:p w14:paraId="390B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批复规模</w:t>
            </w:r>
          </w:p>
          <w:p w14:paraId="70FC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(m²)</w:t>
            </w:r>
          </w:p>
        </w:tc>
        <w:tc>
          <w:tcPr>
            <w:tcW w:w="948" w:type="dxa"/>
            <w:noWrap w:val="0"/>
            <w:vAlign w:val="center"/>
          </w:tcPr>
          <w:p w14:paraId="77D9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实际规</w:t>
            </w:r>
          </w:p>
          <w:p w14:paraId="27207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模(m²)</w:t>
            </w:r>
          </w:p>
        </w:tc>
        <w:tc>
          <w:tcPr>
            <w:tcW w:w="1176" w:type="dxa"/>
            <w:noWrap w:val="0"/>
            <w:vAlign w:val="center"/>
          </w:tcPr>
          <w:p w14:paraId="3C708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规模控制率</w:t>
            </w:r>
          </w:p>
        </w:tc>
        <w:tc>
          <w:tcPr>
            <w:tcW w:w="1056" w:type="dxa"/>
            <w:noWrap w:val="0"/>
            <w:vAlign w:val="center"/>
          </w:tcPr>
          <w:p w14:paraId="6045E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预算投资</w:t>
            </w:r>
          </w:p>
          <w:p w14:paraId="1884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056" w:type="dxa"/>
            <w:noWrap w:val="0"/>
            <w:vAlign w:val="center"/>
          </w:tcPr>
          <w:p w14:paraId="5B4D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实际投资</w:t>
            </w:r>
          </w:p>
          <w:p w14:paraId="321BB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152" w:type="dxa"/>
            <w:noWrap w:val="0"/>
            <w:vAlign w:val="center"/>
          </w:tcPr>
          <w:p w14:paraId="3C7C3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投资概算控制率</w:t>
            </w:r>
          </w:p>
        </w:tc>
      </w:tr>
      <w:tr w14:paraId="5B499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40EDBEB9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AC6A555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948" w:type="dxa"/>
            <w:noWrap w:val="0"/>
            <w:vAlign w:val="top"/>
          </w:tcPr>
          <w:p w14:paraId="60CA6F13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6E96991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7FBA0042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62A2C4EB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2" w:type="dxa"/>
            <w:noWrap w:val="0"/>
            <w:vAlign w:val="top"/>
          </w:tcPr>
          <w:p w14:paraId="562F4406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D14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7D16B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厉行节约保障措施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6A5C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</w:tbl>
    <w:p w14:paraId="37934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翁治国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15107302670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40DCE067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11CA1838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4B87299D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0CA79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年度预算单位整体支出绩效自评表</w:t>
      </w:r>
    </w:p>
    <w:p w14:paraId="42B8247D">
      <w:pPr>
        <w:spacing w:line="132" w:lineRule="exact"/>
        <w:rPr>
          <w:color w:val="auto"/>
          <w:highlight w:val="none"/>
        </w:rPr>
      </w:pPr>
    </w:p>
    <w:tbl>
      <w:tblPr>
        <w:tblStyle w:val="13"/>
        <w:tblW w:w="10044" w:type="dxa"/>
        <w:tblInd w:w="-7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104"/>
        <w:gridCol w:w="984"/>
        <w:gridCol w:w="1503"/>
        <w:gridCol w:w="1280"/>
        <w:gridCol w:w="1297"/>
        <w:gridCol w:w="576"/>
        <w:gridCol w:w="960"/>
        <w:gridCol w:w="1236"/>
      </w:tblGrid>
      <w:tr w14:paraId="657E0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2" w:type="dxa"/>
            <w:gridSpan w:val="3"/>
            <w:noWrap w:val="0"/>
            <w:vAlign w:val="top"/>
          </w:tcPr>
          <w:p w14:paraId="28264778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预算单位名称</w:t>
            </w:r>
          </w:p>
        </w:tc>
        <w:tc>
          <w:tcPr>
            <w:tcW w:w="6852" w:type="dxa"/>
            <w:gridSpan w:val="6"/>
            <w:noWrap w:val="0"/>
            <w:vAlign w:val="top"/>
          </w:tcPr>
          <w:p w14:paraId="5E7A7338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岳阳市岳阳楼区东升小学</w:t>
            </w:r>
          </w:p>
        </w:tc>
      </w:tr>
      <w:tr w14:paraId="1BAEB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4F160C00">
            <w:pPr>
              <w:pStyle w:val="14"/>
              <w:spacing w:line="467" w:lineRule="auto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  <w:p w14:paraId="7BEB4C8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年度预</w:t>
            </w:r>
          </w:p>
          <w:p w14:paraId="4263F0A2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算申请</w:t>
            </w:r>
          </w:p>
          <w:p w14:paraId="59761C50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088" w:type="dxa"/>
            <w:gridSpan w:val="2"/>
            <w:noWrap w:val="0"/>
            <w:vAlign w:val="top"/>
          </w:tcPr>
          <w:p w14:paraId="6E840D10">
            <w:pPr>
              <w:pStyle w:val="14"/>
              <w:spacing w:line="235" w:lineRule="exac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noWrap w:val="0"/>
            <w:vAlign w:val="top"/>
          </w:tcPr>
          <w:p w14:paraId="0530E3B2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年初预算数</w:t>
            </w:r>
          </w:p>
        </w:tc>
        <w:tc>
          <w:tcPr>
            <w:tcW w:w="1280" w:type="dxa"/>
            <w:noWrap w:val="0"/>
            <w:vAlign w:val="top"/>
          </w:tcPr>
          <w:p w14:paraId="224AB50B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全年预算数</w:t>
            </w:r>
          </w:p>
        </w:tc>
        <w:tc>
          <w:tcPr>
            <w:tcW w:w="1297" w:type="dxa"/>
            <w:noWrap w:val="0"/>
            <w:vAlign w:val="top"/>
          </w:tcPr>
          <w:p w14:paraId="08D984BB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全年执行数</w:t>
            </w:r>
          </w:p>
        </w:tc>
        <w:tc>
          <w:tcPr>
            <w:tcW w:w="576" w:type="dxa"/>
            <w:noWrap w:val="0"/>
            <w:vAlign w:val="top"/>
          </w:tcPr>
          <w:p w14:paraId="2A3307F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BDBB7B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执行率</w:t>
            </w:r>
          </w:p>
        </w:tc>
        <w:tc>
          <w:tcPr>
            <w:tcW w:w="1236" w:type="dxa"/>
            <w:noWrap w:val="0"/>
            <w:vAlign w:val="top"/>
          </w:tcPr>
          <w:p w14:paraId="51F82A35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highlight w:val="none"/>
              </w:rPr>
              <w:t>自评得分</w:t>
            </w:r>
          </w:p>
        </w:tc>
      </w:tr>
      <w:tr w14:paraId="63A97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F260E0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0D8078A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年度资金总额</w:t>
            </w:r>
          </w:p>
        </w:tc>
        <w:tc>
          <w:tcPr>
            <w:tcW w:w="1503" w:type="dxa"/>
            <w:noWrap w:val="0"/>
            <w:vAlign w:val="top"/>
          </w:tcPr>
          <w:p w14:paraId="4EBABD17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4145.14</w:t>
            </w:r>
          </w:p>
        </w:tc>
        <w:tc>
          <w:tcPr>
            <w:tcW w:w="1280" w:type="dxa"/>
            <w:noWrap w:val="0"/>
            <w:vAlign w:val="top"/>
          </w:tcPr>
          <w:p w14:paraId="1894813E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5577.35</w:t>
            </w:r>
          </w:p>
        </w:tc>
        <w:tc>
          <w:tcPr>
            <w:tcW w:w="1297" w:type="dxa"/>
            <w:noWrap w:val="0"/>
            <w:vAlign w:val="top"/>
          </w:tcPr>
          <w:p w14:paraId="19B4ED86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5567.35</w:t>
            </w:r>
          </w:p>
        </w:tc>
        <w:tc>
          <w:tcPr>
            <w:tcW w:w="576" w:type="dxa"/>
            <w:noWrap w:val="0"/>
            <w:vAlign w:val="top"/>
          </w:tcPr>
          <w:p w14:paraId="04A0CDE1">
            <w:pPr>
              <w:pStyle w:val="14"/>
              <w:spacing w:before="54" w:line="194" w:lineRule="auto"/>
              <w:ind w:left="270" w:leftChars="0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21874FA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99.82%</w:t>
            </w:r>
          </w:p>
        </w:tc>
        <w:tc>
          <w:tcPr>
            <w:tcW w:w="1236" w:type="dxa"/>
            <w:noWrap w:val="0"/>
            <w:vAlign w:val="top"/>
          </w:tcPr>
          <w:p w14:paraId="7B2EF9F0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9.98</w:t>
            </w:r>
          </w:p>
        </w:tc>
      </w:tr>
      <w:tr w14:paraId="1C77E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F0E417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7713468A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cs="宋体" w:eastAsiaTheme="minorEastAsia"/>
                <w:color w:val="auto"/>
                <w:spacing w:val="8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按收入性质分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  <w:lang w:eastAsia="zh-CN"/>
              </w:rPr>
              <w:t>：</w:t>
            </w:r>
          </w:p>
        </w:tc>
        <w:tc>
          <w:tcPr>
            <w:tcW w:w="4069" w:type="dxa"/>
            <w:gridSpan w:val="4"/>
            <w:noWrap w:val="0"/>
            <w:vAlign w:val="center"/>
          </w:tcPr>
          <w:p w14:paraId="66BAB49E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按支出性质分：</w:t>
            </w:r>
          </w:p>
        </w:tc>
      </w:tr>
      <w:tr w14:paraId="13E1B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C3EDA7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24DD533E">
            <w:pPr>
              <w:spacing w:before="21" w:line="207" w:lineRule="auto"/>
              <w:ind w:left="3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4544.33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41245705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4669.62</w:t>
            </w:r>
          </w:p>
        </w:tc>
      </w:tr>
      <w:tr w14:paraId="2A8D7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BE6DC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6A066E16">
            <w:pPr>
              <w:spacing w:before="21" w:line="207" w:lineRule="auto"/>
              <w:ind w:left="916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19FA3FE7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897.73</w:t>
            </w:r>
          </w:p>
        </w:tc>
      </w:tr>
      <w:tr w14:paraId="2883E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2CCB33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103DEC4D">
            <w:pPr>
              <w:spacing w:before="20" w:line="208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36CFBBEE">
            <w:pPr>
              <w:pStyle w:val="14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4207B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1B48DDD1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5A62EA7F">
            <w:pPr>
              <w:spacing w:before="20" w:line="208" w:lineRule="auto"/>
              <w:ind w:left="15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1023.02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4C4263E1">
            <w:pPr>
              <w:pStyle w:val="14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6CA2F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416FCA4">
            <w:pPr>
              <w:pStyle w:val="14"/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E8D6CE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1106A4E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47473AE8">
            <w:pPr>
              <w:spacing w:before="62" w:line="230" w:lineRule="auto"/>
              <w:ind w:left="358" w:leftChars="85" w:right="139" w:hanging="180" w:hangingChars="10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871" w:type="dxa"/>
            <w:gridSpan w:val="4"/>
            <w:noWrap w:val="0"/>
            <w:vAlign w:val="top"/>
          </w:tcPr>
          <w:p w14:paraId="74FDF984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预期目标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7F2F087A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实际完成情况</w:t>
            </w:r>
          </w:p>
        </w:tc>
      </w:tr>
      <w:tr w14:paraId="5D019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3867DF83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7A1FA6F2">
            <w:pPr>
              <w:pStyle w:val="14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1、从严治党，夯实基层党建工作。</w:t>
            </w:r>
          </w:p>
          <w:p w14:paraId="4BA7D6D3">
            <w:pPr>
              <w:pStyle w:val="14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2、抓好教学教育工作，开展各项教研活动，狠抓教师队伍建设，不断提高教育质量。</w:t>
            </w:r>
          </w:p>
          <w:p w14:paraId="6429A2A9">
            <w:pPr>
              <w:pStyle w:val="14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3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、加强对学生的思想品德教育，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落实“双减”，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使学生的德智体全面发展。</w:t>
            </w:r>
          </w:p>
          <w:p w14:paraId="2C7C93DD">
            <w:pPr>
              <w:pStyle w:val="14"/>
              <w:jc w:val="both"/>
              <w:rPr>
                <w:rFonts w:hint="default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4、做好后勤保障工作，加强学校安全教育，全方位保障校园安全。</w:t>
            </w:r>
          </w:p>
          <w:p w14:paraId="67CC86C6">
            <w:pPr>
              <w:pStyle w:val="14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5、完成上级部门交给的其他工作，按时完成上级部门交给的创文创卫工作和其他工作。</w:t>
            </w:r>
          </w:p>
          <w:p w14:paraId="2AD6AD55">
            <w:pPr>
              <w:jc w:val="lef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069" w:type="dxa"/>
            <w:gridSpan w:val="4"/>
            <w:noWrap w:val="0"/>
            <w:vAlign w:val="center"/>
          </w:tcPr>
          <w:p w14:paraId="6E4A5A61">
            <w:pPr>
              <w:pStyle w:val="14"/>
              <w:numPr>
                <w:ilvl w:val="0"/>
                <w:numId w:val="8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坚持以党建为引领，全面落实思想政治建设。严格执行“三重一大”决策制度，积极推进清廉学校建设。</w:t>
            </w:r>
          </w:p>
          <w:p w14:paraId="6FFB9E63">
            <w:pPr>
              <w:pStyle w:val="14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拓展思维，安排教师参加市、区各项培训学习活动，全年共召开了10次处室工作讲评会，2次期中“双减”质量讲评大会，大家直面困难和问题，共商对策和方案，共同提升健康高效的教育质量。</w:t>
            </w:r>
          </w:p>
          <w:p w14:paraId="335FF598">
            <w:pPr>
              <w:pStyle w:val="14"/>
              <w:numPr>
                <w:ilvl w:val="0"/>
                <w:numId w:val="8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全面巩固“双减”成效。学校坚持“把常规做到极致就是质量”这一理念贯穿教学管理中。重视课堂巡查力度，不断优化作业设计，实施学生“分层作业”制度，确保在作业的“质”与“量”上，精准落实，细致管理。积极开展了“爱绿、护绿、植绿”“二十四节气知多少之立夏”“铸魂2024.祭英烈”等一系列具有重要教育意义的主题实践活动。师生与家长共同参与，共同组织，教育效果显著。</w:t>
            </w:r>
          </w:p>
          <w:p w14:paraId="3728C6BA">
            <w:pPr>
              <w:pStyle w:val="14"/>
              <w:numPr>
                <w:ilvl w:val="0"/>
                <w:numId w:val="8"/>
              </w:numPr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学校实现了校园公共区域监控摄像头网络全覆盖，有效杜绝了校园安全责任事故的发生。彻底解决学校排水不畅、网络不稳定与用电安全隐患。</w:t>
            </w:r>
          </w:p>
          <w:p w14:paraId="1634DF12">
            <w:pPr>
              <w:pStyle w:val="14"/>
              <w:numPr>
                <w:ilvl w:val="0"/>
                <w:numId w:val="8"/>
              </w:numPr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学校先后荣获“全国国防教育示范校”“全国青少年校园足球特色学校”“2024年湖南省学校家庭社会协同育人典型案例”“岳阳楼区教育教学质量先进单位”等国家、省、市区级荣誉20余项，湖南卫视和湖南教育新闻分别对我校心育课教育经验、学生思想主题教育、校园安全工作进行了宣传报道。</w:t>
            </w:r>
          </w:p>
        </w:tc>
      </w:tr>
      <w:tr w14:paraId="4BD25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C66D01A">
            <w:pPr>
              <w:pStyle w:val="14"/>
              <w:spacing w:line="36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9A558A1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8"/>
                <w:szCs w:val="18"/>
                <w:highlight w:val="none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58D7AC43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一级指标</w:t>
            </w:r>
          </w:p>
        </w:tc>
        <w:tc>
          <w:tcPr>
            <w:tcW w:w="984" w:type="dxa"/>
            <w:noWrap w:val="0"/>
            <w:vAlign w:val="top"/>
          </w:tcPr>
          <w:p w14:paraId="1F6FE74D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二级指标</w:t>
            </w:r>
          </w:p>
        </w:tc>
        <w:tc>
          <w:tcPr>
            <w:tcW w:w="1503" w:type="dxa"/>
            <w:noWrap w:val="0"/>
            <w:vAlign w:val="top"/>
          </w:tcPr>
          <w:p w14:paraId="05BA5B1A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三级指标</w:t>
            </w:r>
          </w:p>
        </w:tc>
        <w:tc>
          <w:tcPr>
            <w:tcW w:w="1280" w:type="dxa"/>
            <w:noWrap w:val="0"/>
            <w:vAlign w:val="top"/>
          </w:tcPr>
          <w:p w14:paraId="59A0CC63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年度指标值</w:t>
            </w:r>
          </w:p>
        </w:tc>
        <w:tc>
          <w:tcPr>
            <w:tcW w:w="1297" w:type="dxa"/>
            <w:noWrap w:val="0"/>
            <w:vAlign w:val="top"/>
          </w:tcPr>
          <w:p w14:paraId="3126860F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实际完成值</w:t>
            </w:r>
          </w:p>
        </w:tc>
        <w:tc>
          <w:tcPr>
            <w:tcW w:w="576" w:type="dxa"/>
            <w:noWrap w:val="0"/>
            <w:vAlign w:val="top"/>
          </w:tcPr>
          <w:p w14:paraId="763AF742">
            <w:pPr>
              <w:spacing w:before="141" w:line="227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C1004EB">
            <w:pPr>
              <w:spacing w:before="174" w:line="21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  <w:lang w:val="en-US" w:eastAsia="zh-CN"/>
              </w:rPr>
              <w:t>自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评得分</w:t>
            </w:r>
          </w:p>
        </w:tc>
        <w:tc>
          <w:tcPr>
            <w:tcW w:w="1236" w:type="dxa"/>
            <w:noWrap w:val="0"/>
            <w:vAlign w:val="top"/>
          </w:tcPr>
          <w:p w14:paraId="5BA04D2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8"/>
                <w:szCs w:val="18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及改进措施</w:t>
            </w:r>
          </w:p>
        </w:tc>
      </w:tr>
      <w:tr w14:paraId="513C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D6028A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2B3844C">
            <w:pPr>
              <w:pStyle w:val="14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2B18029A">
            <w:pPr>
              <w:pStyle w:val="14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13842F4">
            <w:pPr>
              <w:pStyle w:val="14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6AD5ED7A">
            <w:pPr>
              <w:pStyle w:val="14"/>
              <w:spacing w:line="273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D8E87ED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8"/>
                <w:szCs w:val="18"/>
                <w:highlight w:val="none"/>
              </w:rPr>
              <w:t>产出指标</w:t>
            </w:r>
          </w:p>
          <w:p w14:paraId="498DB6FF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分)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center"/>
          </w:tcPr>
          <w:p w14:paraId="72596CD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数量指标</w:t>
            </w:r>
          </w:p>
        </w:tc>
        <w:tc>
          <w:tcPr>
            <w:tcW w:w="1503" w:type="dxa"/>
            <w:tcBorders>
              <w:bottom w:val="single" w:color="000000" w:sz="2" w:space="0"/>
            </w:tcBorders>
            <w:noWrap w:val="0"/>
            <w:vAlign w:val="center"/>
          </w:tcPr>
          <w:p w14:paraId="4F09808E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小学</w:t>
            </w: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义务教育在校生</w:t>
            </w:r>
          </w:p>
        </w:tc>
        <w:tc>
          <w:tcPr>
            <w:tcW w:w="1280" w:type="dxa"/>
            <w:noWrap w:val="0"/>
            <w:vAlign w:val="center"/>
          </w:tcPr>
          <w:p w14:paraId="3273D77A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5250人</w:t>
            </w:r>
          </w:p>
        </w:tc>
        <w:tc>
          <w:tcPr>
            <w:tcW w:w="1297" w:type="dxa"/>
            <w:noWrap w:val="0"/>
            <w:vAlign w:val="center"/>
          </w:tcPr>
          <w:p w14:paraId="5BB18058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5284人</w:t>
            </w:r>
          </w:p>
        </w:tc>
        <w:tc>
          <w:tcPr>
            <w:tcW w:w="576" w:type="dxa"/>
            <w:noWrap w:val="0"/>
            <w:vAlign w:val="center"/>
          </w:tcPr>
          <w:p w14:paraId="2866D315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2D7424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4CBD6551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68B9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FC0EC3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1B959F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C3BD444">
            <w:pPr>
              <w:pStyle w:val="14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21CEBF1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280" w:type="dxa"/>
            <w:noWrap w:val="0"/>
            <w:vAlign w:val="center"/>
          </w:tcPr>
          <w:p w14:paraId="69748D75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50人</w:t>
            </w:r>
          </w:p>
        </w:tc>
        <w:tc>
          <w:tcPr>
            <w:tcW w:w="1297" w:type="dxa"/>
            <w:noWrap w:val="0"/>
            <w:vAlign w:val="center"/>
          </w:tcPr>
          <w:p w14:paraId="1A210B27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100人</w:t>
            </w:r>
          </w:p>
        </w:tc>
        <w:tc>
          <w:tcPr>
            <w:tcW w:w="576" w:type="dxa"/>
            <w:noWrap w:val="0"/>
            <w:vAlign w:val="center"/>
          </w:tcPr>
          <w:p w14:paraId="380EBC32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6546825C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1C39A14E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967E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17E520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262726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22D07F5">
            <w:pPr>
              <w:pStyle w:val="14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49310A2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280" w:type="dxa"/>
            <w:noWrap w:val="0"/>
            <w:vAlign w:val="center"/>
          </w:tcPr>
          <w:p w14:paraId="01E65111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250人次</w:t>
            </w:r>
          </w:p>
        </w:tc>
        <w:tc>
          <w:tcPr>
            <w:tcW w:w="1297" w:type="dxa"/>
            <w:noWrap w:val="0"/>
            <w:vAlign w:val="center"/>
          </w:tcPr>
          <w:p w14:paraId="50CD3FCC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260人次</w:t>
            </w:r>
          </w:p>
        </w:tc>
        <w:tc>
          <w:tcPr>
            <w:tcW w:w="576" w:type="dxa"/>
            <w:noWrap w:val="0"/>
            <w:vAlign w:val="center"/>
          </w:tcPr>
          <w:p w14:paraId="566A71A0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41CA23B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5762754D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20B6A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1C3FAD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507609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3A061107">
            <w:pPr>
              <w:pStyle w:val="14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131A158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280" w:type="dxa"/>
            <w:noWrap w:val="0"/>
            <w:vAlign w:val="center"/>
          </w:tcPr>
          <w:p w14:paraId="2ECF979F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≧10次</w:t>
            </w:r>
          </w:p>
        </w:tc>
        <w:tc>
          <w:tcPr>
            <w:tcW w:w="1297" w:type="dxa"/>
            <w:noWrap w:val="0"/>
            <w:vAlign w:val="center"/>
          </w:tcPr>
          <w:p w14:paraId="044A3CC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22次</w:t>
            </w:r>
          </w:p>
        </w:tc>
        <w:tc>
          <w:tcPr>
            <w:tcW w:w="576" w:type="dxa"/>
            <w:noWrap w:val="0"/>
            <w:vAlign w:val="center"/>
          </w:tcPr>
          <w:p w14:paraId="6DF2EF57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E07D6C0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26027A62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4B7F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6AED28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C8752F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AC86AE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  <w:t>质量指标</w:t>
            </w: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9DF4ADC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校园安全教育宣传覆盖率</w:t>
            </w:r>
          </w:p>
        </w:tc>
        <w:tc>
          <w:tcPr>
            <w:tcW w:w="1280" w:type="dxa"/>
            <w:tcBorders>
              <w:bottom w:val="single" w:color="000000" w:sz="2" w:space="0"/>
            </w:tcBorders>
            <w:noWrap w:val="0"/>
            <w:vAlign w:val="center"/>
          </w:tcPr>
          <w:p w14:paraId="0F0E65F8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1D662E2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2A1BF2BB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AB031E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44F3BF5E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618F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31A8DA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55B1CC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F3BAA2F">
            <w:pPr>
              <w:pStyle w:val="14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553A8A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校园修缮完成率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E0B8902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762836D6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4876BB90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3C7FB5D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072704F5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9856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7F2DDC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8D01B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467BD02">
            <w:pPr>
              <w:pStyle w:val="14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F1A3D0C">
            <w:pPr>
              <w:spacing w:line="240" w:lineRule="auto"/>
              <w:ind w:left="0" w:leftChars="0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落实“双减”政策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4C83772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09DC9B4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7917DD46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2D0BC04E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32C38D35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B5E9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1EE7A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101790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6ECC476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时效指标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noWrap w:val="0"/>
            <w:vAlign w:val="top"/>
          </w:tcPr>
          <w:p w14:paraId="3C1107E0">
            <w:pPr>
              <w:pStyle w:val="14"/>
              <w:spacing w:line="235" w:lineRule="exac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春、秋两季教育教学计划按时完成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12CB0A72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1297" w:type="dxa"/>
            <w:noWrap w:val="0"/>
            <w:vAlign w:val="center"/>
          </w:tcPr>
          <w:p w14:paraId="17882C38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576" w:type="dxa"/>
            <w:noWrap w:val="0"/>
            <w:vAlign w:val="center"/>
          </w:tcPr>
          <w:p w14:paraId="630109A7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3C27FDB7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0A0E76CF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872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36717B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7C686C8E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top"/>
          </w:tcPr>
          <w:p w14:paraId="16F6A24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成本指标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B18375A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6E05A0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5577.35万元</w:t>
            </w:r>
          </w:p>
        </w:tc>
        <w:tc>
          <w:tcPr>
            <w:tcW w:w="1297" w:type="dxa"/>
            <w:noWrap w:val="0"/>
            <w:vAlign w:val="center"/>
          </w:tcPr>
          <w:p w14:paraId="66EBED16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5567.35万元</w:t>
            </w:r>
          </w:p>
        </w:tc>
        <w:tc>
          <w:tcPr>
            <w:tcW w:w="576" w:type="dxa"/>
            <w:noWrap w:val="0"/>
            <w:vAlign w:val="center"/>
          </w:tcPr>
          <w:p w14:paraId="508BD634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FEEC705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1A8C6CA9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4974D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0C2966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2157FEF">
            <w:pPr>
              <w:pStyle w:val="14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CE565B3">
            <w:pPr>
              <w:pStyle w:val="14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A54530B">
            <w:pPr>
              <w:pStyle w:val="14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EF866B9">
            <w:pPr>
              <w:pStyle w:val="14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10568465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8"/>
                <w:szCs w:val="18"/>
                <w:highlight w:val="none"/>
              </w:rPr>
              <w:t>效益指标</w:t>
            </w:r>
          </w:p>
          <w:p w14:paraId="1078DF24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CE3725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6C722E66">
            <w:pPr>
              <w:spacing w:line="225" w:lineRule="auto"/>
              <w:ind w:left="232" w:lef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D012B2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280" w:type="dxa"/>
            <w:tcBorders>
              <w:left w:val="single" w:color="000000" w:sz="2" w:space="0"/>
            </w:tcBorders>
            <w:noWrap w:val="0"/>
            <w:vAlign w:val="center"/>
          </w:tcPr>
          <w:p w14:paraId="59073583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97" w:type="dxa"/>
            <w:noWrap w:val="0"/>
            <w:vAlign w:val="center"/>
          </w:tcPr>
          <w:p w14:paraId="4ABFE83D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576" w:type="dxa"/>
            <w:noWrap w:val="0"/>
            <w:vAlign w:val="center"/>
          </w:tcPr>
          <w:p w14:paraId="412CBF6F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5813074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122999EA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2446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77C985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nil"/>
              <w:right w:val="single" w:color="auto" w:sz="4" w:space="0"/>
            </w:tcBorders>
            <w:noWrap w:val="0"/>
            <w:vAlign w:val="top"/>
          </w:tcPr>
          <w:p w14:paraId="6B848821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3ADDA7E1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4707CFE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noWrap w:val="0"/>
            <w:vAlign w:val="top"/>
          </w:tcPr>
          <w:p w14:paraId="42E1F182">
            <w:pPr>
              <w:pStyle w:val="14"/>
              <w:spacing w:line="235" w:lineRule="exac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促进学生全面发展，提高教育教学质量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1AE0783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较上年提升</w:t>
            </w:r>
          </w:p>
        </w:tc>
        <w:tc>
          <w:tcPr>
            <w:tcW w:w="1297" w:type="dxa"/>
            <w:noWrap w:val="0"/>
            <w:vAlign w:val="center"/>
          </w:tcPr>
          <w:p w14:paraId="00079AD9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576" w:type="dxa"/>
            <w:noWrap w:val="0"/>
            <w:vAlign w:val="center"/>
          </w:tcPr>
          <w:p w14:paraId="6D2F745F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209C4576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5FA50A0B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3F42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85A161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06C5AAA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5BF3652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29A6CC3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283A2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44F3A1A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97" w:type="dxa"/>
            <w:noWrap w:val="0"/>
            <w:vAlign w:val="center"/>
          </w:tcPr>
          <w:p w14:paraId="0EB4E24A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576" w:type="dxa"/>
            <w:noWrap w:val="0"/>
            <w:vAlign w:val="center"/>
          </w:tcPr>
          <w:p w14:paraId="328C804E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7220AD7F">
            <w:pPr>
              <w:pStyle w:val="14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top"/>
          </w:tcPr>
          <w:p w14:paraId="0CFFB1A8">
            <w:pPr>
              <w:pStyle w:val="14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3F28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EB14FE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1E368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EC253D1">
            <w:pPr>
              <w:spacing w:before="207" w:line="230" w:lineRule="auto"/>
              <w:ind w:left="227" w:leftChars="0" w:right="116" w:rightChars="0" w:hanging="98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AE02">
            <w:pPr>
              <w:pStyle w:val="14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0D01219F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97" w:type="dxa"/>
            <w:noWrap w:val="0"/>
            <w:vAlign w:val="center"/>
          </w:tcPr>
          <w:p w14:paraId="3DD9F3E5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576" w:type="dxa"/>
            <w:noWrap w:val="0"/>
            <w:vAlign w:val="center"/>
          </w:tcPr>
          <w:p w14:paraId="0E908E4D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BF2A7E0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7E4B9B7D">
            <w:pPr>
              <w:pStyle w:val="14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E9CF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4CC39EA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12BAFE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满意度</w:t>
            </w:r>
          </w:p>
          <w:p w14:paraId="32BC0944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指标</w:t>
            </w:r>
          </w:p>
          <w:p w14:paraId="0282DCD4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5E35A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服务对象</w:t>
            </w:r>
          </w:p>
          <w:p w14:paraId="31BB4C2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满意度指</w:t>
            </w:r>
          </w:p>
          <w:p w14:paraId="287B1F57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  <w:highlight w:val="none"/>
              </w:rPr>
              <w:t>标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3E06374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学生满意度</w:t>
            </w:r>
          </w:p>
        </w:tc>
        <w:tc>
          <w:tcPr>
            <w:tcW w:w="1280" w:type="dxa"/>
            <w:noWrap w:val="0"/>
            <w:vAlign w:val="center"/>
          </w:tcPr>
          <w:p w14:paraId="14C2A648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730A41A3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35744124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97FA7D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52FC0F08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396A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99E3A0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BE4931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E2A1C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tcBorders>
              <w:left w:val="single" w:color="auto" w:sz="4" w:space="0"/>
            </w:tcBorders>
            <w:noWrap w:val="0"/>
            <w:vAlign w:val="center"/>
          </w:tcPr>
          <w:p w14:paraId="5D7AC8A5">
            <w:pPr>
              <w:pStyle w:val="14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家长满意度</w:t>
            </w:r>
          </w:p>
        </w:tc>
        <w:tc>
          <w:tcPr>
            <w:tcW w:w="1280" w:type="dxa"/>
            <w:noWrap w:val="0"/>
            <w:vAlign w:val="center"/>
          </w:tcPr>
          <w:p w14:paraId="22B70D27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258E6F5D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586947B7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CFC4B1">
            <w:pPr>
              <w:pStyle w:val="14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79CD9A06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1202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272" w:type="dxa"/>
            <w:gridSpan w:val="6"/>
            <w:noWrap w:val="0"/>
            <w:vAlign w:val="top"/>
          </w:tcPr>
          <w:p w14:paraId="6D87050C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highlight w:val="none"/>
              </w:rPr>
              <w:t>总分</w:t>
            </w:r>
          </w:p>
        </w:tc>
        <w:tc>
          <w:tcPr>
            <w:tcW w:w="576" w:type="dxa"/>
            <w:noWrap w:val="0"/>
            <w:vAlign w:val="center"/>
          </w:tcPr>
          <w:p w14:paraId="5CCC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noWrap w:val="0"/>
            <w:vAlign w:val="center"/>
          </w:tcPr>
          <w:p w14:paraId="2280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99.98</w:t>
            </w:r>
          </w:p>
        </w:tc>
        <w:tc>
          <w:tcPr>
            <w:tcW w:w="1236" w:type="dxa"/>
            <w:noWrap w:val="0"/>
            <w:vAlign w:val="top"/>
          </w:tcPr>
          <w:p w14:paraId="26ECF59E">
            <w:pPr>
              <w:pStyle w:val="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75375870">
      <w:pPr>
        <w:tabs>
          <w:tab w:val="left" w:pos="2572"/>
        </w:tabs>
        <w:bidi w:val="0"/>
        <w:jc w:val="left"/>
        <w:rPr>
          <w:rFonts w:hint="eastAsia" w:eastAsiaTheme="minorEastAsia"/>
          <w:color w:val="auto"/>
          <w:highlight w:val="none"/>
          <w:lang w:eastAsia="zh-CN"/>
        </w:rPr>
      </w:pPr>
    </w:p>
    <w:p w14:paraId="455F4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翁治国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15107302670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29E9D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DE0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3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0E4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3590271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7764AAE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E287B4B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C157A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F9B41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B28320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5988665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50C495CA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814537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8F3E27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C8BFB2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190F633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4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4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4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4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4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432A30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0084FE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4DADA7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A8DC7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B05CEB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CC8700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A379C84">
            <w:pPr>
              <w:pStyle w:val="14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5F71F4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9C5BDF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6B1DC6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8E89FC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CCA709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4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4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4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19922D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5B0CCE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DC751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02C13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BA3E6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2F674B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F4D039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10C214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C1F848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06ECA5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57B1293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DA4B57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35D0C8E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B3B1649">
            <w:pPr>
              <w:pStyle w:val="14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DC459F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3551CDCE">
            <w:pPr>
              <w:pStyle w:val="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22DEA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翁治国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15107302670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sectPr>
      <w:footerReference r:id="rId3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E234869-6A48-428C-B570-2D4EB8027E2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6B744BC-1BC6-49ED-96D1-00001AF602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E8B36B3-A4DF-4D09-A77E-DA83EED0DB2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2B059571-EA8B-4A58-9548-A30BEA64C31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06396ACA-737A-450B-BDC3-6A8CE6F3BA1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8A2A8B31-FC33-4208-A5D7-5198543BA5EE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3A73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05F8F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05F8F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B82BC52E"/>
    <w:multiLevelType w:val="singleLevel"/>
    <w:tmpl w:val="B82BC52E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DFD10FD"/>
    <w:multiLevelType w:val="singleLevel"/>
    <w:tmpl w:val="3DFD10F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6">
    <w:nsid w:val="550F4279"/>
    <w:multiLevelType w:val="singleLevel"/>
    <w:tmpl w:val="550F4279"/>
    <w:lvl w:ilvl="0" w:tentative="0">
      <w:start w:val="2"/>
      <w:numFmt w:val="decimal"/>
      <w:suff w:val="nothing"/>
      <w:lvlText w:val="%1、"/>
      <w:lvlJc w:val="left"/>
    </w:lvl>
  </w:abstractNum>
  <w:abstractNum w:abstractNumId="7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C408C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5E107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8D6C7E"/>
    <w:rsid w:val="03911277"/>
    <w:rsid w:val="039A540B"/>
    <w:rsid w:val="03A54408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D4BCD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9F7723"/>
    <w:rsid w:val="06A14716"/>
    <w:rsid w:val="06A91E40"/>
    <w:rsid w:val="06B917BB"/>
    <w:rsid w:val="06C47189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B0F05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4780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8DE0995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B9173D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0C55A3"/>
    <w:rsid w:val="0B163034"/>
    <w:rsid w:val="0B1D5B5D"/>
    <w:rsid w:val="0B1F5B6D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905E3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EC276D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5E1C72"/>
    <w:rsid w:val="0E8648D6"/>
    <w:rsid w:val="0E8C08DC"/>
    <w:rsid w:val="0E8E43C0"/>
    <w:rsid w:val="0E914AF4"/>
    <w:rsid w:val="0E964CBE"/>
    <w:rsid w:val="0E9A391F"/>
    <w:rsid w:val="0E9D7796"/>
    <w:rsid w:val="0E9F1954"/>
    <w:rsid w:val="0EA82097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A50BB"/>
    <w:rsid w:val="0F5B4015"/>
    <w:rsid w:val="0F6071C8"/>
    <w:rsid w:val="0F69565A"/>
    <w:rsid w:val="0F7B0394"/>
    <w:rsid w:val="0F9242C9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DF43EB"/>
    <w:rsid w:val="0FE017B9"/>
    <w:rsid w:val="0FE04B17"/>
    <w:rsid w:val="0FEC2891"/>
    <w:rsid w:val="0FF71EB7"/>
    <w:rsid w:val="0FFB7051"/>
    <w:rsid w:val="0FFE76A9"/>
    <w:rsid w:val="1004684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621A79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6405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75114"/>
    <w:rsid w:val="12283A71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1F76DE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3A6CDD"/>
    <w:rsid w:val="1441725F"/>
    <w:rsid w:val="14430D66"/>
    <w:rsid w:val="14470936"/>
    <w:rsid w:val="14477E65"/>
    <w:rsid w:val="144D4FA7"/>
    <w:rsid w:val="14710CBF"/>
    <w:rsid w:val="14774392"/>
    <w:rsid w:val="14791934"/>
    <w:rsid w:val="147D213D"/>
    <w:rsid w:val="14A04833"/>
    <w:rsid w:val="14AA20B4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153A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848D8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4719BE"/>
    <w:rsid w:val="165044C3"/>
    <w:rsid w:val="165E3F72"/>
    <w:rsid w:val="166A5620"/>
    <w:rsid w:val="166D0110"/>
    <w:rsid w:val="16702E03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C5953"/>
    <w:rsid w:val="178D50A9"/>
    <w:rsid w:val="178F0FE3"/>
    <w:rsid w:val="17AD14F4"/>
    <w:rsid w:val="17B85018"/>
    <w:rsid w:val="17C50FB3"/>
    <w:rsid w:val="17CC2342"/>
    <w:rsid w:val="17E339CC"/>
    <w:rsid w:val="17F33C57"/>
    <w:rsid w:val="18021A7F"/>
    <w:rsid w:val="180B62BF"/>
    <w:rsid w:val="180C34C0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22678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D3F96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24BB2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852E5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45D52"/>
    <w:rsid w:val="1DB85E5C"/>
    <w:rsid w:val="1DBB71A4"/>
    <w:rsid w:val="1DC46662"/>
    <w:rsid w:val="1DCA5E3A"/>
    <w:rsid w:val="1DCF5405"/>
    <w:rsid w:val="1DD75183"/>
    <w:rsid w:val="1DDE2626"/>
    <w:rsid w:val="1DDF66A8"/>
    <w:rsid w:val="1DE859FC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910415"/>
    <w:rsid w:val="1E9B481C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EFA59E6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11374"/>
    <w:rsid w:val="1F8815CD"/>
    <w:rsid w:val="1F8D1995"/>
    <w:rsid w:val="1F935BDD"/>
    <w:rsid w:val="1F963600"/>
    <w:rsid w:val="1F9730E6"/>
    <w:rsid w:val="1F996BF4"/>
    <w:rsid w:val="1FA87477"/>
    <w:rsid w:val="1FD17F79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67307"/>
    <w:rsid w:val="217B2C80"/>
    <w:rsid w:val="217D2EA2"/>
    <w:rsid w:val="21851E83"/>
    <w:rsid w:val="21861507"/>
    <w:rsid w:val="218976A0"/>
    <w:rsid w:val="219020E3"/>
    <w:rsid w:val="21916EE8"/>
    <w:rsid w:val="2193486E"/>
    <w:rsid w:val="219A12E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08343A"/>
    <w:rsid w:val="231527D7"/>
    <w:rsid w:val="23185AD8"/>
    <w:rsid w:val="232D58F1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C0C9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06D8A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50CB6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3A0DBE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6F004B"/>
    <w:rsid w:val="27722B9A"/>
    <w:rsid w:val="27742391"/>
    <w:rsid w:val="277602F5"/>
    <w:rsid w:val="278038CA"/>
    <w:rsid w:val="278B013C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31000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3F7310"/>
    <w:rsid w:val="294A57BC"/>
    <w:rsid w:val="294D5371"/>
    <w:rsid w:val="295867A0"/>
    <w:rsid w:val="295A0917"/>
    <w:rsid w:val="295A5964"/>
    <w:rsid w:val="296248B4"/>
    <w:rsid w:val="29626133"/>
    <w:rsid w:val="29647C56"/>
    <w:rsid w:val="296A2440"/>
    <w:rsid w:val="29702C6A"/>
    <w:rsid w:val="29785E86"/>
    <w:rsid w:val="297B3BC8"/>
    <w:rsid w:val="298756CC"/>
    <w:rsid w:val="29A81FA5"/>
    <w:rsid w:val="29AB297C"/>
    <w:rsid w:val="29B449E4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9E0609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35408E"/>
    <w:rsid w:val="2D4E073F"/>
    <w:rsid w:val="2D510DD6"/>
    <w:rsid w:val="2D5A7835"/>
    <w:rsid w:val="2D5F4A20"/>
    <w:rsid w:val="2D6578A0"/>
    <w:rsid w:val="2D6B21D3"/>
    <w:rsid w:val="2D6D2389"/>
    <w:rsid w:val="2D7343C9"/>
    <w:rsid w:val="2D933283"/>
    <w:rsid w:val="2D937732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F0A58"/>
    <w:rsid w:val="2E301D0F"/>
    <w:rsid w:val="2E4111DC"/>
    <w:rsid w:val="2E447583"/>
    <w:rsid w:val="2E4A428D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B6A58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76588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011D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7E1E29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3321D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4A25AB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C0228"/>
    <w:rsid w:val="356A29C5"/>
    <w:rsid w:val="35770D21"/>
    <w:rsid w:val="357800DF"/>
    <w:rsid w:val="358044B2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371F41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34233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67538E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53194"/>
    <w:rsid w:val="383903C6"/>
    <w:rsid w:val="383C423B"/>
    <w:rsid w:val="38415136"/>
    <w:rsid w:val="384D66AB"/>
    <w:rsid w:val="38551750"/>
    <w:rsid w:val="386C1D38"/>
    <w:rsid w:val="387A25A5"/>
    <w:rsid w:val="3887148F"/>
    <w:rsid w:val="38940983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3D0CB9"/>
    <w:rsid w:val="3942282F"/>
    <w:rsid w:val="39521B6F"/>
    <w:rsid w:val="3953338B"/>
    <w:rsid w:val="39553940"/>
    <w:rsid w:val="396B7002"/>
    <w:rsid w:val="396C2A15"/>
    <w:rsid w:val="39707C30"/>
    <w:rsid w:val="39793DDC"/>
    <w:rsid w:val="397A3554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2378C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47E49"/>
    <w:rsid w:val="3C467833"/>
    <w:rsid w:val="3C4D3B02"/>
    <w:rsid w:val="3C4E1C1D"/>
    <w:rsid w:val="3C553044"/>
    <w:rsid w:val="3C5B1D89"/>
    <w:rsid w:val="3C5E0F0B"/>
    <w:rsid w:val="3C5F361A"/>
    <w:rsid w:val="3C652EF5"/>
    <w:rsid w:val="3C6C29B2"/>
    <w:rsid w:val="3C7412BD"/>
    <w:rsid w:val="3C85498F"/>
    <w:rsid w:val="3C8946A5"/>
    <w:rsid w:val="3C8E6C34"/>
    <w:rsid w:val="3C903393"/>
    <w:rsid w:val="3C9C1A33"/>
    <w:rsid w:val="3C9E57AB"/>
    <w:rsid w:val="3CA372A1"/>
    <w:rsid w:val="3CA600E0"/>
    <w:rsid w:val="3CB10638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43CBF"/>
    <w:rsid w:val="3D1A22C0"/>
    <w:rsid w:val="3D294B1B"/>
    <w:rsid w:val="3D2B034D"/>
    <w:rsid w:val="3D2B37F6"/>
    <w:rsid w:val="3D4A6765"/>
    <w:rsid w:val="3D505411"/>
    <w:rsid w:val="3D5A60CA"/>
    <w:rsid w:val="3D662058"/>
    <w:rsid w:val="3D6677CE"/>
    <w:rsid w:val="3D957A51"/>
    <w:rsid w:val="3D962926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2791A"/>
    <w:rsid w:val="3DF169A7"/>
    <w:rsid w:val="3DF2399F"/>
    <w:rsid w:val="3DF40FE4"/>
    <w:rsid w:val="3DF53AF1"/>
    <w:rsid w:val="3DF650A4"/>
    <w:rsid w:val="3DFE0BF8"/>
    <w:rsid w:val="3E0519AD"/>
    <w:rsid w:val="3E167168"/>
    <w:rsid w:val="3E214014"/>
    <w:rsid w:val="3E2A55D1"/>
    <w:rsid w:val="3E352F2A"/>
    <w:rsid w:val="3E4A1D40"/>
    <w:rsid w:val="3E4C287B"/>
    <w:rsid w:val="3E4D1237"/>
    <w:rsid w:val="3E506F79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6236D"/>
    <w:rsid w:val="3F5C361D"/>
    <w:rsid w:val="3F5D22C3"/>
    <w:rsid w:val="3F5E64F5"/>
    <w:rsid w:val="3F656E2C"/>
    <w:rsid w:val="3F6726C4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8C4833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55DF9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159A8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32A91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C7510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222CD2"/>
    <w:rsid w:val="44390E25"/>
    <w:rsid w:val="443F6D81"/>
    <w:rsid w:val="44405E6B"/>
    <w:rsid w:val="44433468"/>
    <w:rsid w:val="44437F9F"/>
    <w:rsid w:val="44493A52"/>
    <w:rsid w:val="444F5C68"/>
    <w:rsid w:val="446138AA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6D30D1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13507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A45C40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4B208D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A213C2"/>
    <w:rsid w:val="49B415EE"/>
    <w:rsid w:val="49B63FD6"/>
    <w:rsid w:val="49BF4D00"/>
    <w:rsid w:val="49BF4FB3"/>
    <w:rsid w:val="49CA22AA"/>
    <w:rsid w:val="49D1562B"/>
    <w:rsid w:val="49DE1EF5"/>
    <w:rsid w:val="49DE7D7D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35542"/>
    <w:rsid w:val="4A246FCD"/>
    <w:rsid w:val="4A250C92"/>
    <w:rsid w:val="4A3E56F1"/>
    <w:rsid w:val="4A3F0D79"/>
    <w:rsid w:val="4A4260CB"/>
    <w:rsid w:val="4A611E1A"/>
    <w:rsid w:val="4A7055A6"/>
    <w:rsid w:val="4A733143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AF34F14"/>
    <w:rsid w:val="4B023033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C18B5"/>
    <w:rsid w:val="4BBD5933"/>
    <w:rsid w:val="4BC562A3"/>
    <w:rsid w:val="4BC7680D"/>
    <w:rsid w:val="4BCF5981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8A7AFA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B11A3F"/>
    <w:rsid w:val="4EB33338"/>
    <w:rsid w:val="4ED001F4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77255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376D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174DB"/>
    <w:rsid w:val="51721A38"/>
    <w:rsid w:val="517D016D"/>
    <w:rsid w:val="517D3A5D"/>
    <w:rsid w:val="517D7C2E"/>
    <w:rsid w:val="51890449"/>
    <w:rsid w:val="518E3CF1"/>
    <w:rsid w:val="519B65FE"/>
    <w:rsid w:val="51A30823"/>
    <w:rsid w:val="51A45867"/>
    <w:rsid w:val="51A76A58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179B7"/>
    <w:rsid w:val="525852F2"/>
    <w:rsid w:val="525D267C"/>
    <w:rsid w:val="526921DD"/>
    <w:rsid w:val="52721B93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27CDE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7794B"/>
    <w:rsid w:val="54191438"/>
    <w:rsid w:val="542247A4"/>
    <w:rsid w:val="5427381E"/>
    <w:rsid w:val="543B788E"/>
    <w:rsid w:val="5442060B"/>
    <w:rsid w:val="54447CBB"/>
    <w:rsid w:val="545062A7"/>
    <w:rsid w:val="545071C4"/>
    <w:rsid w:val="545C3555"/>
    <w:rsid w:val="5461132F"/>
    <w:rsid w:val="54617320"/>
    <w:rsid w:val="54617393"/>
    <w:rsid w:val="547A28DC"/>
    <w:rsid w:val="54827775"/>
    <w:rsid w:val="548C3C7E"/>
    <w:rsid w:val="54A63A44"/>
    <w:rsid w:val="54A656E0"/>
    <w:rsid w:val="54AC5134"/>
    <w:rsid w:val="54B04F50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BA5A5D"/>
    <w:rsid w:val="55C33131"/>
    <w:rsid w:val="55CA39AC"/>
    <w:rsid w:val="55CD41AB"/>
    <w:rsid w:val="55CD7903"/>
    <w:rsid w:val="55E172A0"/>
    <w:rsid w:val="55E24605"/>
    <w:rsid w:val="55F81C60"/>
    <w:rsid w:val="55FA0F14"/>
    <w:rsid w:val="55FF6E63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025C8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60908"/>
    <w:rsid w:val="572F37C6"/>
    <w:rsid w:val="573568EF"/>
    <w:rsid w:val="5736629C"/>
    <w:rsid w:val="573E1C0D"/>
    <w:rsid w:val="574216FD"/>
    <w:rsid w:val="574511BD"/>
    <w:rsid w:val="57540996"/>
    <w:rsid w:val="57713D91"/>
    <w:rsid w:val="57802A35"/>
    <w:rsid w:val="57815555"/>
    <w:rsid w:val="57882730"/>
    <w:rsid w:val="578C3658"/>
    <w:rsid w:val="57AD2F12"/>
    <w:rsid w:val="57AD7E3A"/>
    <w:rsid w:val="57B66918"/>
    <w:rsid w:val="57B67E42"/>
    <w:rsid w:val="57BA5F2B"/>
    <w:rsid w:val="57BB3665"/>
    <w:rsid w:val="57BC796D"/>
    <w:rsid w:val="57BD6FCE"/>
    <w:rsid w:val="57C72EBF"/>
    <w:rsid w:val="57C739B1"/>
    <w:rsid w:val="57C77E54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50BC0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6E6522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3E202C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4E6BD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DB3A5A"/>
    <w:rsid w:val="5CE319F6"/>
    <w:rsid w:val="5CE41E2A"/>
    <w:rsid w:val="5CE42846"/>
    <w:rsid w:val="5CE9406B"/>
    <w:rsid w:val="5CEA2058"/>
    <w:rsid w:val="5CFA65D6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21A96"/>
    <w:rsid w:val="604407B5"/>
    <w:rsid w:val="60487E62"/>
    <w:rsid w:val="60570CCE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6248C"/>
    <w:rsid w:val="616B1A35"/>
    <w:rsid w:val="616D02E8"/>
    <w:rsid w:val="616E1A7D"/>
    <w:rsid w:val="617020C2"/>
    <w:rsid w:val="61755B39"/>
    <w:rsid w:val="617637D1"/>
    <w:rsid w:val="617A0C46"/>
    <w:rsid w:val="618A6F1A"/>
    <w:rsid w:val="61925F04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5086B"/>
    <w:rsid w:val="62893709"/>
    <w:rsid w:val="629105C7"/>
    <w:rsid w:val="62A975CA"/>
    <w:rsid w:val="62AB5771"/>
    <w:rsid w:val="62AE05DB"/>
    <w:rsid w:val="62B60A29"/>
    <w:rsid w:val="62BA5EE7"/>
    <w:rsid w:val="62BD432E"/>
    <w:rsid w:val="62C03540"/>
    <w:rsid w:val="62D33B51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3F4B95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34AD5"/>
    <w:rsid w:val="65547627"/>
    <w:rsid w:val="655555A6"/>
    <w:rsid w:val="655B28DC"/>
    <w:rsid w:val="655B5AF2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E5B82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36645D"/>
    <w:rsid w:val="67441F0C"/>
    <w:rsid w:val="674465E9"/>
    <w:rsid w:val="67456CEF"/>
    <w:rsid w:val="674B779D"/>
    <w:rsid w:val="67594618"/>
    <w:rsid w:val="675B3954"/>
    <w:rsid w:val="675F4E37"/>
    <w:rsid w:val="676B6466"/>
    <w:rsid w:val="6776404D"/>
    <w:rsid w:val="679406A3"/>
    <w:rsid w:val="67954429"/>
    <w:rsid w:val="67A2383F"/>
    <w:rsid w:val="67A904C7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759A9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8A2F04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5145E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7119CE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152F3C"/>
    <w:rsid w:val="6A242290"/>
    <w:rsid w:val="6A2622A1"/>
    <w:rsid w:val="6A29523C"/>
    <w:rsid w:val="6A35577F"/>
    <w:rsid w:val="6A3A22EA"/>
    <w:rsid w:val="6A3B76D1"/>
    <w:rsid w:val="6A3F2D1D"/>
    <w:rsid w:val="6A5410DE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0503D"/>
    <w:rsid w:val="6BB456BB"/>
    <w:rsid w:val="6BB62A44"/>
    <w:rsid w:val="6BC164A3"/>
    <w:rsid w:val="6BCA2AC1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891725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5E0586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80F56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81224B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1D10D4"/>
    <w:rsid w:val="6F226923"/>
    <w:rsid w:val="6F2302E3"/>
    <w:rsid w:val="6F314C13"/>
    <w:rsid w:val="6F382FA6"/>
    <w:rsid w:val="6F391F60"/>
    <w:rsid w:val="6F4E521A"/>
    <w:rsid w:val="6F694006"/>
    <w:rsid w:val="6F6C5490"/>
    <w:rsid w:val="6F6D23E0"/>
    <w:rsid w:val="6F6D4CE5"/>
    <w:rsid w:val="6F6D6A5C"/>
    <w:rsid w:val="6F75014C"/>
    <w:rsid w:val="6F761900"/>
    <w:rsid w:val="6F800BDC"/>
    <w:rsid w:val="6F8D6E36"/>
    <w:rsid w:val="6FA71AD5"/>
    <w:rsid w:val="6FAF2607"/>
    <w:rsid w:val="6FB761F3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77CC3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EE15BC"/>
    <w:rsid w:val="71F10578"/>
    <w:rsid w:val="71F40A44"/>
    <w:rsid w:val="71F56263"/>
    <w:rsid w:val="71FB6BC8"/>
    <w:rsid w:val="7202163F"/>
    <w:rsid w:val="72026C5E"/>
    <w:rsid w:val="722822EE"/>
    <w:rsid w:val="72341FD3"/>
    <w:rsid w:val="72364FB6"/>
    <w:rsid w:val="72367553"/>
    <w:rsid w:val="723B04C8"/>
    <w:rsid w:val="724266AF"/>
    <w:rsid w:val="724B6F7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0C25E0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75655F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3F8659C"/>
    <w:rsid w:val="74010DBC"/>
    <w:rsid w:val="74054701"/>
    <w:rsid w:val="740D2C3F"/>
    <w:rsid w:val="74135925"/>
    <w:rsid w:val="74176620"/>
    <w:rsid w:val="741D1829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6E36DA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4E3008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702AA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97E01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B5758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F5F56"/>
    <w:rsid w:val="79967B57"/>
    <w:rsid w:val="79987ED2"/>
    <w:rsid w:val="79AE1AE3"/>
    <w:rsid w:val="79AE77FB"/>
    <w:rsid w:val="79AF50E3"/>
    <w:rsid w:val="79B85AA8"/>
    <w:rsid w:val="79C342A8"/>
    <w:rsid w:val="79C34F9F"/>
    <w:rsid w:val="79C81B6A"/>
    <w:rsid w:val="79D43BDE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2C32F1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178B"/>
    <w:rsid w:val="7BAE3C97"/>
    <w:rsid w:val="7BB16076"/>
    <w:rsid w:val="7BB46DB9"/>
    <w:rsid w:val="7BC12C72"/>
    <w:rsid w:val="7BD53F1A"/>
    <w:rsid w:val="7BD74454"/>
    <w:rsid w:val="7BE75B65"/>
    <w:rsid w:val="7BE96DEC"/>
    <w:rsid w:val="7C0148DF"/>
    <w:rsid w:val="7C021A51"/>
    <w:rsid w:val="7C02295A"/>
    <w:rsid w:val="7C033C13"/>
    <w:rsid w:val="7C041A0F"/>
    <w:rsid w:val="7C110306"/>
    <w:rsid w:val="7C1A1B2C"/>
    <w:rsid w:val="7C1A63E7"/>
    <w:rsid w:val="7C212B8A"/>
    <w:rsid w:val="7C3C3809"/>
    <w:rsid w:val="7C3D66BC"/>
    <w:rsid w:val="7C4A4A2C"/>
    <w:rsid w:val="7C5036C5"/>
    <w:rsid w:val="7C6212C4"/>
    <w:rsid w:val="7C667FF7"/>
    <w:rsid w:val="7C6E7115"/>
    <w:rsid w:val="7C8464A1"/>
    <w:rsid w:val="7C9D2D7B"/>
    <w:rsid w:val="7CA26867"/>
    <w:rsid w:val="7CB43A8E"/>
    <w:rsid w:val="7CC03363"/>
    <w:rsid w:val="7CC106AB"/>
    <w:rsid w:val="7CDF4250"/>
    <w:rsid w:val="7D09113D"/>
    <w:rsid w:val="7D0A7D18"/>
    <w:rsid w:val="7D0B1257"/>
    <w:rsid w:val="7D157A0E"/>
    <w:rsid w:val="7D1658AD"/>
    <w:rsid w:val="7D1B2E27"/>
    <w:rsid w:val="7D1D4159"/>
    <w:rsid w:val="7D243099"/>
    <w:rsid w:val="7D37125E"/>
    <w:rsid w:val="7D3E79C1"/>
    <w:rsid w:val="7D4B3993"/>
    <w:rsid w:val="7D5F5E30"/>
    <w:rsid w:val="7D656BAD"/>
    <w:rsid w:val="7D680D06"/>
    <w:rsid w:val="7D6B45FB"/>
    <w:rsid w:val="7D6C208F"/>
    <w:rsid w:val="7D8950E1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CA783A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3A2967"/>
    <w:rsid w:val="7E5341B1"/>
    <w:rsid w:val="7E613E8F"/>
    <w:rsid w:val="7E616C7B"/>
    <w:rsid w:val="7E733A70"/>
    <w:rsid w:val="7E77762F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74003"/>
    <w:rsid w:val="7F2E0D24"/>
    <w:rsid w:val="7F312E91"/>
    <w:rsid w:val="7F33645C"/>
    <w:rsid w:val="7F370B28"/>
    <w:rsid w:val="7F4E4DC2"/>
    <w:rsid w:val="7F5A577A"/>
    <w:rsid w:val="7F5E7F52"/>
    <w:rsid w:val="7F63129E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7FF939EE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4">
    <w:name w:val="Body Text"/>
    <w:basedOn w:val="1"/>
    <w:next w:val="5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5">
    <w:name w:val="toc 5"/>
    <w:basedOn w:val="1"/>
    <w:next w:val="1"/>
    <w:qFormat/>
    <w:uiPriority w:val="0"/>
    <w:pPr>
      <w:ind w:left="1680" w:leftChars="800"/>
    </w:pPr>
    <w:rPr>
      <w:rFonts w:ascii="Calibri" w:hAnsi="Calibri" w:eastAsia="宋体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表格文字"/>
    <w:next w:val="4"/>
    <w:qFormat/>
    <w:uiPriority w:val="0"/>
    <w:pPr>
      <w:widowControl w:val="0"/>
      <w:jc w:val="both"/>
    </w:pPr>
    <w:rPr>
      <w:rFonts w:ascii="等线" w:hAnsi="等线" w:eastAsia="楷体_GB2312" w:cs="Times New Roman"/>
      <w:kern w:val="2"/>
      <w:sz w:val="21"/>
      <w:szCs w:val="21"/>
      <w:lang w:val="en-US" w:eastAsia="zh-CN" w:bidi="ar-SA"/>
    </w:rPr>
  </w:style>
  <w:style w:type="character" w:customStyle="1" w:styleId="1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6231</Words>
  <Characters>6806</Characters>
  <Lines>0</Lines>
  <Paragraphs>0</Paragraphs>
  <TotalTime>80</TotalTime>
  <ScaleCrop>false</ScaleCrop>
  <LinksUpToDate>false</LinksUpToDate>
  <CharactersWithSpaces>6877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dcterms:modified xsi:type="dcterms:W3CDTF">2026-08-27T11:04:01Z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B4D78A1015C341AF914471B3809258D9_13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