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85C7F">
      <w:pPr>
        <w:spacing w:line="250" w:lineRule="auto"/>
        <w:rPr>
          <w:rFonts w:hint="eastAsia" w:ascii="Arial" w:eastAsiaTheme="minorEastAsia"/>
          <w:sz w:val="21"/>
          <w:lang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 xml:space="preserve"> </w:t>
      </w:r>
    </w:p>
    <w:p w14:paraId="3C64EB61">
      <w:pPr>
        <w:spacing w:line="250" w:lineRule="auto"/>
        <w:rPr>
          <w:rFonts w:ascii="Arial"/>
          <w:sz w:val="21"/>
        </w:rPr>
      </w:pPr>
    </w:p>
    <w:p w14:paraId="24C88AA7">
      <w:pPr>
        <w:pStyle w:val="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119F321D">
      <w:pPr>
        <w:pStyle w:val="2"/>
        <w:rPr>
          <w:rFonts w:hint="default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年度岳阳市岳阳楼区康岳小学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7CEA96FB">
      <w:pPr>
        <w:pStyle w:val="2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01B3309A">
      <w:pPr>
        <w:pStyle w:val="2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28B1A3F7">
      <w:pPr>
        <w:pStyle w:val="2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6E36D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部门(单位)名称：岳阳市岳阳楼区康岳小学</w:t>
      </w:r>
    </w:p>
    <w:p w14:paraId="41D24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55C9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028EE43C">
      <w:pPr>
        <w:pStyle w:val="2"/>
        <w:rPr>
          <w:rFonts w:hint="eastAsia" w:ascii="楷体_GB2312" w:hAnsi="楷体_GB2312" w:eastAsia="楷体_GB2312" w:cs="楷体_GB2312"/>
          <w:color w:val="000000" w:themeColor="text1"/>
          <w:spacing w:val="0"/>
          <w:kern w:val="2"/>
          <w:positio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16804A4">
      <w:pPr>
        <w:pStyle w:val="2"/>
        <w:jc w:val="center"/>
        <w:rPr>
          <w:rFonts w:hint="eastAsia" w:ascii="楷体_GB2312" w:hAnsi="楷体_GB2312" w:eastAsia="楷体_GB2312" w:cs="楷体_GB2312"/>
          <w:color w:val="000000" w:themeColor="text1"/>
          <w:spacing w:val="0"/>
          <w:kern w:val="2"/>
          <w:positio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kern w:val="2"/>
          <w:positio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（此页为封面）</w:t>
      </w:r>
    </w:p>
    <w:p w14:paraId="6A2D2F92">
      <w:pPr>
        <w:pStyle w:val="2"/>
        <w:jc w:val="center"/>
        <w:rPr>
          <w:rFonts w:hint="eastAsia" w:ascii="楷体_GB2312" w:hAnsi="楷体_GB2312" w:eastAsia="楷体_GB2312" w:cs="楷体_GB2312"/>
          <w:color w:val="000000" w:themeColor="text1"/>
          <w:spacing w:val="0"/>
          <w:kern w:val="2"/>
          <w:positio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8029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岳阳市岳阳楼区康岳小学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5AD6A214">
      <w:pPr>
        <w:spacing w:line="283" w:lineRule="auto"/>
        <w:rPr>
          <w:rFonts w:ascii="Arial"/>
          <w:sz w:val="21"/>
        </w:rPr>
      </w:pPr>
    </w:p>
    <w:p w14:paraId="1413AA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0D9FB2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5B56A728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1、宣传贯彻执行党和国家的教育方针、政策、法律法规等，坚持依法治教、依法治学，贯彻执行岳阳楼区教育局的行政规章制度。</w:t>
      </w:r>
    </w:p>
    <w:p w14:paraId="32259521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2、维护学校的教学秩序，为学生创造良好的学习环境。</w:t>
      </w:r>
    </w:p>
    <w:p w14:paraId="35507A8D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3、积极稳妥地推进教育改革，按教育规律办事，不断提高教育质量。</w:t>
      </w:r>
    </w:p>
    <w:p w14:paraId="759D0858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4、根据学校规模，设置学校管理机构，建立健全各项规章制度和岗位责任制。</w:t>
      </w:r>
    </w:p>
    <w:p w14:paraId="29E15AAF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5、坚持教书育人，服务育人，环境育人方针，加强对学生的思想品德教育，使学生的德智体全面发展。</w:t>
      </w:r>
    </w:p>
    <w:p w14:paraId="08536119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6、抓好教师队伍建设，使每个教师都热心于教育事业。</w:t>
      </w:r>
    </w:p>
    <w:p w14:paraId="6AEB8FE4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7、做好安全防范，保证学生的人身安全。</w:t>
      </w:r>
    </w:p>
    <w:p w14:paraId="7B968352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137ED8DF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本部门内设机构包括：办公室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教导处、少先队室、后勤处。根据编办核定，我校共有教职工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63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35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8人。其中：事业编制职工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35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32E369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75D7EC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1：完成年初既定学生招生工作，引进优质教师，开展教师培训工作，建立优质的师资队伍；落实“双减”任务，减轻学生过重作业负担和校外培训负担。</w:t>
      </w:r>
    </w:p>
    <w:p w14:paraId="2B988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2：购置相关仪器设备，保证教学质量；做好后勤保障管理工作，解决师生后顾之忧，为师生提供良好的教学环境。</w:t>
      </w:r>
    </w:p>
    <w:p w14:paraId="3229F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3：开展各项教研活动，持续提高教学质量。积极开展课题为主的教研活动和教学竞赛，完成论文的撰写，提升教师整体素质。</w:t>
      </w:r>
    </w:p>
    <w:p w14:paraId="3F696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暑期组织教师对留守、困难等特殊群体学生家访，把控辍保学作为巩固脱贫攻坚成果同乡村振兴有效衔接工作，确保学生不因贫失学辍学。同时，指导学生参加素质拓展等活动，开展防溺水等专题教育，提升学生身心健康与安全意识。</w:t>
      </w:r>
    </w:p>
    <w:p w14:paraId="345B4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5：加强校园基础设施建设，保障学生与教师的校园生活。</w:t>
      </w:r>
    </w:p>
    <w:p w14:paraId="60673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4EC04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7D4DC5CE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568.15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633D8AC1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518.19万元：包括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152.24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1.07万元；奖金67.03万元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伙食补助费14.00万元；绩效工资99.32万元；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47.64万元；职工基本医疗保险缴费19.61万元；其他社会保障缴费3.97万元；住房公积金35.73万元；其他工资福利1.42万元；退休费76.16万元。</w:t>
      </w:r>
    </w:p>
    <w:p w14:paraId="5743E148">
      <w:pPr>
        <w:spacing w:line="240" w:lineRule="auto"/>
        <w:ind w:firstLine="600" w:firstLineChars="200"/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49.96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8.67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0.47</w:t>
      </w:r>
      <w:r>
        <w:rPr>
          <w:rFonts w:hint="eastAsia" w:ascii="仿宋" w:hAnsi="仿宋" w:eastAsia="仿宋" w:cs="仿宋"/>
          <w:bCs/>
          <w:sz w:val="30"/>
          <w:szCs w:val="30"/>
        </w:rPr>
        <w:t>万元；水费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0.61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3.21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邮电费0.01万元；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26.85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会议费2.22万元；</w:t>
      </w:r>
      <w:r>
        <w:rPr>
          <w:rFonts w:hint="eastAsia" w:ascii="仿宋" w:hAnsi="仿宋" w:eastAsia="仿宋" w:cs="仿宋"/>
          <w:bCs/>
          <w:sz w:val="30"/>
          <w:szCs w:val="30"/>
        </w:rPr>
        <w:t>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0.70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1.83</w:t>
      </w:r>
      <w:r>
        <w:rPr>
          <w:rFonts w:hint="eastAsia" w:ascii="仿宋" w:hAnsi="仿宋" w:eastAsia="仿宋" w:cs="仿宋"/>
          <w:bCs/>
          <w:sz w:val="30"/>
          <w:szCs w:val="30"/>
        </w:rPr>
        <w:t>万元；工会经费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1.95</w:t>
      </w:r>
      <w:r>
        <w:rPr>
          <w:rFonts w:hint="eastAsia" w:ascii="仿宋" w:hAnsi="仿宋" w:eastAsia="仿宋" w:cs="仿宋"/>
          <w:bCs/>
          <w:sz w:val="30"/>
          <w:szCs w:val="30"/>
        </w:rPr>
        <w:t>万元；其他商品和服务支出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2.55万元；办公设备购置0.89万元。</w:t>
      </w:r>
    </w:p>
    <w:p w14:paraId="1FABB04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0"/>
          <w:szCs w:val="30"/>
        </w:rPr>
        <w:t>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147.45</w:t>
      </w:r>
      <w:r>
        <w:rPr>
          <w:rFonts w:hint="eastAsia" w:ascii="仿宋" w:hAnsi="仿宋" w:eastAsia="仿宋" w:cs="仿宋"/>
          <w:bCs/>
          <w:sz w:val="30"/>
          <w:szCs w:val="30"/>
        </w:rPr>
        <w:t>万元，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非重点绩效项目支出，未开展项目绩效自评，无项目绩效自评结果。</w:t>
      </w:r>
    </w:p>
    <w:p w14:paraId="1CE17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22E553FA">
      <w:pPr>
        <w:pStyle w:val="2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本单位2024年年度政府性基金预算支出0万元。</w:t>
      </w:r>
    </w:p>
    <w:p w14:paraId="601227F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17587925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本单位2024年年度国有资本经营预算支出0万元。</w:t>
      </w:r>
    </w:p>
    <w:p w14:paraId="25D83B7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723791F7">
      <w:pPr>
        <w:pStyle w:val="2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本单位2024年年度社会保险基金预算支出0万元。</w:t>
      </w:r>
    </w:p>
    <w:p w14:paraId="4F6057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72D5DD77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康岳小学单位整体支出绩效情况进行全面剖析。旨在清晰呈现学校资金使用的全过程及效果，为后续优化管理提供有力依据。</w:t>
      </w:r>
    </w:p>
    <w:p w14:paraId="78875C16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03D60345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6C766C70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班子成员以身作则，严格要求自己，带头遵守各项规章制度，树立良好的形象。加强班子成员之间的沟通与协作，提高班子的凝聚力和战斗力。深入教学一线，一年来听课（评课）400余节次，了解教学情况，及时解决教学中存在的问题。</w:t>
      </w:r>
    </w:p>
    <w:p w14:paraId="0CB978AC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按照上级规定要求做好困难学生资助，做到困难学生资助不落下一人，本年度合计补助减免148人次，补助减免金额72018.5元。</w:t>
      </w:r>
    </w:p>
    <w:p w14:paraId="1A9133ED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4BEDC15E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期初制定教育教学工作计划，抓实教学常规，改进课堂教学。每月一次的备、讲、批、辅，发现问题记录并及时指出，会后反馈给相关教师，做到布置有检查，检查有落实。各教研组围绕教育教学质量，制定教研计划，保障教研活动时间。坚持集体备课常态化，将常规课、大单元教学相结合，优质课、汇报课、示范课活动常规化，积极开展组内的学习、研讨活动。实行推门听课，教研组长、骨干教师组成教学团队，一起进教室听课，当堂对授课教师的课堂教学进行反馈、交流和行为跟进，通过深入的调研，及时的反馈，督促教师上好常态课，做到无准备不上课。积极落实“双减”政策，严格控制学生作业总量，六月初，我们开展作业评比活动，作业在数量和质量上都有了一定的改进，增强常规管理实效，提高课堂教学实效。</w:t>
      </w:r>
    </w:p>
    <w:p w14:paraId="5353698A">
      <w:pPr>
        <w:pStyle w:val="2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423FBA8F"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及时完成在校学生的春、秋两季教学计划，及时发放教职工的工资及福利待遇。</w:t>
      </w:r>
    </w:p>
    <w:p w14:paraId="569210CD">
      <w:pPr>
        <w:pStyle w:val="2"/>
        <w:numPr>
          <w:ilvl w:val="0"/>
          <w:numId w:val="5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386DD34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全年经费开支控制在预算以内。</w:t>
      </w:r>
    </w:p>
    <w:p w14:paraId="7669E23F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18AD72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65B92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2B6D8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0636F0F8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落实“预防为主”的教育原则，有针对性、多渠道、多形式地在师生中广泛深入地开展“讲安全，防事故”为主题的宣传教育活动，本年度邀请法制副校长进行了两次安全主题的教育讲座活动。语文教研组组织了作业书写大赛、亲子共读、经典诵读等一系列活动。英语教研组积极开展“我爱记单词”拓宽孩子词汇量。数学教研组织学生进行手工创作大赛。扎实开展“阳光体育”活动，确保学生每天体育锻炼1小时。积极组织开展“第二课堂”活动，我们组织了丰富多彩的课外活动，如书法兴趣小组，学生们在书法老师的指导下，一笔一划地书写着中华汉字的魅力；科技制作小组让爱好科学的同学们有了动手实践的机会，他们制作的小发明充满了创意；还有各类体育比赛，如校运会、篮球比赛等，增强了学生的体质，培养了学生的团队合作精神。</w:t>
      </w:r>
    </w:p>
    <w:p w14:paraId="57A7678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550DB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无污染。</w:t>
      </w:r>
    </w:p>
    <w:p w14:paraId="323C9F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72B14B3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稳步提高教育质量，培植学校特色，打造学校品牌，促进教育事业持续发展。</w:t>
      </w:r>
    </w:p>
    <w:p w14:paraId="2FF53524"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35EF2BB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学生满意度96%，家长满意度96%，教职工满意度98%。</w:t>
      </w:r>
    </w:p>
    <w:p w14:paraId="5C916C8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3985D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1.各年级、各班学科成绩参差不齐，教学质量有待提升。</w:t>
      </w:r>
    </w:p>
    <w:p w14:paraId="76ED3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2.常规管理不够精细，教师队伍缺乏积极性。</w:t>
      </w:r>
    </w:p>
    <w:p w14:paraId="79D9C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3.功能室的设备老旧，急需更新。</w:t>
      </w:r>
    </w:p>
    <w:p w14:paraId="7BE8E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23C29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1.通过多种途径开展老师活动；积极邀请区教研室来我校进行教学视导，督促教师各项教学行为；开展教学比武活动，鼓励全校教师参与，行政带头参加推动学校教研氛围。</w:t>
      </w:r>
    </w:p>
    <w:p w14:paraId="620B6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2.丰富校园文化建设，发展学生个性特长，打造学校亮点工程。</w:t>
      </w:r>
    </w:p>
    <w:p w14:paraId="520EE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3.进一步完善学生日常行为规范，加强学生以防火、防溺水、防欺凌、防校园霸凌、防交通事故等为重点的各项安全知识教育。</w:t>
      </w:r>
    </w:p>
    <w:p w14:paraId="4D1E8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4.一年来我们本着安全问题不拖延，教育教学有保障的原则，共投入资金19万余元用于改造学校各项设施，添置设备，改善学校办学条件。</w:t>
      </w:r>
    </w:p>
    <w:p w14:paraId="55E70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122FBE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根据部门整体支出绩效评价指标体系，康岳小学在2024年度取得了较好的评价结果。体现在资金使用、项目管理、教育教学成果等多个方面的出色表现。在资金使用上，学校严格按照预算安排进行支出，确保资金使用的合理性和合规性。资产管理制度健全性、资产配置合理性、资产使用效率等指标表现良好。教学任务完成情况、师资队伍建设成果、校园建设与管理成效等方面均取得了显著成绩。同时将部门整体支出绩效自评报告在单位门户网站上进行公开，广泛接受社会监督。</w:t>
      </w:r>
    </w:p>
    <w:p w14:paraId="39B1160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494E0D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99FC4E6">
      <w:pPr>
        <w:pStyle w:val="2"/>
        <w:rPr>
          <w:rFonts w:ascii="Arial"/>
          <w:sz w:val="21"/>
        </w:rPr>
      </w:pPr>
    </w:p>
    <w:p w14:paraId="66CCC475">
      <w:pPr>
        <w:pStyle w:val="2"/>
        <w:rPr>
          <w:rFonts w:ascii="Arial"/>
          <w:sz w:val="21"/>
        </w:rPr>
      </w:pPr>
    </w:p>
    <w:p w14:paraId="23150FE2">
      <w:pPr>
        <w:pStyle w:val="2"/>
        <w:rPr>
          <w:rFonts w:ascii="Arial"/>
          <w:sz w:val="21"/>
        </w:rPr>
      </w:pPr>
    </w:p>
    <w:p w14:paraId="6CF861D2">
      <w:pPr>
        <w:pStyle w:val="2"/>
        <w:rPr>
          <w:rFonts w:ascii="Arial"/>
          <w:sz w:val="21"/>
        </w:rPr>
      </w:pPr>
    </w:p>
    <w:p w14:paraId="04C620A8">
      <w:pPr>
        <w:pStyle w:val="2"/>
        <w:rPr>
          <w:rFonts w:ascii="Arial"/>
          <w:sz w:val="21"/>
        </w:rPr>
      </w:pPr>
    </w:p>
    <w:p w14:paraId="78850892">
      <w:pPr>
        <w:pStyle w:val="2"/>
        <w:rPr>
          <w:rFonts w:ascii="Arial"/>
          <w:sz w:val="21"/>
        </w:rPr>
      </w:pPr>
    </w:p>
    <w:p w14:paraId="6FAE1DE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551EFE1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left"/>
        <w:textAlignment w:val="auto"/>
        <w:rPr>
          <w:rFonts w:hint="eastAsia"/>
          <w:spacing w:val="8"/>
        </w:rPr>
      </w:pPr>
    </w:p>
    <w:p w14:paraId="6D2E7CA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65AAEC7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42D1377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558F84F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2DB7B64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4C4EC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514D10B8">
      <w:pPr>
        <w:spacing w:line="115" w:lineRule="exact"/>
        <w:rPr>
          <w:color w:val="000000"/>
        </w:rPr>
      </w:pPr>
    </w:p>
    <w:tbl>
      <w:tblPr>
        <w:tblStyle w:val="10"/>
        <w:tblW w:w="9900" w:type="dxa"/>
        <w:tblInd w:w="-7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8"/>
        <w:gridCol w:w="1116"/>
        <w:gridCol w:w="996"/>
        <w:gridCol w:w="912"/>
        <w:gridCol w:w="1188"/>
        <w:gridCol w:w="960"/>
        <w:gridCol w:w="1020"/>
      </w:tblGrid>
      <w:tr w14:paraId="3DC90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08" w:type="dxa"/>
            <w:tcBorders>
              <w:bottom w:val="nil"/>
            </w:tcBorders>
            <w:noWrap w:val="0"/>
            <w:vAlign w:val="center"/>
          </w:tcPr>
          <w:p w14:paraId="29ED3E10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295C3AB0">
            <w:pPr>
              <w:spacing w:before="103" w:line="219" w:lineRule="auto"/>
              <w:ind w:left="708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岳阳市岳阳楼区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康岳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小学</w:t>
            </w:r>
          </w:p>
        </w:tc>
      </w:tr>
      <w:tr w14:paraId="30B3C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top"/>
          </w:tcPr>
          <w:p w14:paraId="1BD34549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财政供养人员情况(人)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15CF703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2"/>
                <w:szCs w:val="22"/>
              </w:rPr>
              <w:t>编制数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64AEE1D2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年实际在职人数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3DE9F871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控制率</w:t>
            </w:r>
          </w:p>
        </w:tc>
      </w:tr>
      <w:tr w14:paraId="3FC5A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20115332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gridSpan w:val="2"/>
            <w:noWrap w:val="0"/>
            <w:vAlign w:val="top"/>
          </w:tcPr>
          <w:p w14:paraId="22C28A4C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2296DEA6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3AA2E50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100.00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%</w:t>
            </w:r>
          </w:p>
        </w:tc>
      </w:tr>
      <w:tr w14:paraId="1ECB9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708" w:type="dxa"/>
            <w:noWrap w:val="0"/>
            <w:vAlign w:val="top"/>
          </w:tcPr>
          <w:p w14:paraId="7341AD24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2"/>
                <w:szCs w:val="22"/>
              </w:rPr>
              <w:t>经费控制情况(万元)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6C14772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年决算数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4CE7FC40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年预算数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79E80EEA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年决算数</w:t>
            </w:r>
          </w:p>
        </w:tc>
      </w:tr>
      <w:tr w14:paraId="4C549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173442F4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三公经费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26A61F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586721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61A7EA3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221E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3708" w:type="dxa"/>
            <w:noWrap w:val="0"/>
            <w:vAlign w:val="top"/>
          </w:tcPr>
          <w:p w14:paraId="289E0DCA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1、公务用车购置和维护经费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0E65E7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153C38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5EF8890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6F4F9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026FA013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其中：公车购置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53E9AE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88A222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5D5E627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0629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2F6D6F89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公车运行维护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B90E80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04D60D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2E308AB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09BA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708" w:type="dxa"/>
            <w:noWrap w:val="0"/>
            <w:vAlign w:val="top"/>
          </w:tcPr>
          <w:p w14:paraId="4D3AB6C7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2、出国经费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95F0BF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7BA746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2A95852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10E74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263BD60B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3、公务接待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19BD4A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548825C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58551C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191A6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01D39633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2"/>
                <w:szCs w:val="22"/>
              </w:rPr>
              <w:t>项目支出：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5C5FED1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108.25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47231B9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45074C00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147.45</w:t>
            </w:r>
          </w:p>
        </w:tc>
      </w:tr>
      <w:tr w14:paraId="3D843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0D561EC9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1、业务工作经费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9CEB29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108.25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575732F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76E4DDA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147.45</w:t>
            </w:r>
          </w:p>
        </w:tc>
      </w:tr>
      <w:tr w14:paraId="6DDC1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708" w:type="dxa"/>
            <w:noWrap w:val="0"/>
            <w:vAlign w:val="top"/>
          </w:tcPr>
          <w:p w14:paraId="7C76D17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2、运行维护经费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73196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A70A0B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4D85D55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CA57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53168A9A">
            <w:pPr>
              <w:spacing w:before="93" w:line="219" w:lineRule="auto"/>
              <w:ind w:firstLine="448" w:firstLineChars="2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级专项资金(一个专项一行)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6A7D6F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3400BB3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35ADD2A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19DE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7DD8D9F5">
            <w:pPr>
              <w:spacing w:before="85" w:line="220" w:lineRule="auto"/>
              <w:ind w:firstLine="45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635FC4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4B876F1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7671816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76A40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312C821C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公用经费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488849E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43.59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792B71D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49.54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680A3B0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165.35</w:t>
            </w:r>
          </w:p>
        </w:tc>
      </w:tr>
      <w:tr w14:paraId="323DB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708" w:type="dxa"/>
            <w:noWrap w:val="0"/>
            <w:vAlign w:val="top"/>
          </w:tcPr>
          <w:p w14:paraId="014A3CCF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其中：办公经费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015075A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11.09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4A90FF5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16.58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5CF57AA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8.67</w:t>
            </w:r>
          </w:p>
        </w:tc>
      </w:tr>
      <w:tr w14:paraId="3615B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53ECD104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水费、电费、差旅费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2864091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3.21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785873B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2.50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4FC8444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3.82</w:t>
            </w:r>
          </w:p>
        </w:tc>
      </w:tr>
      <w:tr w14:paraId="43FBD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708" w:type="dxa"/>
            <w:noWrap w:val="0"/>
            <w:vAlign w:val="top"/>
          </w:tcPr>
          <w:p w14:paraId="30C80F65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会议费、培训费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30ACF81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7EDB7C5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2.24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2B3378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2.92</w:t>
            </w:r>
          </w:p>
        </w:tc>
      </w:tr>
      <w:tr w14:paraId="486BA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708" w:type="dxa"/>
            <w:noWrap w:val="0"/>
            <w:vAlign w:val="top"/>
          </w:tcPr>
          <w:p w14:paraId="187AF4E3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政府采购金额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1C5400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23.33</w:t>
            </w:r>
          </w:p>
        </w:tc>
        <w:tc>
          <w:tcPr>
            <w:tcW w:w="2100" w:type="dxa"/>
            <w:gridSpan w:val="2"/>
            <w:noWrap w:val="0"/>
            <w:vAlign w:val="top"/>
          </w:tcPr>
          <w:p w14:paraId="7865052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29.60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3209AB2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45.34</w:t>
            </w:r>
          </w:p>
        </w:tc>
      </w:tr>
      <w:tr w14:paraId="1775D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708" w:type="dxa"/>
            <w:noWrap w:val="0"/>
            <w:vAlign w:val="top"/>
          </w:tcPr>
          <w:p w14:paraId="01252032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部门基本支出预算调整</w:t>
            </w:r>
          </w:p>
        </w:tc>
        <w:tc>
          <w:tcPr>
            <w:tcW w:w="2112" w:type="dxa"/>
            <w:gridSpan w:val="2"/>
            <w:noWrap w:val="0"/>
            <w:vAlign w:val="top"/>
          </w:tcPr>
          <w:p w14:paraId="7483BD6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2"/>
            <w:noWrap w:val="0"/>
            <w:vAlign w:val="top"/>
          </w:tcPr>
          <w:p w14:paraId="7CE1240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7514944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9486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708" w:type="dxa"/>
            <w:vMerge w:val="restart"/>
            <w:tcBorders>
              <w:bottom w:val="nil"/>
            </w:tcBorders>
            <w:noWrap w:val="0"/>
            <w:vAlign w:val="center"/>
          </w:tcPr>
          <w:p w14:paraId="4D9CB2BC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2"/>
                <w:szCs w:val="22"/>
              </w:rPr>
              <w:t>楼堂馆所控制情况</w:t>
            </w:r>
          </w:p>
          <w:p w14:paraId="05D2AB41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年完工项目)</w:t>
            </w:r>
          </w:p>
        </w:tc>
        <w:tc>
          <w:tcPr>
            <w:tcW w:w="1116" w:type="dxa"/>
            <w:noWrap w:val="0"/>
            <w:vAlign w:val="center"/>
          </w:tcPr>
          <w:p w14:paraId="3656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批复规模</w:t>
            </w:r>
          </w:p>
          <w:p w14:paraId="1B270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(m²)</w:t>
            </w:r>
          </w:p>
        </w:tc>
        <w:tc>
          <w:tcPr>
            <w:tcW w:w="996" w:type="dxa"/>
            <w:noWrap w:val="0"/>
            <w:vAlign w:val="center"/>
          </w:tcPr>
          <w:p w14:paraId="3F5B5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实际规</w:t>
            </w:r>
          </w:p>
          <w:p w14:paraId="2A75E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模(m²)</w:t>
            </w:r>
          </w:p>
        </w:tc>
        <w:tc>
          <w:tcPr>
            <w:tcW w:w="912" w:type="dxa"/>
            <w:noWrap w:val="0"/>
            <w:vAlign w:val="center"/>
          </w:tcPr>
          <w:p w14:paraId="3084D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规模控制率</w:t>
            </w:r>
          </w:p>
        </w:tc>
        <w:tc>
          <w:tcPr>
            <w:tcW w:w="1188" w:type="dxa"/>
            <w:noWrap w:val="0"/>
            <w:vAlign w:val="center"/>
          </w:tcPr>
          <w:p w14:paraId="2F50A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预算投资</w:t>
            </w:r>
          </w:p>
          <w:p w14:paraId="42082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960" w:type="dxa"/>
            <w:noWrap w:val="0"/>
            <w:vAlign w:val="center"/>
          </w:tcPr>
          <w:p w14:paraId="55ACE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实际投资</w:t>
            </w:r>
          </w:p>
          <w:p w14:paraId="0A8EC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020" w:type="dxa"/>
            <w:noWrap w:val="0"/>
            <w:vAlign w:val="center"/>
          </w:tcPr>
          <w:p w14:paraId="66226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投资概</w:t>
            </w:r>
          </w:p>
          <w:p w14:paraId="1005F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算控制率</w:t>
            </w:r>
          </w:p>
        </w:tc>
      </w:tr>
      <w:tr w14:paraId="516A8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3708" w:type="dxa"/>
            <w:vMerge w:val="continue"/>
            <w:tcBorders>
              <w:top w:val="nil"/>
            </w:tcBorders>
            <w:noWrap w:val="0"/>
            <w:vAlign w:val="top"/>
          </w:tcPr>
          <w:p w14:paraId="31C51AB0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noWrap w:val="0"/>
            <w:vAlign w:val="top"/>
          </w:tcPr>
          <w:p w14:paraId="3F0A705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noWrap w:val="0"/>
            <w:vAlign w:val="top"/>
          </w:tcPr>
          <w:p w14:paraId="7B71EAB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noWrap w:val="0"/>
            <w:vAlign w:val="top"/>
          </w:tcPr>
          <w:p w14:paraId="3646FBC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noWrap w:val="0"/>
            <w:vAlign w:val="top"/>
          </w:tcPr>
          <w:p w14:paraId="42E64B7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 w:val="0"/>
            <w:vAlign w:val="top"/>
          </w:tcPr>
          <w:p w14:paraId="7CB11C2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noWrap w:val="0"/>
            <w:vAlign w:val="top"/>
          </w:tcPr>
          <w:p w14:paraId="6FB5DCB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FA0A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708" w:type="dxa"/>
            <w:noWrap w:val="0"/>
            <w:vAlign w:val="top"/>
          </w:tcPr>
          <w:p w14:paraId="4081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厉行节约保障措施</w:t>
            </w:r>
          </w:p>
        </w:tc>
        <w:tc>
          <w:tcPr>
            <w:tcW w:w="6192" w:type="dxa"/>
            <w:gridSpan w:val="6"/>
            <w:noWrap w:val="0"/>
            <w:vAlign w:val="top"/>
          </w:tcPr>
          <w:p w14:paraId="0FEE3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72C3D8A3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</w:p>
    <w:p w14:paraId="2840624A">
      <w:pPr>
        <w:tabs>
          <w:tab w:val="left" w:pos="2572"/>
        </w:tabs>
        <w:bidi w:val="0"/>
        <w:jc w:val="left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杨明玮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联系电话：18692113680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2025年7月5日</w:t>
      </w:r>
    </w:p>
    <w:p w14:paraId="20C6DD05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7A2638B2">
      <w:pPr>
        <w:pStyle w:val="2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664D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66014BE5">
      <w:pPr>
        <w:spacing w:line="132" w:lineRule="exact"/>
      </w:pPr>
    </w:p>
    <w:tbl>
      <w:tblPr>
        <w:tblStyle w:val="10"/>
        <w:tblW w:w="9948" w:type="dxa"/>
        <w:tblInd w:w="-7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104"/>
        <w:gridCol w:w="1020"/>
        <w:gridCol w:w="1212"/>
        <w:gridCol w:w="1332"/>
        <w:gridCol w:w="1200"/>
        <w:gridCol w:w="636"/>
        <w:gridCol w:w="948"/>
        <w:gridCol w:w="1536"/>
      </w:tblGrid>
      <w:tr w14:paraId="1305E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4" w:type="dxa"/>
            <w:gridSpan w:val="3"/>
            <w:noWrap w:val="0"/>
            <w:vAlign w:val="top"/>
          </w:tcPr>
          <w:p w14:paraId="5C7AD8CE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64" w:type="dxa"/>
            <w:gridSpan w:val="6"/>
            <w:noWrap w:val="0"/>
            <w:vAlign w:val="top"/>
          </w:tcPr>
          <w:p w14:paraId="11524593">
            <w:pPr>
              <w:pStyle w:val="11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岳阳市岳阳楼区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康岳</w:t>
            </w:r>
            <w:r>
              <w:rPr>
                <w:rFonts w:hint="eastAsia" w:ascii="宋体" w:hAnsi="宋体" w:eastAsia="宋体" w:cs="宋体"/>
                <w:sz w:val="20"/>
              </w:rPr>
              <w:t>小学</w:t>
            </w:r>
          </w:p>
        </w:tc>
      </w:tr>
      <w:tr w14:paraId="2F7AE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0EC1474A">
            <w:pPr>
              <w:pStyle w:val="11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3DDAACF5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年度预</w:t>
            </w:r>
          </w:p>
          <w:p w14:paraId="74B1466A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算申请</w:t>
            </w:r>
          </w:p>
          <w:p w14:paraId="5464F741">
            <w:pPr>
              <w:spacing w:before="62" w:line="232" w:lineRule="auto"/>
              <w:ind w:right="144" w:firstLine="194" w:firstLineChars="100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9"/>
                <w:szCs w:val="19"/>
                <w:lang w:val="en-US" w:eastAsia="zh-CN" w:bidi="ar-SA"/>
              </w:rPr>
              <w:t>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ED5E358">
            <w:pPr>
              <w:pStyle w:val="11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12" w:type="dxa"/>
            <w:noWrap w:val="0"/>
            <w:vAlign w:val="top"/>
          </w:tcPr>
          <w:p w14:paraId="5D414DE0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32" w:type="dxa"/>
            <w:noWrap w:val="0"/>
            <w:vAlign w:val="top"/>
          </w:tcPr>
          <w:p w14:paraId="7C9B64D4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00" w:type="dxa"/>
            <w:noWrap w:val="0"/>
            <w:vAlign w:val="top"/>
          </w:tcPr>
          <w:p w14:paraId="6C400F79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36" w:type="dxa"/>
            <w:noWrap w:val="0"/>
            <w:vAlign w:val="top"/>
          </w:tcPr>
          <w:p w14:paraId="425A8A78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2437F102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536" w:type="dxa"/>
            <w:noWrap w:val="0"/>
            <w:vAlign w:val="top"/>
          </w:tcPr>
          <w:p w14:paraId="6BBF08D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264B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7C188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64D61441">
            <w:pPr>
              <w:spacing w:before="20" w:line="208" w:lineRule="auto"/>
              <w:ind w:left="46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12" w:type="dxa"/>
            <w:noWrap w:val="0"/>
            <w:vAlign w:val="top"/>
          </w:tcPr>
          <w:p w14:paraId="6B8D900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579.25</w:t>
            </w:r>
          </w:p>
        </w:tc>
        <w:tc>
          <w:tcPr>
            <w:tcW w:w="1332" w:type="dxa"/>
            <w:noWrap w:val="0"/>
            <w:vAlign w:val="top"/>
          </w:tcPr>
          <w:p w14:paraId="5E98804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849.53</w:t>
            </w:r>
          </w:p>
        </w:tc>
        <w:tc>
          <w:tcPr>
            <w:tcW w:w="1200" w:type="dxa"/>
            <w:noWrap w:val="0"/>
            <w:vAlign w:val="top"/>
          </w:tcPr>
          <w:p w14:paraId="0C2A1C8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843.5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2</w:t>
            </w:r>
          </w:p>
        </w:tc>
        <w:tc>
          <w:tcPr>
            <w:tcW w:w="636" w:type="dxa"/>
            <w:noWrap w:val="0"/>
            <w:vAlign w:val="top"/>
          </w:tcPr>
          <w:p w14:paraId="66F9AC7B">
            <w:pPr>
              <w:pStyle w:val="11"/>
              <w:spacing w:before="54" w:line="194" w:lineRule="auto"/>
              <w:ind w:left="270"/>
              <w:jc w:val="both"/>
              <w:rPr>
                <w:rFonts w:hint="default" w:ascii="宋体" w:hAnsi="宋体" w:eastAsia="宋体" w:cs="宋体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53CE796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99.29%</w:t>
            </w:r>
          </w:p>
        </w:tc>
        <w:tc>
          <w:tcPr>
            <w:tcW w:w="1536" w:type="dxa"/>
            <w:noWrap w:val="0"/>
            <w:vAlign w:val="top"/>
          </w:tcPr>
          <w:p w14:paraId="3C10AB0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9.93</w:t>
            </w:r>
          </w:p>
        </w:tc>
      </w:tr>
      <w:tr w14:paraId="47287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B656A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18987E00">
            <w:pPr>
              <w:spacing w:before="22" w:line="206" w:lineRule="auto"/>
              <w:ind w:left="111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26213A82">
            <w:pPr>
              <w:spacing w:before="22" w:line="206" w:lineRule="auto"/>
              <w:ind w:left="11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2B8E3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33378E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29941CCF">
            <w:pPr>
              <w:spacing w:before="21" w:line="207" w:lineRule="auto"/>
              <w:ind w:left="312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一般公共预算：7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15.60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3E6AF96B">
            <w:pPr>
              <w:spacing w:before="21" w:line="207" w:lineRule="auto"/>
              <w:ind w:left="115"/>
              <w:jc w:val="left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其中：基本支出：696.0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7</w:t>
            </w:r>
          </w:p>
        </w:tc>
      </w:tr>
      <w:tr w14:paraId="622EE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880885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1F84E992">
            <w:pPr>
              <w:spacing w:before="21" w:line="207" w:lineRule="auto"/>
              <w:ind w:left="916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6C7146AA">
            <w:pPr>
              <w:spacing w:before="21" w:line="207" w:lineRule="auto"/>
              <w:ind w:left="71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项目支出：147.45</w:t>
            </w:r>
          </w:p>
        </w:tc>
      </w:tr>
      <w:tr w14:paraId="5621F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149A8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4FF684AC">
            <w:pPr>
              <w:spacing w:before="20" w:line="208" w:lineRule="auto"/>
              <w:ind w:left="115"/>
              <w:jc w:val="left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7D031E8C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8F6F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12F798F6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5E121BA7">
            <w:pPr>
              <w:spacing w:before="20" w:line="208" w:lineRule="auto"/>
              <w:ind w:left="1512"/>
              <w:jc w:val="left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其他资金：127.9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04102E4C">
            <w:pPr>
              <w:pStyle w:val="11"/>
              <w:spacing w:line="235" w:lineRule="exact"/>
              <w:jc w:val="lef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2BC2F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34FBD2E2">
            <w:pPr>
              <w:pStyle w:val="11"/>
              <w:spacing w:line="24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8D83DC4">
            <w:pPr>
              <w:pStyle w:val="11"/>
              <w:spacing w:line="24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01BBB678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5CD6955C">
            <w:pPr>
              <w:spacing w:before="62" w:line="230" w:lineRule="auto"/>
              <w:ind w:left="382" w:right="139" w:hanging="232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</w:pPr>
          </w:p>
          <w:p w14:paraId="01392327">
            <w:pPr>
              <w:spacing w:before="62" w:line="230" w:lineRule="auto"/>
              <w:ind w:right="13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en-US" w:bidi="ar-SA"/>
              </w:rPr>
              <w:t>年度总体目标</w:t>
            </w:r>
          </w:p>
        </w:tc>
        <w:tc>
          <w:tcPr>
            <w:tcW w:w="4668" w:type="dxa"/>
            <w:gridSpan w:val="4"/>
            <w:noWrap w:val="0"/>
            <w:vAlign w:val="top"/>
          </w:tcPr>
          <w:p w14:paraId="35040126">
            <w:pPr>
              <w:spacing w:before="20" w:line="208" w:lineRule="auto"/>
              <w:ind w:left="1959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300246A0">
            <w:pPr>
              <w:spacing w:before="20" w:line="208" w:lineRule="auto"/>
              <w:ind w:left="1567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6ED0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0E8ED82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668" w:type="dxa"/>
            <w:gridSpan w:val="4"/>
            <w:noWrap w:val="0"/>
            <w:vAlign w:val="top"/>
          </w:tcPr>
          <w:p w14:paraId="6AFB8B8D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目标1：购置相关仪器设备，保证教学质量。</w:t>
            </w:r>
          </w:p>
          <w:p w14:paraId="1BBD6E24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目标2：做好后勤保障管理工作，解决师生后顾之忧，为师生提供良好的教学环境。</w:t>
            </w:r>
          </w:p>
          <w:p w14:paraId="03CD51E5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目标3：引进优质教师，开展教师培训工作，建立优质的师资队伍。</w:t>
            </w:r>
          </w:p>
          <w:p w14:paraId="0C2E4481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目标4：丰富学生课外活动，拓展学生课外知识，调整学生学习心态，秉持以人为本的教育方式。</w:t>
            </w:r>
          </w:p>
          <w:p w14:paraId="73A5A230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目标5：落实“双减”任务，减轻学生过重作业负担和校外培训负担。</w:t>
            </w:r>
          </w:p>
        </w:tc>
        <w:tc>
          <w:tcPr>
            <w:tcW w:w="4320" w:type="dxa"/>
            <w:gridSpan w:val="4"/>
            <w:noWrap w:val="0"/>
            <w:vAlign w:val="top"/>
          </w:tcPr>
          <w:p w14:paraId="581ACDBC">
            <w:pPr>
              <w:pStyle w:val="11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目标1：及时购置教学设备，保证教学质量。</w:t>
            </w:r>
          </w:p>
          <w:p w14:paraId="5D0ADE84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目标2：我校后勤工作得到进一步的规范，严格落实收费规定，无违规收费现象。做好学校经费收支管理，量入为出，收支平衡，保障重点。</w:t>
            </w:r>
          </w:p>
          <w:p w14:paraId="4DB916E9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目标3：开展“师徒结对”活动，为年轻教师的成长搭建了良好的平台。名师示范课和徒弟汇报课，增强了教师队伍的凝聚力，提升了整体教学实力。</w:t>
            </w:r>
          </w:p>
          <w:p w14:paraId="3C3FD43F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4：语文教研组组织了作业书写大赛、亲子共读、经典诵读等一系列活动。英语教研组积极开展“我爱记单词”拓宽孩子词汇量。数学教研组织学生进行手工创作大赛。扎实开展“阳光体育”活动，确保学生每天体育锻炼1小时。</w:t>
            </w:r>
          </w:p>
          <w:p w14:paraId="39332E57">
            <w:pPr>
              <w:pStyle w:val="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目标5：积极落实“双减”政策，严格控制学生作业总量。</w:t>
            </w:r>
          </w:p>
        </w:tc>
      </w:tr>
      <w:tr w14:paraId="7FD17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6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FD7276A">
            <w:pPr>
              <w:pStyle w:val="11"/>
              <w:spacing w:line="364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1C00D9DE">
            <w:pPr>
              <w:spacing w:before="64" w:line="216" w:lineRule="auto"/>
              <w:ind w:left="316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7A4002ED">
            <w:pPr>
              <w:spacing w:before="141" w:line="226" w:lineRule="auto"/>
              <w:ind w:left="15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20" w:type="dxa"/>
            <w:noWrap w:val="0"/>
            <w:vAlign w:val="top"/>
          </w:tcPr>
          <w:p w14:paraId="4E7B83BD">
            <w:pPr>
              <w:spacing w:before="141" w:line="226" w:lineRule="auto"/>
              <w:ind w:left="13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12" w:type="dxa"/>
            <w:noWrap w:val="0"/>
            <w:vAlign w:val="top"/>
          </w:tcPr>
          <w:p w14:paraId="232E72AF">
            <w:pPr>
              <w:spacing w:before="141" w:line="226" w:lineRule="auto"/>
              <w:ind w:left="25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32" w:type="dxa"/>
            <w:noWrap w:val="0"/>
            <w:vAlign w:val="top"/>
          </w:tcPr>
          <w:p w14:paraId="27F09F8B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00" w:type="dxa"/>
            <w:noWrap w:val="0"/>
            <w:vAlign w:val="top"/>
          </w:tcPr>
          <w:p w14:paraId="6D4E1CA8">
            <w:pPr>
              <w:spacing w:before="141" w:line="226" w:lineRule="auto"/>
              <w:ind w:left="12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636" w:type="dxa"/>
            <w:noWrap w:val="0"/>
            <w:vAlign w:val="top"/>
          </w:tcPr>
          <w:p w14:paraId="7C59B40D">
            <w:pPr>
              <w:spacing w:before="141" w:line="227" w:lineRule="auto"/>
              <w:ind w:left="16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948" w:type="dxa"/>
            <w:noWrap w:val="0"/>
            <w:vAlign w:val="top"/>
          </w:tcPr>
          <w:p w14:paraId="433EE910">
            <w:pPr>
              <w:spacing w:before="174" w:line="218" w:lineRule="auto"/>
              <w:ind w:left="150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自评得分</w:t>
            </w:r>
          </w:p>
        </w:tc>
        <w:tc>
          <w:tcPr>
            <w:tcW w:w="1536" w:type="dxa"/>
            <w:noWrap w:val="0"/>
            <w:vAlign w:val="top"/>
          </w:tcPr>
          <w:p w14:paraId="435C8AAE">
            <w:pPr>
              <w:spacing w:before="21" w:line="220" w:lineRule="auto"/>
              <w:ind w:left="111" w:right="109" w:firstLine="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2426A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DC14AF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0F1A448F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485D1A1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5F7F6CB7">
            <w:pPr>
              <w:pStyle w:val="11"/>
              <w:spacing w:line="272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41C609C">
            <w:pPr>
              <w:pStyle w:val="11"/>
              <w:spacing w:line="273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5E4AF7D1">
            <w:pPr>
              <w:spacing w:before="62" w:line="450" w:lineRule="exact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4C8617A4">
            <w:pPr>
              <w:spacing w:line="261" w:lineRule="exact"/>
              <w:ind w:left="25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noWrap w:val="0"/>
            <w:vAlign w:val="top"/>
          </w:tcPr>
          <w:p w14:paraId="6269C1BB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26BC47F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2" w:type="dxa"/>
            <w:noWrap w:val="0"/>
            <w:vAlign w:val="top"/>
          </w:tcPr>
          <w:p w14:paraId="598C13A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教师评课节次</w:t>
            </w:r>
          </w:p>
        </w:tc>
        <w:tc>
          <w:tcPr>
            <w:tcW w:w="1332" w:type="dxa"/>
            <w:noWrap w:val="0"/>
            <w:vAlign w:val="top"/>
          </w:tcPr>
          <w:p w14:paraId="3544A454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≥400节</w:t>
            </w:r>
          </w:p>
        </w:tc>
        <w:tc>
          <w:tcPr>
            <w:tcW w:w="1200" w:type="dxa"/>
            <w:noWrap w:val="0"/>
            <w:vAlign w:val="top"/>
          </w:tcPr>
          <w:p w14:paraId="45AC86C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400节</w:t>
            </w:r>
          </w:p>
        </w:tc>
        <w:tc>
          <w:tcPr>
            <w:tcW w:w="636" w:type="dxa"/>
            <w:noWrap w:val="0"/>
            <w:vAlign w:val="top"/>
          </w:tcPr>
          <w:p w14:paraId="2CDF9C4B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145ED2F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38215BE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31A2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71800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B6A56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609E9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8297F0B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教师培训次数</w:t>
            </w:r>
          </w:p>
        </w:tc>
        <w:tc>
          <w:tcPr>
            <w:tcW w:w="1332" w:type="dxa"/>
            <w:noWrap w:val="0"/>
            <w:vAlign w:val="top"/>
          </w:tcPr>
          <w:p w14:paraId="290092C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≥3次</w:t>
            </w:r>
          </w:p>
        </w:tc>
        <w:tc>
          <w:tcPr>
            <w:tcW w:w="1200" w:type="dxa"/>
            <w:noWrap w:val="0"/>
            <w:vAlign w:val="top"/>
          </w:tcPr>
          <w:p w14:paraId="378B7353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5次</w:t>
            </w:r>
          </w:p>
        </w:tc>
        <w:tc>
          <w:tcPr>
            <w:tcW w:w="636" w:type="dxa"/>
            <w:noWrap w:val="0"/>
            <w:vAlign w:val="top"/>
          </w:tcPr>
          <w:p w14:paraId="792871C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7374934E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62C85B5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9DCD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EDB6B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6611D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restart"/>
            <w:tcBorders>
              <w:bottom w:val="nil"/>
            </w:tcBorders>
            <w:noWrap w:val="0"/>
            <w:vAlign w:val="top"/>
          </w:tcPr>
          <w:p w14:paraId="23ED046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7927D13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质量指标</w:t>
            </w:r>
          </w:p>
        </w:tc>
        <w:tc>
          <w:tcPr>
            <w:tcW w:w="1212" w:type="dxa"/>
            <w:noWrap w:val="0"/>
            <w:vAlign w:val="top"/>
          </w:tcPr>
          <w:p w14:paraId="54DDCD63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小学生毕业率</w:t>
            </w:r>
          </w:p>
        </w:tc>
        <w:tc>
          <w:tcPr>
            <w:tcW w:w="1332" w:type="dxa"/>
            <w:noWrap w:val="0"/>
            <w:vAlign w:val="top"/>
          </w:tcPr>
          <w:p w14:paraId="457F3CE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≧100%</w:t>
            </w:r>
          </w:p>
        </w:tc>
        <w:tc>
          <w:tcPr>
            <w:tcW w:w="1200" w:type="dxa"/>
            <w:noWrap w:val="0"/>
            <w:vAlign w:val="top"/>
          </w:tcPr>
          <w:p w14:paraId="0C99666E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45FE559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948" w:type="dxa"/>
            <w:noWrap w:val="0"/>
            <w:vAlign w:val="top"/>
          </w:tcPr>
          <w:p w14:paraId="0E9857F3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1536" w:type="dxa"/>
            <w:noWrap w:val="0"/>
            <w:vAlign w:val="top"/>
          </w:tcPr>
          <w:p w14:paraId="484BF83E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7EF1AA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A1C613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44BB64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CD094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7BDFDB3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安全教育宣传覆盖率</w:t>
            </w:r>
          </w:p>
        </w:tc>
        <w:tc>
          <w:tcPr>
            <w:tcW w:w="1332" w:type="dxa"/>
            <w:noWrap w:val="0"/>
            <w:vAlign w:val="top"/>
          </w:tcPr>
          <w:p w14:paraId="22C406E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≧100%</w:t>
            </w:r>
          </w:p>
        </w:tc>
        <w:tc>
          <w:tcPr>
            <w:tcW w:w="1200" w:type="dxa"/>
            <w:noWrap w:val="0"/>
            <w:vAlign w:val="top"/>
          </w:tcPr>
          <w:p w14:paraId="3129CFEF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100%</w:t>
            </w:r>
          </w:p>
        </w:tc>
        <w:tc>
          <w:tcPr>
            <w:tcW w:w="636" w:type="dxa"/>
            <w:noWrap w:val="0"/>
            <w:vAlign w:val="top"/>
          </w:tcPr>
          <w:p w14:paraId="0E35940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5FF9E502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255EA37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DDC6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E584B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DB8B6C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26A786B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时效指标</w:t>
            </w:r>
          </w:p>
        </w:tc>
        <w:tc>
          <w:tcPr>
            <w:tcW w:w="1212" w:type="dxa"/>
            <w:noWrap w:val="0"/>
            <w:vAlign w:val="top"/>
          </w:tcPr>
          <w:p w14:paraId="1F793481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及时完成在校学生的春、秋两季教学计划</w:t>
            </w:r>
          </w:p>
        </w:tc>
        <w:tc>
          <w:tcPr>
            <w:tcW w:w="1332" w:type="dxa"/>
            <w:noWrap w:val="0"/>
            <w:vAlign w:val="top"/>
          </w:tcPr>
          <w:p w14:paraId="0B62165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1200" w:type="dxa"/>
            <w:noWrap w:val="0"/>
            <w:vAlign w:val="top"/>
          </w:tcPr>
          <w:p w14:paraId="739422B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及时</w:t>
            </w:r>
          </w:p>
        </w:tc>
        <w:tc>
          <w:tcPr>
            <w:tcW w:w="636" w:type="dxa"/>
            <w:noWrap w:val="0"/>
            <w:vAlign w:val="top"/>
          </w:tcPr>
          <w:p w14:paraId="37042BE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489D5A5D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4F7469B9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2C13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ED4108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E3DE6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19D01EB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12" w:type="dxa"/>
            <w:noWrap w:val="0"/>
            <w:vAlign w:val="top"/>
          </w:tcPr>
          <w:p w14:paraId="26DBE27C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全年经费开支控制在预算内</w:t>
            </w:r>
          </w:p>
        </w:tc>
        <w:tc>
          <w:tcPr>
            <w:tcW w:w="1332" w:type="dxa"/>
            <w:noWrap w:val="0"/>
            <w:vAlign w:val="top"/>
          </w:tcPr>
          <w:p w14:paraId="5F69A95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控制在预算</w:t>
            </w:r>
          </w:p>
        </w:tc>
        <w:tc>
          <w:tcPr>
            <w:tcW w:w="1200" w:type="dxa"/>
            <w:noWrap w:val="0"/>
            <w:vAlign w:val="top"/>
          </w:tcPr>
          <w:p w14:paraId="390BB3C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控制在预算</w:t>
            </w:r>
          </w:p>
        </w:tc>
        <w:tc>
          <w:tcPr>
            <w:tcW w:w="636" w:type="dxa"/>
            <w:noWrap w:val="0"/>
            <w:vAlign w:val="top"/>
          </w:tcPr>
          <w:p w14:paraId="059905B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948" w:type="dxa"/>
            <w:noWrap w:val="0"/>
            <w:vAlign w:val="top"/>
          </w:tcPr>
          <w:p w14:paraId="64725509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1536" w:type="dxa"/>
            <w:noWrap w:val="0"/>
            <w:vAlign w:val="top"/>
          </w:tcPr>
          <w:p w14:paraId="14EB059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5B23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0A48C6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5DCEC46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73E5D2DC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04A8B7D7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5DDCE007">
            <w:pPr>
              <w:pStyle w:val="11"/>
              <w:spacing w:line="256" w:lineRule="auto"/>
              <w:jc w:val="center"/>
              <w:rPr>
                <w:rFonts w:hint="eastAsia" w:ascii="宋体" w:hAnsi="宋体" w:eastAsia="宋体" w:cs="宋体"/>
              </w:rPr>
            </w:pPr>
          </w:p>
          <w:p w14:paraId="368BAE4A">
            <w:pPr>
              <w:spacing w:before="62" w:line="480" w:lineRule="exact"/>
              <w:ind w:left="11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3EABF5A3">
            <w:pPr>
              <w:spacing w:line="227" w:lineRule="auto"/>
              <w:ind w:left="107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2D7DD8E9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经济效益指标</w:t>
            </w:r>
          </w:p>
        </w:tc>
        <w:tc>
          <w:tcPr>
            <w:tcW w:w="1212" w:type="dxa"/>
            <w:noWrap w:val="0"/>
            <w:vAlign w:val="top"/>
          </w:tcPr>
          <w:p w14:paraId="57E785D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332" w:type="dxa"/>
            <w:noWrap w:val="0"/>
            <w:vAlign w:val="top"/>
          </w:tcPr>
          <w:p w14:paraId="6FFDF22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1200" w:type="dxa"/>
            <w:noWrap w:val="0"/>
            <w:vAlign w:val="top"/>
          </w:tcPr>
          <w:p w14:paraId="4DC2894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不适用</w:t>
            </w:r>
          </w:p>
        </w:tc>
        <w:tc>
          <w:tcPr>
            <w:tcW w:w="636" w:type="dxa"/>
            <w:noWrap w:val="0"/>
            <w:vAlign w:val="top"/>
          </w:tcPr>
          <w:p w14:paraId="6E892A1E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948" w:type="dxa"/>
            <w:noWrap w:val="0"/>
            <w:vAlign w:val="top"/>
          </w:tcPr>
          <w:p w14:paraId="391FE6F1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536" w:type="dxa"/>
            <w:noWrap w:val="0"/>
            <w:vAlign w:val="top"/>
          </w:tcPr>
          <w:p w14:paraId="513BFEB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248D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03D45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8CD0A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65B1B84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社会效益指标</w:t>
            </w:r>
          </w:p>
        </w:tc>
        <w:tc>
          <w:tcPr>
            <w:tcW w:w="1212" w:type="dxa"/>
            <w:noWrap w:val="0"/>
            <w:vAlign w:val="top"/>
          </w:tcPr>
          <w:p w14:paraId="6539E9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改善城区教育教学水平</w:t>
            </w:r>
          </w:p>
        </w:tc>
        <w:tc>
          <w:tcPr>
            <w:tcW w:w="1332" w:type="dxa"/>
            <w:noWrap w:val="0"/>
            <w:vAlign w:val="top"/>
          </w:tcPr>
          <w:p w14:paraId="3338AC9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有所提升</w:t>
            </w:r>
          </w:p>
        </w:tc>
        <w:tc>
          <w:tcPr>
            <w:tcW w:w="1200" w:type="dxa"/>
            <w:noWrap w:val="0"/>
            <w:vAlign w:val="top"/>
          </w:tcPr>
          <w:p w14:paraId="586DF25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有所提升</w:t>
            </w:r>
          </w:p>
        </w:tc>
        <w:tc>
          <w:tcPr>
            <w:tcW w:w="636" w:type="dxa"/>
            <w:noWrap w:val="0"/>
            <w:vAlign w:val="top"/>
          </w:tcPr>
          <w:p w14:paraId="67D046D0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02799E8E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</w:t>
            </w:r>
          </w:p>
        </w:tc>
        <w:tc>
          <w:tcPr>
            <w:tcW w:w="1536" w:type="dxa"/>
            <w:noWrap w:val="0"/>
            <w:vAlign w:val="top"/>
          </w:tcPr>
          <w:p w14:paraId="62C0A36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2C5ED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7AFE4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0609D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65C1157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12" w:type="dxa"/>
            <w:noWrap w:val="0"/>
            <w:vAlign w:val="top"/>
          </w:tcPr>
          <w:p w14:paraId="2E909DB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无污染</w:t>
            </w:r>
          </w:p>
        </w:tc>
        <w:tc>
          <w:tcPr>
            <w:tcW w:w="1332" w:type="dxa"/>
            <w:noWrap w:val="0"/>
            <w:vAlign w:val="top"/>
          </w:tcPr>
          <w:p w14:paraId="1E980DA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无污染</w:t>
            </w:r>
          </w:p>
        </w:tc>
        <w:tc>
          <w:tcPr>
            <w:tcW w:w="1200" w:type="dxa"/>
            <w:noWrap w:val="0"/>
            <w:vAlign w:val="top"/>
          </w:tcPr>
          <w:p w14:paraId="652DBF52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无污染</w:t>
            </w:r>
          </w:p>
        </w:tc>
        <w:tc>
          <w:tcPr>
            <w:tcW w:w="636" w:type="dxa"/>
            <w:noWrap w:val="0"/>
            <w:vAlign w:val="top"/>
          </w:tcPr>
          <w:p w14:paraId="7029037B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45F68306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1536" w:type="dxa"/>
            <w:noWrap w:val="0"/>
            <w:vAlign w:val="top"/>
          </w:tcPr>
          <w:p w14:paraId="019CCD4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397E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705C09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F29A9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tcBorders>
              <w:bottom w:val="nil"/>
            </w:tcBorders>
            <w:noWrap w:val="0"/>
            <w:vAlign w:val="top"/>
          </w:tcPr>
          <w:p w14:paraId="078675BD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12" w:type="dxa"/>
            <w:noWrap w:val="0"/>
            <w:vAlign w:val="top"/>
          </w:tcPr>
          <w:p w14:paraId="48FEC9A4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教育事业持续发展</w:t>
            </w:r>
          </w:p>
        </w:tc>
        <w:tc>
          <w:tcPr>
            <w:tcW w:w="1332" w:type="dxa"/>
            <w:noWrap w:val="0"/>
            <w:vAlign w:val="top"/>
          </w:tcPr>
          <w:p w14:paraId="2785A2B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持续发展</w:t>
            </w:r>
          </w:p>
        </w:tc>
        <w:tc>
          <w:tcPr>
            <w:tcW w:w="1200" w:type="dxa"/>
            <w:noWrap w:val="0"/>
            <w:vAlign w:val="top"/>
          </w:tcPr>
          <w:p w14:paraId="35547E3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持续发展</w:t>
            </w:r>
          </w:p>
        </w:tc>
        <w:tc>
          <w:tcPr>
            <w:tcW w:w="636" w:type="dxa"/>
            <w:noWrap w:val="0"/>
            <w:vAlign w:val="top"/>
          </w:tcPr>
          <w:p w14:paraId="6F3E4647">
            <w:pPr>
              <w:spacing w:before="273" w:line="226" w:lineRule="auto"/>
              <w:ind w:left="125"/>
              <w:jc w:val="center"/>
              <w:rPr>
                <w:rFonts w:hint="default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948" w:type="dxa"/>
            <w:noWrap w:val="0"/>
            <w:vAlign w:val="top"/>
          </w:tcPr>
          <w:p w14:paraId="353BADBF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9</w:t>
            </w:r>
          </w:p>
        </w:tc>
        <w:tc>
          <w:tcPr>
            <w:tcW w:w="1536" w:type="dxa"/>
            <w:noWrap w:val="0"/>
            <w:vAlign w:val="top"/>
          </w:tcPr>
          <w:p w14:paraId="1F1EAC40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602CB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BF7E0A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5F3F8102">
            <w:pPr>
              <w:spacing w:before="110" w:line="226" w:lineRule="auto"/>
              <w:ind w:left="2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4BED2B9">
            <w:pPr>
              <w:spacing w:before="7" w:line="226" w:lineRule="auto"/>
              <w:ind w:left="345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A878D5A">
            <w:pPr>
              <w:spacing w:before="7" w:line="227" w:lineRule="auto"/>
              <w:ind w:left="11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noWrap w:val="0"/>
            <w:vAlign w:val="top"/>
          </w:tcPr>
          <w:p w14:paraId="3155F762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235C881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服务对象</w:t>
            </w:r>
          </w:p>
          <w:p w14:paraId="67BC0CEF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满意度指标</w:t>
            </w:r>
          </w:p>
        </w:tc>
        <w:tc>
          <w:tcPr>
            <w:tcW w:w="1212" w:type="dxa"/>
            <w:noWrap w:val="0"/>
            <w:vAlign w:val="top"/>
          </w:tcPr>
          <w:p w14:paraId="2200BB3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学生满意度</w:t>
            </w:r>
          </w:p>
        </w:tc>
        <w:tc>
          <w:tcPr>
            <w:tcW w:w="1332" w:type="dxa"/>
            <w:noWrap w:val="0"/>
            <w:vAlign w:val="top"/>
          </w:tcPr>
          <w:p w14:paraId="56C985C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6C318830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17DC1D1E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6FD0F8E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0BEA06D1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443A6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D5F106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90416D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423C56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F400FAA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家长满意度</w:t>
            </w:r>
          </w:p>
        </w:tc>
        <w:tc>
          <w:tcPr>
            <w:tcW w:w="1332" w:type="dxa"/>
            <w:noWrap w:val="0"/>
            <w:vAlign w:val="top"/>
          </w:tcPr>
          <w:p w14:paraId="399925F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34F9FD5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%</w:t>
            </w:r>
          </w:p>
        </w:tc>
        <w:tc>
          <w:tcPr>
            <w:tcW w:w="636" w:type="dxa"/>
            <w:noWrap w:val="0"/>
            <w:vAlign w:val="top"/>
          </w:tcPr>
          <w:p w14:paraId="53120AD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948" w:type="dxa"/>
            <w:noWrap w:val="0"/>
            <w:vAlign w:val="top"/>
          </w:tcPr>
          <w:p w14:paraId="7360B27B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536" w:type="dxa"/>
            <w:noWrap w:val="0"/>
            <w:vAlign w:val="top"/>
          </w:tcPr>
          <w:p w14:paraId="6E333143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377AD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9EA95B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57F3B4BB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20" w:type="dxa"/>
            <w:vMerge w:val="continue"/>
            <w:tcBorders>
              <w:top w:val="nil"/>
            </w:tcBorders>
            <w:noWrap w:val="0"/>
            <w:vAlign w:val="top"/>
          </w:tcPr>
          <w:p w14:paraId="5CF416B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BE6CDF2">
            <w:pPr>
              <w:spacing w:before="273" w:line="226" w:lineRule="auto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教职工满意度</w:t>
            </w:r>
          </w:p>
        </w:tc>
        <w:tc>
          <w:tcPr>
            <w:tcW w:w="1332" w:type="dxa"/>
            <w:noWrap w:val="0"/>
            <w:vAlign w:val="top"/>
          </w:tcPr>
          <w:p w14:paraId="55C2FB08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≥95%</w:t>
            </w:r>
          </w:p>
        </w:tc>
        <w:tc>
          <w:tcPr>
            <w:tcW w:w="1200" w:type="dxa"/>
            <w:noWrap w:val="0"/>
            <w:vAlign w:val="top"/>
          </w:tcPr>
          <w:p w14:paraId="763DBC9C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98%</w:t>
            </w:r>
          </w:p>
        </w:tc>
        <w:tc>
          <w:tcPr>
            <w:tcW w:w="636" w:type="dxa"/>
            <w:noWrap w:val="0"/>
            <w:vAlign w:val="top"/>
          </w:tcPr>
          <w:p w14:paraId="2318D6F5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948" w:type="dxa"/>
            <w:noWrap w:val="0"/>
            <w:vAlign w:val="top"/>
          </w:tcPr>
          <w:p w14:paraId="0AC7AC6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536" w:type="dxa"/>
            <w:noWrap w:val="0"/>
            <w:vAlign w:val="top"/>
          </w:tcPr>
          <w:p w14:paraId="6D5AEEFF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</w:tc>
      </w:tr>
      <w:tr w14:paraId="07E14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28" w:type="dxa"/>
            <w:gridSpan w:val="6"/>
            <w:noWrap w:val="0"/>
            <w:vAlign w:val="top"/>
          </w:tcPr>
          <w:p w14:paraId="3A7A847C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36" w:type="dxa"/>
            <w:noWrap w:val="0"/>
            <w:vAlign w:val="top"/>
          </w:tcPr>
          <w:p w14:paraId="6DD598DA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948" w:type="dxa"/>
            <w:noWrap w:val="0"/>
            <w:vAlign w:val="top"/>
          </w:tcPr>
          <w:p w14:paraId="7A0695B9">
            <w:pPr>
              <w:spacing w:before="75" w:line="195" w:lineRule="auto"/>
              <w:ind w:left="23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97.93</w:t>
            </w:r>
          </w:p>
        </w:tc>
        <w:tc>
          <w:tcPr>
            <w:tcW w:w="1536" w:type="dxa"/>
            <w:noWrap w:val="0"/>
            <w:vAlign w:val="top"/>
          </w:tcPr>
          <w:p w14:paraId="16D98A1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16B79CC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3D17F2BC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杨明玮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联系电话：18692113680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2025年7月5日</w:t>
      </w:r>
    </w:p>
    <w:p w14:paraId="43E6CDF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5892687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6015F4C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14357CD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C6681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315501B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/>
          <w:spacing w:val="8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0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1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1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1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1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1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1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1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1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4E204DA4">
      <w:pPr>
        <w:tabs>
          <w:tab w:val="left" w:pos="2572"/>
        </w:tabs>
        <w:bidi w:val="0"/>
        <w:jc w:val="left"/>
        <w:rPr>
          <w:rFonts w:hint="eastAsia"/>
          <w:spacing w:val="8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杨明玮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联系电话：18692113680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2025年7月5日</w:t>
      </w:r>
    </w:p>
    <w:sectPr>
      <w:footerReference r:id="rId3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4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D19D4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9B7776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92D1C9E"/>
    <w:rsid w:val="09377E5E"/>
    <w:rsid w:val="09383E9F"/>
    <w:rsid w:val="0939426E"/>
    <w:rsid w:val="093F4975"/>
    <w:rsid w:val="09504F8C"/>
    <w:rsid w:val="095C52F4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733B6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B26EB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7125D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C36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236E9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B22D6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25D3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20858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132621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E91FB3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D18EE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44840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0C5141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E5581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855086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46F9"/>
    <w:rsid w:val="573E1C0D"/>
    <w:rsid w:val="574216FD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43E81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F43E59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602DE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DE182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CF879E8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033F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4427</Words>
  <Characters>4835</Characters>
  <Lines>0</Lines>
  <Paragraphs>0</Paragraphs>
  <TotalTime>0</TotalTime>
  <ScaleCrop>false</ScaleCrop>
  <LinksUpToDate>false</LinksUpToDate>
  <CharactersWithSpaces>4907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高兴</cp:lastModifiedBy>
  <dcterms:modified xsi:type="dcterms:W3CDTF">2026-09-07T09:35:15Z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eyJoZGlkIjoiMGZkMGE0M2UzZmI3ZmZkNGVjNTg0MmI2MTcyZmQzMDMiLCJ1c2VySWQiOiI1OTMxMzY2MDgifQ==</vt:lpwstr>
  </property>
</Properties>
</file>