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377752">
      <w:pPr>
        <w:tabs>
          <w:tab w:val="center" w:pos="4422"/>
        </w:tabs>
        <w:rPr>
          <w:color w:val="000000" w:themeColor="text1"/>
        </w:rPr>
      </w:pPr>
      <w:bookmarkStart w:id="0" w:name="_Hlk127802200"/>
      <w:bookmarkEnd w:id="0"/>
      <w:r>
        <w:rPr>
          <w:color w:val="000000" w:themeColor="text1"/>
        </w:rPr>
        <w:tab/>
      </w:r>
    </w:p>
    <w:p w14:paraId="7AAA4B09">
      <w:pPr>
        <w:rPr>
          <w:color w:val="000000" w:themeColor="text1"/>
        </w:rPr>
      </w:pPr>
    </w:p>
    <w:p w14:paraId="7AAE3D2C">
      <w:pPr>
        <w:rPr>
          <w:color w:val="000000" w:themeColor="text1"/>
        </w:rPr>
      </w:pPr>
    </w:p>
    <w:p w14:paraId="444619AD">
      <w:pPr>
        <w:rPr>
          <w:color w:val="000000" w:themeColor="text1"/>
        </w:rPr>
      </w:pPr>
    </w:p>
    <w:p w14:paraId="49C1CE43">
      <w:pPr>
        <w:rPr>
          <w:color w:val="000000" w:themeColor="text1"/>
        </w:rPr>
      </w:pPr>
    </w:p>
    <w:p w14:paraId="6BA4D8FD">
      <w:pPr>
        <w:rPr>
          <w:color w:val="000000" w:themeColor="text1"/>
        </w:rPr>
      </w:pPr>
    </w:p>
    <w:p w14:paraId="18EC1A38">
      <w:pPr>
        <w:rPr>
          <w:color w:val="000000" w:themeColor="text1"/>
        </w:rPr>
      </w:pPr>
    </w:p>
    <w:p w14:paraId="63E296C9">
      <w:pPr>
        <w:jc w:val="center"/>
        <w:rPr>
          <w:bCs/>
          <w:color w:val="000000" w:themeColor="text1"/>
          <w:sz w:val="72"/>
          <w:szCs w:val="72"/>
        </w:rPr>
      </w:pPr>
      <w:r>
        <w:rPr>
          <w:rFonts w:eastAsia="方正小标宋_GBK"/>
          <w:bCs/>
          <w:color w:val="000000" w:themeColor="text1"/>
          <w:sz w:val="72"/>
          <w:szCs w:val="72"/>
        </w:rPr>
        <w:t>建设项目环境影响报告表</w:t>
      </w:r>
    </w:p>
    <w:p w14:paraId="6AA432C9">
      <w:pPr>
        <w:jc w:val="center"/>
        <w:rPr>
          <w:rFonts w:eastAsia="楷体"/>
          <w:bCs/>
          <w:color w:val="000000" w:themeColor="text1"/>
          <w:sz w:val="48"/>
          <w:szCs w:val="48"/>
        </w:rPr>
      </w:pPr>
      <w:r>
        <w:rPr>
          <w:rFonts w:eastAsia="楷体"/>
          <w:bCs/>
          <w:color w:val="000000" w:themeColor="text1"/>
          <w:sz w:val="48"/>
          <w:szCs w:val="48"/>
        </w:rPr>
        <w:t>（污染影响类）</w:t>
      </w:r>
    </w:p>
    <w:p w14:paraId="68EDB906">
      <w:pPr>
        <w:rPr>
          <w:color w:val="000000" w:themeColor="text1"/>
        </w:rPr>
      </w:pPr>
    </w:p>
    <w:p w14:paraId="030B2BCD">
      <w:pPr>
        <w:rPr>
          <w:color w:val="000000" w:themeColor="text1"/>
        </w:rPr>
      </w:pPr>
    </w:p>
    <w:p w14:paraId="2C4F0EF6">
      <w:pPr>
        <w:rPr>
          <w:color w:val="000000" w:themeColor="text1"/>
          <w:sz w:val="52"/>
          <w:szCs w:val="52"/>
        </w:rPr>
      </w:pPr>
    </w:p>
    <w:p w14:paraId="794A9594">
      <w:pPr>
        <w:rPr>
          <w:color w:val="000000" w:themeColor="text1"/>
        </w:rPr>
      </w:pPr>
    </w:p>
    <w:p w14:paraId="1789535F">
      <w:pPr>
        <w:rPr>
          <w:color w:val="000000" w:themeColor="text1"/>
        </w:rPr>
      </w:pPr>
    </w:p>
    <w:p w14:paraId="35F2B1C0">
      <w:pPr>
        <w:rPr>
          <w:color w:val="000000" w:themeColor="text1"/>
        </w:rPr>
      </w:pPr>
    </w:p>
    <w:p w14:paraId="6EABCC9A">
      <w:pPr>
        <w:rPr>
          <w:color w:val="000000" w:themeColor="text1"/>
        </w:rPr>
      </w:pPr>
    </w:p>
    <w:p w14:paraId="445C1A98">
      <w:pPr>
        <w:rPr>
          <w:color w:val="000000" w:themeColor="text1"/>
        </w:rPr>
      </w:pPr>
    </w:p>
    <w:p w14:paraId="6EC2A6F7">
      <w:pPr>
        <w:rPr>
          <w:color w:val="000000" w:themeColor="text1"/>
        </w:rPr>
      </w:pPr>
    </w:p>
    <w:p w14:paraId="0A65170B">
      <w:pPr>
        <w:rPr>
          <w:color w:val="000000" w:themeColor="text1"/>
        </w:rPr>
      </w:pPr>
    </w:p>
    <w:p w14:paraId="60191FAC">
      <w:pPr>
        <w:rPr>
          <w:color w:val="000000" w:themeColor="text1"/>
        </w:rPr>
      </w:pPr>
    </w:p>
    <w:p w14:paraId="322A0C7C">
      <w:pPr>
        <w:rPr>
          <w:color w:val="000000" w:themeColor="text1"/>
        </w:rPr>
      </w:pPr>
    </w:p>
    <w:p w14:paraId="3613E500">
      <w:pPr>
        <w:rPr>
          <w:color w:val="000000" w:themeColor="text1"/>
        </w:rPr>
      </w:pPr>
    </w:p>
    <w:p w14:paraId="3BEADBD3">
      <w:pPr>
        <w:rPr>
          <w:color w:val="000000" w:themeColor="text1"/>
        </w:rPr>
      </w:pPr>
    </w:p>
    <w:p w14:paraId="67086F2D">
      <w:pPr>
        <w:rPr>
          <w:color w:val="000000" w:themeColor="text1"/>
        </w:rPr>
      </w:pPr>
    </w:p>
    <w:p w14:paraId="2CF7A119">
      <w:pPr>
        <w:rPr>
          <w:color w:val="000000" w:themeColor="text1"/>
        </w:rPr>
      </w:pPr>
    </w:p>
    <w:p w14:paraId="363727B9">
      <w:pPr>
        <w:spacing w:line="360" w:lineRule="auto"/>
        <w:ind w:left="2697" w:leftChars="513" w:hanging="1620" w:hangingChars="450"/>
        <w:rPr>
          <w:rFonts w:hint="eastAsia" w:eastAsia="仿宋"/>
          <w:color w:val="000000" w:themeColor="text1"/>
          <w:sz w:val="36"/>
          <w:szCs w:val="36"/>
          <w:u w:val="single"/>
          <w:lang w:val="en-US" w:eastAsia="zh-CN"/>
        </w:rPr>
      </w:pPr>
      <w:r>
        <w:rPr>
          <w:rFonts w:eastAsia="仿宋"/>
          <w:color w:val="000000" w:themeColor="text1"/>
          <w:sz w:val="36"/>
          <w:szCs w:val="36"/>
        </w:rPr>
        <w:t>项目名称：</w:t>
      </w:r>
      <w:r>
        <w:rPr>
          <w:rFonts w:eastAsia="仿宋"/>
          <w:color w:val="000000" w:themeColor="text1"/>
          <w:sz w:val="36"/>
          <w:szCs w:val="36"/>
          <w:u w:val="single"/>
        </w:rPr>
        <w:t xml:space="preserve"> </w:t>
      </w:r>
      <w:r>
        <w:rPr>
          <w:rFonts w:hint="eastAsia" w:eastAsia="仿宋"/>
          <w:color w:val="000000" w:themeColor="text1"/>
          <w:sz w:val="36"/>
          <w:szCs w:val="36"/>
          <w:u w:val="single"/>
          <w:lang w:val="en-US" w:eastAsia="zh-CN"/>
        </w:rPr>
        <w:t>岳阳市岳阳楼区人民医院（岳阳</w:t>
      </w:r>
    </w:p>
    <w:p w14:paraId="547D9E8E">
      <w:pPr>
        <w:spacing w:line="360" w:lineRule="auto"/>
        <w:ind w:left="2873" w:leftChars="1368" w:firstLine="180" w:firstLineChars="50"/>
        <w:rPr>
          <w:rFonts w:eastAsia="仿宋"/>
          <w:color w:val="000000" w:themeColor="text1"/>
          <w:sz w:val="36"/>
          <w:szCs w:val="36"/>
          <w:u w:val="single"/>
        </w:rPr>
      </w:pPr>
      <w:r>
        <w:rPr>
          <w:rFonts w:hint="eastAsia" w:eastAsia="仿宋"/>
          <w:color w:val="auto"/>
          <w:sz w:val="36"/>
          <w:szCs w:val="36"/>
          <w:u w:val="single"/>
          <w:lang w:val="en-US" w:eastAsia="zh-CN"/>
        </w:rPr>
        <w:t>肛肠病医院</w:t>
      </w:r>
      <w:r>
        <w:rPr>
          <w:rFonts w:hint="eastAsia" w:eastAsia="仿宋"/>
          <w:color w:val="000000" w:themeColor="text1"/>
          <w:sz w:val="36"/>
          <w:szCs w:val="36"/>
          <w:u w:val="single"/>
          <w:lang w:val="en-US" w:eastAsia="zh-CN"/>
        </w:rPr>
        <w:t xml:space="preserve">）迁建项目 </w:t>
      </w:r>
    </w:p>
    <w:p w14:paraId="4560FA9A">
      <w:pPr>
        <w:spacing w:line="360" w:lineRule="auto"/>
        <w:ind w:firstLine="900" w:firstLineChars="250"/>
        <w:rPr>
          <w:rFonts w:eastAsia="仿宋"/>
          <w:color w:val="000000" w:themeColor="text1"/>
          <w:sz w:val="36"/>
          <w:szCs w:val="36"/>
          <w:u w:val="single"/>
        </w:rPr>
      </w:pPr>
      <w:r>
        <w:rPr>
          <w:rFonts w:eastAsia="仿宋"/>
          <w:color w:val="000000" w:themeColor="text1"/>
          <w:sz w:val="36"/>
          <w:szCs w:val="36"/>
        </w:rPr>
        <w:t>建设单位：</w:t>
      </w:r>
      <w:r>
        <w:rPr>
          <w:rFonts w:eastAsia="仿宋"/>
          <w:color w:val="000000" w:themeColor="text1"/>
          <w:sz w:val="36"/>
          <w:szCs w:val="36"/>
          <w:u w:val="single"/>
        </w:rPr>
        <w:t xml:space="preserve">   </w:t>
      </w:r>
      <w:r>
        <w:rPr>
          <w:rFonts w:hint="eastAsia" w:eastAsia="仿宋"/>
          <w:color w:val="000000" w:themeColor="text1"/>
          <w:sz w:val="36"/>
          <w:szCs w:val="36"/>
          <w:u w:val="single"/>
          <w:lang w:val="en-US" w:eastAsia="zh-CN"/>
        </w:rPr>
        <w:t xml:space="preserve"> </w:t>
      </w:r>
      <w:r>
        <w:rPr>
          <w:rFonts w:hint="eastAsia" w:eastAsia="仿宋"/>
          <w:color w:val="auto"/>
          <w:sz w:val="36"/>
          <w:szCs w:val="36"/>
          <w:u w:val="single"/>
        </w:rPr>
        <w:t>岳阳市岳阳楼区人民医院</w:t>
      </w:r>
      <w:r>
        <w:rPr>
          <w:rFonts w:eastAsia="仿宋"/>
          <w:color w:val="000000" w:themeColor="text1"/>
          <w:sz w:val="36"/>
          <w:szCs w:val="36"/>
          <w:u w:val="single"/>
        </w:rPr>
        <w:t xml:space="preserve">    </w:t>
      </w:r>
    </w:p>
    <w:p w14:paraId="7207F5C0">
      <w:pPr>
        <w:spacing w:line="360" w:lineRule="auto"/>
        <w:ind w:firstLine="900" w:firstLineChars="250"/>
        <w:rPr>
          <w:rFonts w:eastAsia="仿宋"/>
          <w:color w:val="000000" w:themeColor="text1"/>
          <w:sz w:val="36"/>
          <w:szCs w:val="36"/>
          <w:u w:val="single"/>
        </w:rPr>
      </w:pPr>
      <w:r>
        <w:rPr>
          <w:rFonts w:eastAsia="仿宋"/>
          <w:color w:val="000000" w:themeColor="text1"/>
          <w:sz w:val="36"/>
          <w:szCs w:val="36"/>
        </w:rPr>
        <w:t>编制日期：</w:t>
      </w:r>
      <w:r>
        <w:rPr>
          <w:rFonts w:eastAsia="仿宋"/>
          <w:color w:val="000000" w:themeColor="text1"/>
          <w:sz w:val="36"/>
          <w:szCs w:val="36"/>
          <w:u w:val="single"/>
        </w:rPr>
        <w:t xml:space="preserve">         202</w:t>
      </w:r>
      <w:r>
        <w:rPr>
          <w:rFonts w:hint="eastAsia" w:eastAsia="仿宋"/>
          <w:color w:val="000000" w:themeColor="text1"/>
          <w:sz w:val="36"/>
          <w:szCs w:val="36"/>
          <w:u w:val="single"/>
          <w:lang w:val="en-US" w:eastAsia="zh-CN"/>
        </w:rPr>
        <w:t>6</w:t>
      </w:r>
      <w:r>
        <w:rPr>
          <w:rFonts w:eastAsia="仿宋"/>
          <w:color w:val="000000" w:themeColor="text1"/>
          <w:sz w:val="36"/>
          <w:szCs w:val="36"/>
          <w:u w:val="single"/>
        </w:rPr>
        <w:t>年</w:t>
      </w:r>
      <w:r>
        <w:rPr>
          <w:rFonts w:hint="eastAsia" w:eastAsia="仿宋"/>
          <w:color w:val="000000" w:themeColor="text1"/>
          <w:sz w:val="36"/>
          <w:szCs w:val="36"/>
          <w:u w:val="single"/>
          <w:lang w:val="en-US" w:eastAsia="zh-CN"/>
        </w:rPr>
        <w:t>8</w:t>
      </w:r>
      <w:r>
        <w:rPr>
          <w:rFonts w:eastAsia="仿宋"/>
          <w:color w:val="000000" w:themeColor="text1"/>
          <w:sz w:val="36"/>
          <w:szCs w:val="36"/>
          <w:u w:val="single"/>
        </w:rPr>
        <w:t xml:space="preserve">月         </w:t>
      </w:r>
    </w:p>
    <w:p w14:paraId="65D253F4">
      <w:pPr>
        <w:spacing w:line="360" w:lineRule="auto"/>
        <w:jc w:val="center"/>
        <w:rPr>
          <w:color w:val="000000" w:themeColor="text1"/>
          <w:sz w:val="44"/>
          <w:szCs w:val="44"/>
          <w:u w:val="single"/>
        </w:rPr>
      </w:pPr>
    </w:p>
    <w:p w14:paraId="3D0A31FB">
      <w:pPr>
        <w:spacing w:line="360" w:lineRule="auto"/>
        <w:rPr>
          <w:color w:val="000000" w:themeColor="text1"/>
        </w:rPr>
      </w:pPr>
      <w:bookmarkStart w:id="1" w:name="_Hlk57884087"/>
    </w:p>
    <w:p w14:paraId="784BFED4">
      <w:pPr>
        <w:spacing w:line="360" w:lineRule="auto"/>
        <w:jc w:val="center"/>
        <w:rPr>
          <w:rFonts w:ascii="Times New Roman" w:hAnsi="Times New Roman" w:eastAsia="楷体" w:cs="Times New Roman"/>
          <w:color w:val="000000" w:themeColor="text1"/>
          <w:sz w:val="36"/>
          <w:szCs w:val="36"/>
        </w:rPr>
      </w:pPr>
      <w:r>
        <w:rPr>
          <w:rFonts w:ascii="Times New Roman" w:hAnsi="Times New Roman" w:eastAsia="楷体" w:cs="Times New Roman"/>
          <w:color w:val="000000" w:themeColor="text1"/>
          <w:sz w:val="36"/>
          <w:szCs w:val="36"/>
        </w:rPr>
        <w:t>中华人民共和国生态环境部</w:t>
      </w:r>
    </w:p>
    <w:p w14:paraId="68A478F5">
      <w:pPr>
        <w:spacing w:line="360" w:lineRule="auto"/>
        <w:rPr>
          <w:color w:val="000000" w:themeColor="text1"/>
        </w:rPr>
      </w:pPr>
    </w:p>
    <w:p w14:paraId="2983482C">
      <w:pPr>
        <w:spacing w:line="360" w:lineRule="auto"/>
        <w:rPr>
          <w:color w:val="000000" w:themeColor="text1"/>
        </w:rPr>
      </w:pPr>
    </w:p>
    <w:bookmarkEnd w:id="1"/>
    <w:p w14:paraId="74A5C0E0">
      <w:pPr>
        <w:spacing w:line="360" w:lineRule="auto"/>
        <w:jc w:val="center"/>
        <w:rPr>
          <w:rFonts w:eastAsia="楷体"/>
          <w:color w:val="000000" w:themeColor="text1"/>
          <w:sz w:val="36"/>
          <w:szCs w:val="36"/>
        </w:rPr>
        <w:sectPr>
          <w:footerReference r:id="rId3" w:type="even"/>
          <w:pgSz w:w="11906" w:h="16838"/>
          <w:pgMar w:top="1701" w:right="1531" w:bottom="1701" w:left="1531" w:header="851" w:footer="850" w:gutter="0"/>
          <w:pgBorders>
            <w:top w:val="none" w:sz="0" w:space="0"/>
            <w:left w:val="none" w:sz="0" w:space="0"/>
            <w:bottom w:val="none" w:sz="0" w:space="0"/>
            <w:right w:val="none" w:sz="0" w:space="0"/>
          </w:pgBorders>
          <w:pgNumType w:fmt="numberInDash" w:start="0" w:chapSep="emDash"/>
          <w:cols w:space="720" w:num="1"/>
          <w:docGrid w:linePitch="312" w:charSpace="0"/>
        </w:sectPr>
      </w:pPr>
    </w:p>
    <w:p w14:paraId="3503DD54">
      <w:pPr>
        <w:jc w:val="center"/>
        <w:rPr>
          <w:rFonts w:hint="default"/>
          <w:b/>
          <w:bCs/>
          <w:sz w:val="28"/>
          <w:szCs w:val="36"/>
          <w:lang w:val="en-US" w:eastAsia="zh-CN"/>
        </w:rPr>
      </w:pPr>
      <w:r>
        <w:rPr>
          <w:rFonts w:hint="eastAsia"/>
          <w:b/>
          <w:bCs/>
          <w:sz w:val="28"/>
          <w:szCs w:val="36"/>
          <w:lang w:val="en-US" w:eastAsia="zh-CN"/>
        </w:rPr>
        <w:t>专家意见修改说明</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4950"/>
        <w:gridCol w:w="3457"/>
      </w:tblGrid>
      <w:tr w14:paraId="5C61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23E66AF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b/>
                <w:bCs/>
                <w:sz w:val="21"/>
                <w:szCs w:val="22"/>
                <w:vertAlign w:val="baseline"/>
                <w:lang w:val="en-US" w:eastAsia="zh-CN"/>
              </w:rPr>
            </w:pPr>
            <w:r>
              <w:rPr>
                <w:rFonts w:hint="eastAsia"/>
                <w:b/>
                <w:bCs/>
                <w:sz w:val="21"/>
                <w:szCs w:val="22"/>
                <w:vertAlign w:val="baseline"/>
                <w:lang w:val="en-US" w:eastAsia="zh-CN"/>
              </w:rPr>
              <w:t>序号</w:t>
            </w:r>
          </w:p>
        </w:tc>
        <w:tc>
          <w:tcPr>
            <w:tcW w:w="4950" w:type="dxa"/>
            <w:vAlign w:val="center"/>
          </w:tcPr>
          <w:p w14:paraId="7DF3F8C7">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b/>
                <w:bCs/>
                <w:sz w:val="21"/>
                <w:szCs w:val="22"/>
                <w:vertAlign w:val="baseline"/>
                <w:lang w:val="en-US" w:eastAsia="zh-CN"/>
              </w:rPr>
            </w:pPr>
            <w:r>
              <w:rPr>
                <w:rFonts w:hint="eastAsia"/>
                <w:b/>
                <w:bCs/>
                <w:sz w:val="21"/>
                <w:szCs w:val="22"/>
                <w:vertAlign w:val="baseline"/>
                <w:lang w:val="en-US" w:eastAsia="zh-CN"/>
              </w:rPr>
              <w:t>专家意见</w:t>
            </w:r>
          </w:p>
        </w:tc>
        <w:tc>
          <w:tcPr>
            <w:tcW w:w="3457" w:type="dxa"/>
            <w:vAlign w:val="center"/>
          </w:tcPr>
          <w:p w14:paraId="3A1983B3">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b/>
                <w:bCs/>
                <w:sz w:val="21"/>
                <w:szCs w:val="22"/>
                <w:vertAlign w:val="baseline"/>
                <w:lang w:val="en-US" w:eastAsia="zh-CN"/>
              </w:rPr>
            </w:pPr>
            <w:r>
              <w:rPr>
                <w:rFonts w:hint="eastAsia"/>
                <w:b/>
                <w:bCs/>
                <w:sz w:val="21"/>
                <w:szCs w:val="22"/>
                <w:vertAlign w:val="baseline"/>
                <w:lang w:val="en-US" w:eastAsia="zh-CN"/>
              </w:rPr>
              <w:t>修改说明</w:t>
            </w:r>
          </w:p>
        </w:tc>
      </w:tr>
      <w:tr w14:paraId="4ADB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684759E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1</w:t>
            </w:r>
          </w:p>
        </w:tc>
        <w:tc>
          <w:tcPr>
            <w:tcW w:w="4950" w:type="dxa"/>
            <w:vAlign w:val="center"/>
          </w:tcPr>
          <w:p w14:paraId="7C5A5EC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补充医疗卫生部门对项目的审批文件，强化项目建设与规划相符性分析，完善生态环境分区管控符合性分析；明确本环评是否包含“原岳阳楼区人民医院（肛肠病医院）搬迁过程及场地恢复”相关内容；调查项目用地岳阳市一人民医院南院是否存在遗留环境问题</w:t>
            </w:r>
          </w:p>
        </w:tc>
        <w:tc>
          <w:tcPr>
            <w:tcW w:w="3457" w:type="dxa"/>
            <w:vAlign w:val="center"/>
          </w:tcPr>
          <w:p w14:paraId="17D9CF1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已补充卫生部门证明文件，详见附件11；已强化规划相符性分析，详见P2-4；已完善分区管控符合性分析，详见P4-6；已明确本环评所包含内容，详见P13；已调查遗留环境问题，详见P30</w:t>
            </w:r>
          </w:p>
        </w:tc>
      </w:tr>
      <w:tr w14:paraId="6EE3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1D4DB4D3">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2</w:t>
            </w:r>
          </w:p>
        </w:tc>
        <w:tc>
          <w:tcPr>
            <w:tcW w:w="4950" w:type="dxa"/>
            <w:vAlign w:val="center"/>
          </w:tcPr>
          <w:p w14:paraId="5F89FB77">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明确依托工程，并分析依托的可靠性，明确生活污水处理、排放方式，明确是否涉及洗衣房，明确污水处理站废气排放方式，明确事故应急池、发电机房的建设情况，据此完善建设内容表</w:t>
            </w:r>
          </w:p>
        </w:tc>
        <w:tc>
          <w:tcPr>
            <w:tcW w:w="3457" w:type="dxa"/>
            <w:vAlign w:val="center"/>
          </w:tcPr>
          <w:p w14:paraId="678D620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已明确依托工程，详见P14-16；已明确生活污水处理排放方式并分析依托可靠性，详见P22、54；已明确洗衣问题，详见P13；已完善建设内容表，详见P14-15</w:t>
            </w:r>
          </w:p>
        </w:tc>
      </w:tr>
      <w:tr w14:paraId="49D5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6CCD0C9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3</w:t>
            </w:r>
          </w:p>
        </w:tc>
        <w:tc>
          <w:tcPr>
            <w:tcW w:w="4950" w:type="dxa"/>
            <w:vAlign w:val="center"/>
          </w:tcPr>
          <w:p w14:paraId="2BDB71CA">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调查天然气锅炉燃气用量，补充消毒试剂（药剂）使用情况，核实医疗废水处理（包括传染科废水预处理）使用的药剂名称、储存方式、最大储存量，设备清单补充燃气锅炉等</w:t>
            </w:r>
          </w:p>
        </w:tc>
        <w:tc>
          <w:tcPr>
            <w:tcW w:w="3457" w:type="dxa"/>
            <w:vAlign w:val="center"/>
          </w:tcPr>
          <w:p w14:paraId="7455A1B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已完善天然气用量、消毒剂名称、储存方式及使用情况，详见P17；已完善设备清单，详见P17</w:t>
            </w:r>
          </w:p>
        </w:tc>
      </w:tr>
      <w:tr w14:paraId="5ECB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35E686C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4</w:t>
            </w:r>
          </w:p>
        </w:tc>
        <w:tc>
          <w:tcPr>
            <w:tcW w:w="4950" w:type="dxa"/>
            <w:vAlign w:val="center"/>
          </w:tcPr>
          <w:p w14:paraId="74D70D8A">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根据《环境空气质量标准》（GB 3095—2026）过渡期限值，结合《湖南省大气污染防治攻坚三年行动实施方案（2026—2028年）》，完善大气环境质量现状评价</w:t>
            </w:r>
          </w:p>
        </w:tc>
        <w:tc>
          <w:tcPr>
            <w:tcW w:w="3457" w:type="dxa"/>
            <w:vAlign w:val="center"/>
          </w:tcPr>
          <w:p w14:paraId="15E7D56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已完善大气环境质量现状评价，详见P34-35</w:t>
            </w:r>
          </w:p>
        </w:tc>
      </w:tr>
      <w:tr w14:paraId="7B9F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37C3BAB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5</w:t>
            </w:r>
          </w:p>
        </w:tc>
        <w:tc>
          <w:tcPr>
            <w:tcW w:w="4950" w:type="dxa"/>
            <w:vAlign w:val="center"/>
          </w:tcPr>
          <w:p w14:paraId="1293B29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根据燃气用量，核算天然气锅炉废气源强；补充计算污水处理站废气源强计算，明确其处理、排放方式</w:t>
            </w:r>
          </w:p>
        </w:tc>
        <w:tc>
          <w:tcPr>
            <w:tcW w:w="3457" w:type="dxa"/>
            <w:vAlign w:val="center"/>
          </w:tcPr>
          <w:p w14:paraId="12E74A07">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已核算天然气废气源强，详见P45-46；已完善污水处理站废气核算内容，详见P44-45</w:t>
            </w:r>
          </w:p>
        </w:tc>
      </w:tr>
      <w:tr w14:paraId="05BF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28F7EA1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6</w:t>
            </w:r>
          </w:p>
        </w:tc>
        <w:tc>
          <w:tcPr>
            <w:tcW w:w="4950" w:type="dxa"/>
            <w:vAlign w:val="center"/>
          </w:tcPr>
          <w:p w14:paraId="38390D87">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明确传染科规模、核算传染科废水量、分析传染科特殊医疗废水预处理装置规模设置的合理性，核算其他医疗废水产生量，分析综合理疗废水设计处理规模、处理工艺的合理性</w:t>
            </w:r>
          </w:p>
        </w:tc>
        <w:tc>
          <w:tcPr>
            <w:tcW w:w="3457" w:type="dxa"/>
            <w:vAlign w:val="center"/>
          </w:tcPr>
          <w:p w14:paraId="7D50B667">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已明确传染科规模，详见P13；已核算各类废水产生量，详见P51-53；已分析处理设施规模、处理工艺合理性，详见P54</w:t>
            </w:r>
          </w:p>
        </w:tc>
      </w:tr>
      <w:tr w14:paraId="7375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7467A92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7</w:t>
            </w:r>
          </w:p>
        </w:tc>
        <w:tc>
          <w:tcPr>
            <w:tcW w:w="4950" w:type="dxa"/>
            <w:vAlign w:val="center"/>
          </w:tcPr>
          <w:p w14:paraId="6FFF454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完善风险物质的辨识，据此核实Q值，细化风险防范和应急措施，分析事故应急池规格设置的合理性</w:t>
            </w:r>
          </w:p>
        </w:tc>
        <w:tc>
          <w:tcPr>
            <w:tcW w:w="3457" w:type="dxa"/>
            <w:vAlign w:val="center"/>
          </w:tcPr>
          <w:p w14:paraId="6D2ACDD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已完善风险物质辨识并核算Q值，详见P74；已细化风险防范措施，详见P76；已分析应急池设置合理性，详见P76</w:t>
            </w:r>
          </w:p>
        </w:tc>
      </w:tr>
      <w:tr w14:paraId="764C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vAlign w:val="center"/>
          </w:tcPr>
          <w:p w14:paraId="460FDAF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8</w:t>
            </w:r>
          </w:p>
        </w:tc>
        <w:tc>
          <w:tcPr>
            <w:tcW w:w="4950" w:type="dxa"/>
            <w:vAlign w:val="center"/>
          </w:tcPr>
          <w:p w14:paraId="12756EE0">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default"/>
                <w:sz w:val="21"/>
                <w:szCs w:val="22"/>
                <w:vertAlign w:val="baseline"/>
                <w:lang w:val="en-US" w:eastAsia="zh-CN"/>
              </w:rPr>
              <w:t>补充新增环保投资的计算，完善环境保护措施监督检查清单</w:t>
            </w:r>
          </w:p>
        </w:tc>
        <w:tc>
          <w:tcPr>
            <w:tcW w:w="3457" w:type="dxa"/>
            <w:vAlign w:val="center"/>
          </w:tcPr>
          <w:p w14:paraId="6AFE4EF3">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sz w:val="21"/>
                <w:szCs w:val="22"/>
                <w:vertAlign w:val="baseline"/>
                <w:lang w:val="en-US" w:eastAsia="zh-CN"/>
              </w:rPr>
            </w:pPr>
            <w:r>
              <w:rPr>
                <w:rFonts w:hint="eastAsia"/>
                <w:sz w:val="21"/>
                <w:szCs w:val="22"/>
                <w:vertAlign w:val="baseline"/>
                <w:lang w:val="en-US" w:eastAsia="zh-CN"/>
              </w:rPr>
              <w:t>已完善环保投资计算，详见P78-79；已完善督查清单，详见P81</w:t>
            </w:r>
          </w:p>
        </w:tc>
      </w:tr>
    </w:tbl>
    <w:p w14:paraId="6ED25787">
      <w:pPr>
        <w:pStyle w:val="11"/>
        <w:rPr>
          <w:rFonts w:hint="default"/>
          <w:lang w:val="en-US" w:eastAsia="zh-CN"/>
        </w:rPr>
      </w:pPr>
    </w:p>
    <w:p w14:paraId="3AB333E8">
      <w:pPr>
        <w:pStyle w:val="11"/>
        <w:rPr>
          <w:rFonts w:hint="default"/>
          <w:lang w:val="en-US" w:eastAsia="zh-CN"/>
        </w:rPr>
      </w:pPr>
      <w:bookmarkStart w:id="23" w:name="_GoBack"/>
      <w:bookmarkEnd w:id="23"/>
    </w:p>
    <w:p w14:paraId="00704F1C">
      <w:pPr>
        <w:pStyle w:val="11"/>
        <w:rPr>
          <w:rFonts w:hint="default"/>
          <w:lang w:val="en-US" w:eastAsia="zh-CN"/>
        </w:rPr>
      </w:pPr>
    </w:p>
    <w:p w14:paraId="1BC29F7C">
      <w:pPr>
        <w:pStyle w:val="11"/>
        <w:rPr>
          <w:rFonts w:hint="default"/>
          <w:lang w:val="en-US" w:eastAsia="zh-CN"/>
        </w:rPr>
      </w:pPr>
    </w:p>
    <w:p w14:paraId="53173ACA">
      <w:pPr>
        <w:pStyle w:val="11"/>
        <w:rPr>
          <w:rFonts w:hint="default"/>
          <w:lang w:val="en-US" w:eastAsia="zh-CN"/>
        </w:rPr>
        <w:sectPr>
          <w:pgSz w:w="11906" w:h="16838"/>
          <w:pgMar w:top="1701" w:right="1531" w:bottom="1701" w:left="1531" w:header="851" w:footer="850" w:gutter="0"/>
          <w:pgBorders>
            <w:top w:val="none" w:sz="0" w:space="0"/>
            <w:left w:val="none" w:sz="0" w:space="0"/>
            <w:bottom w:val="none" w:sz="0" w:space="0"/>
            <w:right w:val="none" w:sz="0" w:space="0"/>
          </w:pgBorders>
          <w:pgNumType w:fmt="numberInDash" w:start="0" w:chapSep="emDash"/>
          <w:cols w:space="720" w:num="1"/>
          <w:docGrid w:linePitch="312" w:charSpace="0"/>
        </w:sectPr>
      </w:pPr>
    </w:p>
    <w:p w14:paraId="3CC14C70">
      <w:pPr>
        <w:jc w:val="center"/>
        <w:rPr>
          <w:color w:val="000000" w:themeColor="text1"/>
          <w:sz w:val="40"/>
          <w:szCs w:val="40"/>
        </w:rPr>
      </w:pPr>
      <w:r>
        <w:rPr>
          <w:b/>
          <w:color w:val="000000" w:themeColor="text1"/>
          <w:sz w:val="40"/>
          <w:szCs w:val="40"/>
          <w:lang w:val="zh-CN"/>
        </w:rPr>
        <w:t>目  录</w:t>
      </w:r>
    </w:p>
    <w:p w14:paraId="5188FA79">
      <w:pPr>
        <w:pStyle w:val="18"/>
        <w:tabs>
          <w:tab w:val="right" w:leader="dot" w:pos="8834"/>
        </w:tabs>
        <w:spacing w:line="360" w:lineRule="auto"/>
        <w:rPr>
          <w:rFonts w:ascii="宋体" w:hAnsi="宋体" w:cstheme="minorBidi"/>
          <w:sz w:val="28"/>
          <w:szCs w:val="28"/>
        </w:rPr>
      </w:pPr>
      <w:r>
        <w:rPr>
          <w:color w:val="000000" w:themeColor="text1"/>
          <w:sz w:val="24"/>
        </w:rPr>
        <w:fldChar w:fldCharType="begin"/>
      </w:r>
      <w:r>
        <w:rPr>
          <w:color w:val="000000" w:themeColor="text1"/>
          <w:sz w:val="24"/>
        </w:rPr>
        <w:instrText xml:space="preserve"> TOC \o "1-3" \h \z \u </w:instrText>
      </w:r>
      <w:r>
        <w:rPr>
          <w:color w:val="000000" w:themeColor="text1"/>
          <w:sz w:val="24"/>
        </w:rPr>
        <w:fldChar w:fldCharType="separate"/>
      </w:r>
      <w:r>
        <w:fldChar w:fldCharType="begin"/>
      </w:r>
      <w:r>
        <w:instrText xml:space="preserve"> HYPERLINK \l "_Toc139925578" </w:instrText>
      </w:r>
      <w:r>
        <w:fldChar w:fldCharType="separate"/>
      </w:r>
      <w:r>
        <w:rPr>
          <w:rStyle w:val="30"/>
          <w:rFonts w:ascii="宋体" w:hAnsi="宋体"/>
          <w:snapToGrid w:val="0"/>
          <w:sz w:val="28"/>
          <w:szCs w:val="28"/>
        </w:rPr>
        <w:t>一、建设项目基本情况</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_Toc139925578 \h </w:instrText>
      </w:r>
      <w:r>
        <w:rPr>
          <w:rFonts w:ascii="宋体" w:hAnsi="宋体"/>
          <w:sz w:val="28"/>
          <w:szCs w:val="28"/>
        </w:rPr>
        <w:fldChar w:fldCharType="separate"/>
      </w:r>
      <w:r>
        <w:rPr>
          <w:rFonts w:ascii="宋体" w:hAnsi="宋体"/>
          <w:sz w:val="28"/>
          <w:szCs w:val="28"/>
        </w:rPr>
        <w:t>- 1 -</w:t>
      </w:r>
      <w:r>
        <w:rPr>
          <w:rFonts w:ascii="宋体" w:hAnsi="宋体"/>
          <w:sz w:val="28"/>
          <w:szCs w:val="28"/>
        </w:rPr>
        <w:fldChar w:fldCharType="end"/>
      </w:r>
      <w:r>
        <w:rPr>
          <w:rFonts w:ascii="宋体" w:hAnsi="宋体"/>
          <w:sz w:val="28"/>
          <w:szCs w:val="28"/>
        </w:rPr>
        <w:fldChar w:fldCharType="end"/>
      </w:r>
    </w:p>
    <w:p w14:paraId="55CAD57C">
      <w:pPr>
        <w:pStyle w:val="18"/>
        <w:tabs>
          <w:tab w:val="right" w:leader="dot" w:pos="8834"/>
        </w:tabs>
        <w:spacing w:line="360" w:lineRule="auto"/>
        <w:rPr>
          <w:rFonts w:ascii="宋体" w:hAnsi="宋体" w:cstheme="minorBidi"/>
          <w:sz w:val="28"/>
          <w:szCs w:val="28"/>
        </w:rPr>
      </w:pPr>
      <w:r>
        <w:fldChar w:fldCharType="begin"/>
      </w:r>
      <w:r>
        <w:instrText xml:space="preserve"> HYPERLINK \l "_Toc139925579" </w:instrText>
      </w:r>
      <w:r>
        <w:fldChar w:fldCharType="separate"/>
      </w:r>
      <w:r>
        <w:rPr>
          <w:rStyle w:val="30"/>
          <w:rFonts w:ascii="宋体" w:hAnsi="宋体"/>
          <w:snapToGrid w:val="0"/>
          <w:sz w:val="28"/>
          <w:szCs w:val="28"/>
        </w:rPr>
        <w:t>二、建设项目工程分析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_Toc139925579 \h </w:instrText>
      </w:r>
      <w:r>
        <w:rPr>
          <w:rFonts w:ascii="宋体" w:hAnsi="宋体"/>
          <w:sz w:val="28"/>
          <w:szCs w:val="28"/>
        </w:rPr>
        <w:fldChar w:fldCharType="separate"/>
      </w:r>
      <w:r>
        <w:rPr>
          <w:rFonts w:ascii="宋体" w:hAnsi="宋体"/>
          <w:sz w:val="28"/>
          <w:szCs w:val="28"/>
        </w:rPr>
        <w:t>- 10 -</w:t>
      </w:r>
      <w:r>
        <w:rPr>
          <w:rFonts w:ascii="宋体" w:hAnsi="宋体"/>
          <w:sz w:val="28"/>
          <w:szCs w:val="28"/>
        </w:rPr>
        <w:fldChar w:fldCharType="end"/>
      </w:r>
      <w:r>
        <w:rPr>
          <w:rFonts w:ascii="宋体" w:hAnsi="宋体"/>
          <w:sz w:val="28"/>
          <w:szCs w:val="28"/>
        </w:rPr>
        <w:fldChar w:fldCharType="end"/>
      </w:r>
    </w:p>
    <w:p w14:paraId="26EC2A3D">
      <w:pPr>
        <w:pStyle w:val="18"/>
        <w:tabs>
          <w:tab w:val="right" w:leader="dot" w:pos="8834"/>
        </w:tabs>
        <w:spacing w:line="360" w:lineRule="auto"/>
        <w:rPr>
          <w:rFonts w:ascii="宋体" w:hAnsi="宋体" w:cstheme="minorBidi"/>
          <w:sz w:val="28"/>
          <w:szCs w:val="28"/>
        </w:rPr>
      </w:pPr>
      <w:r>
        <w:fldChar w:fldCharType="begin"/>
      </w:r>
      <w:r>
        <w:instrText xml:space="preserve"> HYPERLINK \l "_Toc139925580" </w:instrText>
      </w:r>
      <w:r>
        <w:fldChar w:fldCharType="separate"/>
      </w:r>
      <w:r>
        <w:rPr>
          <w:rStyle w:val="30"/>
          <w:rFonts w:ascii="宋体" w:hAnsi="宋体"/>
          <w:snapToGrid w:val="0"/>
          <w:sz w:val="28"/>
          <w:szCs w:val="28"/>
        </w:rPr>
        <w:t>三、区域环境质量现状、环境保护目标及评价标准</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_Toc139925580 \h </w:instrText>
      </w:r>
      <w:r>
        <w:rPr>
          <w:rFonts w:ascii="宋体" w:hAnsi="宋体"/>
          <w:sz w:val="28"/>
          <w:szCs w:val="28"/>
        </w:rPr>
        <w:fldChar w:fldCharType="separate"/>
      </w:r>
      <w:r>
        <w:rPr>
          <w:rFonts w:ascii="宋体" w:hAnsi="宋体"/>
          <w:sz w:val="28"/>
          <w:szCs w:val="28"/>
        </w:rPr>
        <w:t>- 29 -</w:t>
      </w:r>
      <w:r>
        <w:rPr>
          <w:rFonts w:ascii="宋体" w:hAnsi="宋体"/>
          <w:sz w:val="28"/>
          <w:szCs w:val="28"/>
        </w:rPr>
        <w:fldChar w:fldCharType="end"/>
      </w:r>
      <w:r>
        <w:rPr>
          <w:rFonts w:ascii="宋体" w:hAnsi="宋体"/>
          <w:sz w:val="28"/>
          <w:szCs w:val="28"/>
        </w:rPr>
        <w:fldChar w:fldCharType="end"/>
      </w:r>
    </w:p>
    <w:p w14:paraId="7C271BDA">
      <w:pPr>
        <w:pStyle w:val="18"/>
        <w:tabs>
          <w:tab w:val="right" w:leader="dot" w:pos="8834"/>
        </w:tabs>
        <w:spacing w:line="360" w:lineRule="auto"/>
        <w:rPr>
          <w:rFonts w:ascii="宋体" w:hAnsi="宋体" w:cstheme="minorBidi"/>
          <w:sz w:val="28"/>
          <w:szCs w:val="28"/>
        </w:rPr>
      </w:pPr>
      <w:r>
        <w:fldChar w:fldCharType="begin"/>
      </w:r>
      <w:r>
        <w:instrText xml:space="preserve"> HYPERLINK \l "_Toc139925581" </w:instrText>
      </w:r>
      <w:r>
        <w:fldChar w:fldCharType="separate"/>
      </w:r>
      <w:r>
        <w:rPr>
          <w:rStyle w:val="30"/>
          <w:rFonts w:ascii="宋体" w:hAnsi="宋体"/>
          <w:snapToGrid w:val="0"/>
          <w:sz w:val="28"/>
          <w:szCs w:val="28"/>
        </w:rPr>
        <w:t>四、主要环境影响和保护措施</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_Toc139925581 \h </w:instrText>
      </w:r>
      <w:r>
        <w:rPr>
          <w:rFonts w:ascii="宋体" w:hAnsi="宋体"/>
          <w:sz w:val="28"/>
          <w:szCs w:val="28"/>
        </w:rPr>
        <w:fldChar w:fldCharType="separate"/>
      </w:r>
      <w:r>
        <w:rPr>
          <w:rFonts w:ascii="宋体" w:hAnsi="宋体"/>
          <w:sz w:val="28"/>
          <w:szCs w:val="28"/>
        </w:rPr>
        <w:t>- 36 -</w:t>
      </w:r>
      <w:r>
        <w:rPr>
          <w:rFonts w:ascii="宋体" w:hAnsi="宋体"/>
          <w:sz w:val="28"/>
          <w:szCs w:val="28"/>
        </w:rPr>
        <w:fldChar w:fldCharType="end"/>
      </w:r>
      <w:r>
        <w:rPr>
          <w:rFonts w:ascii="宋体" w:hAnsi="宋体"/>
          <w:sz w:val="28"/>
          <w:szCs w:val="28"/>
        </w:rPr>
        <w:fldChar w:fldCharType="end"/>
      </w:r>
    </w:p>
    <w:p w14:paraId="1627377D">
      <w:pPr>
        <w:pStyle w:val="18"/>
        <w:tabs>
          <w:tab w:val="right" w:leader="dot" w:pos="8834"/>
        </w:tabs>
        <w:spacing w:line="360" w:lineRule="auto"/>
        <w:rPr>
          <w:rFonts w:ascii="宋体" w:hAnsi="宋体" w:cstheme="minorBidi"/>
          <w:sz w:val="28"/>
          <w:szCs w:val="28"/>
        </w:rPr>
      </w:pPr>
      <w:r>
        <w:fldChar w:fldCharType="begin"/>
      </w:r>
      <w:r>
        <w:instrText xml:space="preserve"> HYPERLINK \l "_Toc139925582" </w:instrText>
      </w:r>
      <w:r>
        <w:fldChar w:fldCharType="separate"/>
      </w:r>
      <w:r>
        <w:rPr>
          <w:rStyle w:val="30"/>
          <w:rFonts w:ascii="宋体" w:hAnsi="宋体"/>
          <w:snapToGrid w:val="0"/>
          <w:sz w:val="28"/>
          <w:szCs w:val="28"/>
        </w:rPr>
        <w:t>五、环境保护措施监督检查清单</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_Toc139925582 \h </w:instrText>
      </w:r>
      <w:r>
        <w:rPr>
          <w:rFonts w:ascii="宋体" w:hAnsi="宋体"/>
          <w:sz w:val="28"/>
          <w:szCs w:val="28"/>
        </w:rPr>
        <w:fldChar w:fldCharType="separate"/>
      </w:r>
      <w:r>
        <w:rPr>
          <w:rFonts w:ascii="宋体" w:hAnsi="宋体"/>
          <w:sz w:val="28"/>
          <w:szCs w:val="28"/>
        </w:rPr>
        <w:t>- 54 -</w:t>
      </w:r>
      <w:r>
        <w:rPr>
          <w:rFonts w:ascii="宋体" w:hAnsi="宋体"/>
          <w:sz w:val="28"/>
          <w:szCs w:val="28"/>
        </w:rPr>
        <w:fldChar w:fldCharType="end"/>
      </w:r>
      <w:r>
        <w:rPr>
          <w:rFonts w:ascii="宋体" w:hAnsi="宋体"/>
          <w:sz w:val="28"/>
          <w:szCs w:val="28"/>
        </w:rPr>
        <w:fldChar w:fldCharType="end"/>
      </w:r>
    </w:p>
    <w:p w14:paraId="4163EAAC">
      <w:pPr>
        <w:pStyle w:val="18"/>
        <w:tabs>
          <w:tab w:val="right" w:leader="dot" w:pos="8834"/>
        </w:tabs>
        <w:spacing w:line="360" w:lineRule="auto"/>
        <w:rPr>
          <w:rFonts w:ascii="宋体" w:hAnsi="宋体" w:cstheme="minorBidi"/>
          <w:sz w:val="28"/>
          <w:szCs w:val="28"/>
        </w:rPr>
      </w:pPr>
      <w:r>
        <w:fldChar w:fldCharType="begin"/>
      </w:r>
      <w:r>
        <w:instrText xml:space="preserve"> HYPERLINK \l "_Toc139925583" </w:instrText>
      </w:r>
      <w:r>
        <w:fldChar w:fldCharType="separate"/>
      </w:r>
      <w:r>
        <w:rPr>
          <w:rStyle w:val="30"/>
          <w:rFonts w:ascii="宋体" w:hAnsi="宋体"/>
          <w:snapToGrid w:val="0"/>
          <w:sz w:val="28"/>
          <w:szCs w:val="28"/>
        </w:rPr>
        <w:t>六、结论</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_Toc139925583 \h </w:instrText>
      </w:r>
      <w:r>
        <w:rPr>
          <w:rFonts w:ascii="宋体" w:hAnsi="宋体"/>
          <w:sz w:val="28"/>
          <w:szCs w:val="28"/>
        </w:rPr>
        <w:fldChar w:fldCharType="separate"/>
      </w:r>
      <w:r>
        <w:rPr>
          <w:rFonts w:ascii="宋体" w:hAnsi="宋体"/>
          <w:sz w:val="28"/>
          <w:szCs w:val="28"/>
        </w:rPr>
        <w:t>- 56 -</w:t>
      </w:r>
      <w:r>
        <w:rPr>
          <w:rFonts w:ascii="宋体" w:hAnsi="宋体"/>
          <w:sz w:val="28"/>
          <w:szCs w:val="28"/>
        </w:rPr>
        <w:fldChar w:fldCharType="end"/>
      </w:r>
      <w:r>
        <w:rPr>
          <w:rFonts w:ascii="宋体" w:hAnsi="宋体"/>
          <w:sz w:val="28"/>
          <w:szCs w:val="28"/>
        </w:rPr>
        <w:fldChar w:fldCharType="end"/>
      </w:r>
    </w:p>
    <w:p w14:paraId="224483E6">
      <w:pPr>
        <w:pStyle w:val="18"/>
        <w:tabs>
          <w:tab w:val="right" w:leader="dot" w:pos="8834"/>
        </w:tabs>
        <w:spacing w:line="360" w:lineRule="auto"/>
        <w:rPr>
          <w:rFonts w:asciiTheme="minorHAnsi" w:hAnsiTheme="minorHAnsi" w:eastAsiaTheme="minorEastAsia" w:cstheme="minorBidi"/>
          <w:szCs w:val="22"/>
        </w:rPr>
      </w:pPr>
      <w:r>
        <w:fldChar w:fldCharType="begin"/>
      </w:r>
      <w:r>
        <w:instrText xml:space="preserve"> HYPERLINK \l "_Toc139925584" </w:instrText>
      </w:r>
      <w:r>
        <w:fldChar w:fldCharType="separate"/>
      </w:r>
      <w:r>
        <w:rPr>
          <w:rStyle w:val="30"/>
          <w:rFonts w:ascii="宋体" w:hAnsi="宋体"/>
          <w:snapToGrid w:val="0"/>
          <w:sz w:val="28"/>
          <w:szCs w:val="28"/>
        </w:rPr>
        <w:t>附表</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_Toc139925584 \h </w:instrText>
      </w:r>
      <w:r>
        <w:rPr>
          <w:rFonts w:ascii="宋体" w:hAnsi="宋体"/>
          <w:sz w:val="28"/>
          <w:szCs w:val="28"/>
        </w:rPr>
        <w:fldChar w:fldCharType="separate"/>
      </w:r>
      <w:r>
        <w:rPr>
          <w:rFonts w:ascii="宋体" w:hAnsi="宋体"/>
          <w:sz w:val="28"/>
          <w:szCs w:val="28"/>
        </w:rPr>
        <w:t>- 57 -</w:t>
      </w:r>
      <w:r>
        <w:rPr>
          <w:rFonts w:ascii="宋体" w:hAnsi="宋体"/>
          <w:sz w:val="28"/>
          <w:szCs w:val="28"/>
        </w:rPr>
        <w:fldChar w:fldCharType="end"/>
      </w:r>
      <w:r>
        <w:rPr>
          <w:rFonts w:ascii="宋体" w:hAnsi="宋体"/>
          <w:sz w:val="28"/>
          <w:szCs w:val="28"/>
        </w:rPr>
        <w:fldChar w:fldCharType="end"/>
      </w:r>
    </w:p>
    <w:p w14:paraId="4ED065E1">
      <w:pPr>
        <w:spacing w:line="360" w:lineRule="auto"/>
        <w:rPr>
          <w:color w:val="000000" w:themeColor="text1"/>
          <w:lang w:val="zh-CN"/>
        </w:rPr>
      </w:pPr>
      <w:r>
        <w:rPr>
          <w:b/>
          <w:bCs/>
          <w:color w:val="000000" w:themeColor="text1"/>
          <w:sz w:val="24"/>
          <w:lang w:val="zh-CN"/>
        </w:rPr>
        <w:fldChar w:fldCharType="end"/>
      </w:r>
    </w:p>
    <w:p w14:paraId="207DC05D">
      <w:pPr>
        <w:spacing w:line="240" w:lineRule="auto"/>
        <w:rPr>
          <w:b/>
          <w:bCs w:val="0"/>
          <w:color w:val="000000" w:themeColor="text1"/>
          <w:lang w:val="zh-CN"/>
        </w:rPr>
      </w:pPr>
      <w:r>
        <w:rPr>
          <w:b/>
          <w:bCs w:val="0"/>
          <w:color w:val="000000" w:themeColor="text1"/>
          <w:sz w:val="24"/>
          <w:lang w:val="zh-CN"/>
        </w:rPr>
        <w:t>附件：</w:t>
      </w:r>
    </w:p>
    <w:p w14:paraId="39C6D5A4">
      <w:pPr>
        <w:keepNext w:val="0"/>
        <w:keepLines w:val="0"/>
        <w:pageBreakBefore w:val="0"/>
        <w:widowControl w:val="0"/>
        <w:kinsoku/>
        <w:wordWrap/>
        <w:overflowPunct/>
        <w:topLinePunct w:val="0"/>
        <w:autoSpaceDE/>
        <w:autoSpaceDN/>
        <w:bidi w:val="0"/>
        <w:spacing w:line="240" w:lineRule="auto"/>
        <w:textAlignment w:val="auto"/>
        <w:rPr>
          <w:bCs/>
          <w:color w:val="000000" w:themeColor="text1"/>
          <w:sz w:val="24"/>
          <w:lang w:val="zh-CN"/>
        </w:rPr>
      </w:pPr>
      <w:bookmarkStart w:id="2" w:name="_Hlk73517963"/>
      <w:bookmarkStart w:id="3" w:name="_Hlk133157851"/>
      <w:r>
        <w:rPr>
          <w:bCs/>
          <w:color w:val="000000" w:themeColor="text1"/>
          <w:sz w:val="24"/>
          <w:lang w:val="zh-CN"/>
        </w:rPr>
        <w:t>附件1、环评委托书</w:t>
      </w:r>
    </w:p>
    <w:p w14:paraId="66E0E5D6">
      <w:pPr>
        <w:keepNext w:val="0"/>
        <w:keepLines w:val="0"/>
        <w:pageBreakBefore w:val="0"/>
        <w:widowControl w:val="0"/>
        <w:kinsoku/>
        <w:wordWrap/>
        <w:overflowPunct/>
        <w:topLinePunct w:val="0"/>
        <w:autoSpaceDE/>
        <w:autoSpaceDN/>
        <w:bidi w:val="0"/>
        <w:spacing w:line="240" w:lineRule="auto"/>
        <w:textAlignment w:val="auto"/>
        <w:rPr>
          <w:rFonts w:hint="eastAsia" w:eastAsia="宋体"/>
          <w:bCs/>
          <w:color w:val="000000" w:themeColor="text1"/>
          <w:sz w:val="24"/>
          <w:lang w:val="en-US" w:eastAsia="zh-CN"/>
        </w:rPr>
      </w:pPr>
      <w:r>
        <w:rPr>
          <w:bCs/>
          <w:color w:val="000000" w:themeColor="text1"/>
          <w:sz w:val="24"/>
          <w:lang w:val="zh-CN"/>
        </w:rPr>
        <w:t>附件2、</w:t>
      </w:r>
      <w:r>
        <w:rPr>
          <w:rFonts w:hint="eastAsia"/>
          <w:bCs/>
          <w:color w:val="000000" w:themeColor="text1"/>
          <w:sz w:val="24"/>
          <w:lang w:val="en-US" w:eastAsia="zh-CN"/>
        </w:rPr>
        <w:t>会议纪要</w:t>
      </w:r>
    </w:p>
    <w:p w14:paraId="73BFB8C3">
      <w:pPr>
        <w:keepNext w:val="0"/>
        <w:keepLines w:val="0"/>
        <w:pageBreakBefore w:val="0"/>
        <w:widowControl w:val="0"/>
        <w:kinsoku/>
        <w:wordWrap/>
        <w:overflowPunct/>
        <w:topLinePunct w:val="0"/>
        <w:autoSpaceDE/>
        <w:autoSpaceDN/>
        <w:bidi w:val="0"/>
        <w:spacing w:line="240" w:lineRule="auto"/>
        <w:textAlignment w:val="auto"/>
        <w:rPr>
          <w:rFonts w:hint="default" w:eastAsia="宋体"/>
          <w:bCs/>
          <w:color w:val="000000" w:themeColor="text1"/>
          <w:sz w:val="24"/>
          <w:lang w:val="en-US" w:eastAsia="zh-CN"/>
        </w:rPr>
      </w:pPr>
      <w:r>
        <w:rPr>
          <w:rFonts w:hint="eastAsia"/>
          <w:bCs/>
          <w:color w:val="000000" w:themeColor="text1"/>
          <w:sz w:val="24"/>
          <w:lang w:val="zh-CN"/>
        </w:rPr>
        <w:t>附件3、</w:t>
      </w:r>
      <w:r>
        <w:rPr>
          <w:rFonts w:hint="eastAsia"/>
          <w:bCs/>
          <w:color w:val="000000" w:themeColor="text1"/>
          <w:sz w:val="24"/>
          <w:lang w:val="en-US" w:eastAsia="zh-CN"/>
        </w:rPr>
        <w:t>楼区人民医院环评批复</w:t>
      </w:r>
    </w:p>
    <w:p w14:paraId="4A96BBA6">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lang w:val="en-US" w:eastAsia="zh-CN"/>
        </w:rPr>
      </w:pPr>
      <w:r>
        <w:rPr>
          <w:rFonts w:hint="eastAsia"/>
          <w:bCs/>
          <w:color w:val="000000" w:themeColor="text1"/>
          <w:sz w:val="24"/>
          <w:lang w:val="en-US" w:eastAsia="zh-CN"/>
        </w:rPr>
        <w:t>附件4、楼区人民医院验收</w:t>
      </w:r>
    </w:p>
    <w:bookmarkEnd w:id="2"/>
    <w:p w14:paraId="29875CEA">
      <w:pPr>
        <w:keepNext w:val="0"/>
        <w:keepLines w:val="0"/>
        <w:pageBreakBefore w:val="0"/>
        <w:widowControl w:val="0"/>
        <w:kinsoku/>
        <w:wordWrap/>
        <w:overflowPunct/>
        <w:topLinePunct w:val="0"/>
        <w:autoSpaceDE/>
        <w:autoSpaceDN/>
        <w:bidi w:val="0"/>
        <w:spacing w:line="240" w:lineRule="auto"/>
        <w:textAlignment w:val="auto"/>
        <w:rPr>
          <w:rFonts w:hint="default" w:eastAsia="宋体"/>
          <w:bCs/>
          <w:color w:val="auto"/>
          <w:highlight w:val="none"/>
          <w:lang w:val="en-US" w:eastAsia="zh-CN"/>
        </w:rPr>
      </w:pPr>
      <w:r>
        <w:rPr>
          <w:bCs/>
          <w:color w:val="auto"/>
          <w:sz w:val="24"/>
          <w:highlight w:val="none"/>
          <w:lang w:val="zh-CN"/>
        </w:rPr>
        <w:t>附件</w:t>
      </w:r>
      <w:r>
        <w:rPr>
          <w:rFonts w:hint="eastAsia"/>
          <w:bCs/>
          <w:color w:val="auto"/>
          <w:sz w:val="24"/>
          <w:highlight w:val="none"/>
          <w:lang w:val="en-US" w:eastAsia="zh-CN"/>
        </w:rPr>
        <w:t>5</w:t>
      </w:r>
      <w:r>
        <w:rPr>
          <w:bCs/>
          <w:color w:val="auto"/>
          <w:sz w:val="24"/>
          <w:highlight w:val="none"/>
          <w:lang w:val="zh-CN"/>
        </w:rPr>
        <w:t>、</w:t>
      </w:r>
      <w:r>
        <w:rPr>
          <w:rFonts w:hint="eastAsia"/>
          <w:bCs/>
          <w:color w:val="auto"/>
          <w:sz w:val="24"/>
          <w:highlight w:val="none"/>
          <w:lang w:val="en-US" w:eastAsia="zh-CN"/>
        </w:rPr>
        <w:t>楼区人民医院排污许可证</w:t>
      </w:r>
    </w:p>
    <w:p w14:paraId="5BE5F352">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bCs/>
          <w:color w:val="auto"/>
          <w:sz w:val="24"/>
          <w:lang w:val="en-US" w:eastAsia="zh-CN"/>
        </w:rPr>
        <w:t>附件6、</w:t>
      </w:r>
      <w:r>
        <w:rPr>
          <w:rFonts w:hint="eastAsia" w:cs="Times New Roman"/>
          <w:bCs/>
          <w:color w:val="auto"/>
          <w:kern w:val="2"/>
          <w:sz w:val="24"/>
          <w:szCs w:val="24"/>
          <w:highlight w:val="none"/>
          <w:lang w:val="en-US" w:eastAsia="zh-CN" w:bidi="ar-SA"/>
        </w:rPr>
        <w:t>中心医院金鹗山院区</w:t>
      </w:r>
      <w:r>
        <w:rPr>
          <w:rFonts w:hint="eastAsia" w:ascii="Times New Roman" w:hAnsi="Times New Roman" w:eastAsia="宋体" w:cs="Times New Roman"/>
          <w:bCs/>
          <w:color w:val="auto"/>
          <w:kern w:val="2"/>
          <w:sz w:val="24"/>
          <w:szCs w:val="24"/>
          <w:highlight w:val="none"/>
          <w:lang w:val="en-US" w:eastAsia="zh-CN" w:bidi="ar-SA"/>
        </w:rPr>
        <w:t>环评批复</w:t>
      </w:r>
    </w:p>
    <w:p w14:paraId="74A69EB8">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附件7、</w:t>
      </w:r>
      <w:r>
        <w:rPr>
          <w:rFonts w:hint="eastAsia" w:cs="Times New Roman"/>
          <w:bCs/>
          <w:color w:val="auto"/>
          <w:kern w:val="2"/>
          <w:sz w:val="24"/>
          <w:szCs w:val="24"/>
          <w:highlight w:val="none"/>
          <w:lang w:val="en-US" w:eastAsia="zh-CN" w:bidi="ar-SA"/>
        </w:rPr>
        <w:t>中心医院金鹗山院区</w:t>
      </w:r>
      <w:r>
        <w:rPr>
          <w:rFonts w:hint="eastAsia" w:ascii="Times New Roman" w:hAnsi="Times New Roman" w:eastAsia="宋体" w:cs="Times New Roman"/>
          <w:bCs/>
          <w:color w:val="auto"/>
          <w:kern w:val="2"/>
          <w:sz w:val="24"/>
          <w:szCs w:val="24"/>
          <w:highlight w:val="none"/>
          <w:lang w:val="en-US" w:eastAsia="zh-CN" w:bidi="ar-SA"/>
        </w:rPr>
        <w:t>验收</w:t>
      </w:r>
    </w:p>
    <w:p w14:paraId="102C603C">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附件8、</w:t>
      </w:r>
      <w:r>
        <w:rPr>
          <w:rFonts w:hint="eastAsia" w:cs="Times New Roman"/>
          <w:bCs/>
          <w:color w:val="auto"/>
          <w:kern w:val="2"/>
          <w:sz w:val="24"/>
          <w:szCs w:val="24"/>
          <w:highlight w:val="none"/>
          <w:lang w:val="en-US" w:eastAsia="zh-CN" w:bidi="ar-SA"/>
        </w:rPr>
        <w:t>中心医院金鹗山院区</w:t>
      </w:r>
      <w:r>
        <w:rPr>
          <w:rFonts w:hint="eastAsia" w:ascii="Times New Roman" w:hAnsi="Times New Roman" w:eastAsia="宋体" w:cs="Times New Roman"/>
          <w:bCs/>
          <w:color w:val="auto"/>
          <w:kern w:val="2"/>
          <w:sz w:val="24"/>
          <w:szCs w:val="24"/>
          <w:highlight w:val="none"/>
          <w:lang w:val="en-US" w:eastAsia="zh-CN" w:bidi="ar-SA"/>
        </w:rPr>
        <w:t>排污许可证</w:t>
      </w:r>
    </w:p>
    <w:p w14:paraId="5F571210">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附件9、</w:t>
      </w:r>
      <w:r>
        <w:rPr>
          <w:rFonts w:hint="eastAsia" w:cs="Times New Roman"/>
          <w:bCs/>
          <w:color w:val="auto"/>
          <w:kern w:val="2"/>
          <w:sz w:val="24"/>
          <w:szCs w:val="24"/>
          <w:highlight w:val="none"/>
          <w:lang w:val="en-US" w:eastAsia="zh-CN" w:bidi="ar-SA"/>
        </w:rPr>
        <w:t>中心医院金鹗山院区</w:t>
      </w:r>
      <w:r>
        <w:rPr>
          <w:rFonts w:hint="eastAsia" w:ascii="Times New Roman" w:hAnsi="Times New Roman" w:eastAsia="宋体" w:cs="Times New Roman"/>
          <w:bCs/>
          <w:color w:val="auto"/>
          <w:kern w:val="2"/>
          <w:sz w:val="24"/>
          <w:szCs w:val="24"/>
          <w:highlight w:val="none"/>
          <w:lang w:val="en-US" w:eastAsia="zh-CN" w:bidi="ar-SA"/>
        </w:rPr>
        <w:t>常规检测报告</w:t>
      </w:r>
    </w:p>
    <w:p w14:paraId="54E3ABB0">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附件10、检测报告</w:t>
      </w:r>
    </w:p>
    <w:p w14:paraId="251D9011">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附件11、</w:t>
      </w:r>
      <w:r>
        <w:rPr>
          <w:rFonts w:hint="eastAsia" w:cs="Times New Roman"/>
          <w:bCs/>
          <w:color w:val="auto"/>
          <w:kern w:val="2"/>
          <w:sz w:val="24"/>
          <w:szCs w:val="24"/>
          <w:highlight w:val="none"/>
          <w:lang w:val="en-US" w:eastAsia="zh-CN" w:bidi="ar-SA"/>
        </w:rPr>
        <w:t>卫生局证明文件</w:t>
      </w:r>
    </w:p>
    <w:p w14:paraId="30691E7E">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ascii="Times New Roman" w:hAnsi="Times New Roman" w:eastAsia="宋体" w:cs="Times New Roman"/>
          <w:bCs/>
          <w:color w:val="auto"/>
          <w:kern w:val="2"/>
          <w:sz w:val="24"/>
          <w:szCs w:val="24"/>
          <w:highlight w:val="none"/>
          <w:lang w:val="en-US" w:eastAsia="zh-CN" w:bidi="ar-SA"/>
        </w:rPr>
        <w:t>附件12、</w:t>
      </w:r>
      <w:r>
        <w:rPr>
          <w:rFonts w:hint="eastAsia" w:cs="Times New Roman"/>
          <w:bCs/>
          <w:color w:val="auto"/>
          <w:kern w:val="2"/>
          <w:sz w:val="24"/>
          <w:szCs w:val="24"/>
          <w:highlight w:val="none"/>
          <w:lang w:val="en-US" w:eastAsia="zh-CN" w:bidi="ar-SA"/>
        </w:rPr>
        <w:t>专家意见</w:t>
      </w:r>
    </w:p>
    <w:p w14:paraId="0AC3484B">
      <w:pPr>
        <w:pStyle w:val="36"/>
        <w:keepNext w:val="0"/>
        <w:keepLines w:val="0"/>
        <w:pageBreakBefore w:val="0"/>
        <w:widowControl w:val="0"/>
        <w:kinsoku/>
        <w:wordWrap/>
        <w:overflowPunct/>
        <w:topLinePunct w:val="0"/>
        <w:autoSpaceDE/>
        <w:autoSpaceDN/>
        <w:bidi w:val="0"/>
        <w:spacing w:line="240" w:lineRule="auto"/>
        <w:ind w:left="0" w:leftChars="0" w:firstLine="0" w:firstLineChars="0"/>
        <w:textAlignment w:val="auto"/>
        <w:rPr>
          <w:rFonts w:hint="default" w:ascii="Times New Roman" w:hAnsi="Times New Roman" w:eastAsia="宋体" w:cs="Times New Roman"/>
          <w:bCs/>
          <w:color w:val="auto"/>
          <w:kern w:val="2"/>
          <w:sz w:val="24"/>
          <w:szCs w:val="24"/>
          <w:highlight w:val="none"/>
          <w:lang w:val="en-US" w:eastAsia="zh-CN" w:bidi="ar-SA"/>
        </w:rPr>
      </w:pPr>
      <w:r>
        <w:rPr>
          <w:rFonts w:hint="eastAsia" w:cs="Times New Roman"/>
          <w:bCs/>
          <w:color w:val="auto"/>
          <w:kern w:val="2"/>
          <w:sz w:val="24"/>
          <w:szCs w:val="24"/>
          <w:highlight w:val="none"/>
          <w:lang w:val="en-US" w:eastAsia="zh-CN" w:bidi="ar-SA"/>
        </w:rPr>
        <w:t>附件13、法人证书</w:t>
      </w:r>
    </w:p>
    <w:bookmarkEnd w:id="3"/>
    <w:p w14:paraId="3B8F3D66">
      <w:pPr>
        <w:spacing w:line="240" w:lineRule="auto"/>
        <w:rPr>
          <w:b/>
          <w:bCs w:val="0"/>
          <w:color w:val="000000" w:themeColor="text1"/>
          <w:sz w:val="24"/>
          <w:lang w:val="zh-CN"/>
        </w:rPr>
      </w:pPr>
      <w:r>
        <w:rPr>
          <w:b/>
          <w:bCs w:val="0"/>
          <w:color w:val="000000" w:themeColor="text1"/>
          <w:sz w:val="24"/>
          <w:lang w:val="zh-CN"/>
        </w:rPr>
        <w:t>附图：</w:t>
      </w:r>
    </w:p>
    <w:p w14:paraId="51E5E3D6">
      <w:pPr>
        <w:spacing w:line="240" w:lineRule="auto"/>
        <w:rPr>
          <w:bCs/>
          <w:color w:val="000000" w:themeColor="text1"/>
          <w:sz w:val="24"/>
          <w:lang w:val="zh-CN"/>
        </w:rPr>
      </w:pPr>
      <w:r>
        <w:rPr>
          <w:bCs/>
          <w:color w:val="000000" w:themeColor="text1"/>
          <w:sz w:val="24"/>
          <w:lang w:val="zh-CN"/>
        </w:rPr>
        <w:t>附图1、</w:t>
      </w:r>
      <w:r>
        <w:rPr>
          <w:rFonts w:hint="eastAsia"/>
          <w:bCs/>
          <w:color w:val="000000" w:themeColor="text1"/>
          <w:sz w:val="24"/>
          <w:lang w:val="zh-CN"/>
        </w:rPr>
        <w:t>项目</w:t>
      </w:r>
      <w:r>
        <w:rPr>
          <w:bCs/>
          <w:color w:val="000000" w:themeColor="text1"/>
          <w:sz w:val="24"/>
          <w:lang w:val="zh-CN"/>
        </w:rPr>
        <w:t>地理位置图</w:t>
      </w:r>
    </w:p>
    <w:p w14:paraId="125EA57A">
      <w:pPr>
        <w:spacing w:line="240" w:lineRule="auto"/>
        <w:rPr>
          <w:bCs/>
          <w:color w:val="000000" w:themeColor="text1"/>
          <w:sz w:val="24"/>
          <w:lang w:val="zh-CN"/>
        </w:rPr>
      </w:pPr>
      <w:r>
        <w:rPr>
          <w:bCs/>
          <w:color w:val="000000" w:themeColor="text1"/>
          <w:sz w:val="24"/>
          <w:lang w:val="zh-CN"/>
        </w:rPr>
        <w:t>附图2、项目总平面布置图</w:t>
      </w:r>
    </w:p>
    <w:p w14:paraId="1DBBE3C9">
      <w:pPr>
        <w:spacing w:line="240" w:lineRule="auto"/>
        <w:rPr>
          <w:rFonts w:hint="default"/>
          <w:bCs/>
          <w:color w:val="000000" w:themeColor="text1"/>
          <w:sz w:val="24"/>
          <w:lang w:val="en-US" w:eastAsia="zh-CN"/>
        </w:rPr>
      </w:pPr>
      <w:r>
        <w:rPr>
          <w:rFonts w:hint="eastAsia"/>
          <w:bCs/>
          <w:color w:val="000000" w:themeColor="text1"/>
          <w:sz w:val="24"/>
          <w:lang w:val="en-US" w:eastAsia="zh-CN"/>
        </w:rPr>
        <w:t>附图3、</w:t>
      </w:r>
      <w:r>
        <w:rPr>
          <w:bCs/>
          <w:color w:val="000000" w:themeColor="text1"/>
          <w:sz w:val="24"/>
          <w:lang w:val="zh-CN"/>
        </w:rPr>
        <w:t>项目环境保护目标图</w:t>
      </w:r>
      <w:r>
        <w:rPr>
          <w:rFonts w:hint="eastAsia"/>
          <w:bCs/>
          <w:color w:val="000000" w:themeColor="text1"/>
          <w:sz w:val="24"/>
          <w:lang w:val="zh-CN"/>
        </w:rPr>
        <w:t>（</w:t>
      </w:r>
      <w:r>
        <w:rPr>
          <w:rFonts w:hint="eastAsia"/>
          <w:bCs/>
          <w:color w:val="000000" w:themeColor="text1"/>
          <w:sz w:val="24"/>
          <w:lang w:val="en-US" w:eastAsia="zh-CN"/>
        </w:rPr>
        <w:t>500m</w:t>
      </w:r>
      <w:r>
        <w:rPr>
          <w:rFonts w:hint="eastAsia"/>
          <w:bCs/>
          <w:color w:val="000000" w:themeColor="text1"/>
          <w:sz w:val="24"/>
          <w:lang w:val="zh-CN"/>
        </w:rPr>
        <w:t>）</w:t>
      </w:r>
    </w:p>
    <w:p w14:paraId="4D73AAEB">
      <w:pPr>
        <w:spacing w:line="240" w:lineRule="auto"/>
        <w:rPr>
          <w:bCs/>
          <w:color w:val="000000" w:themeColor="text1"/>
          <w:sz w:val="24"/>
          <w:lang w:val="zh-CN"/>
        </w:rPr>
      </w:pPr>
      <w:r>
        <w:rPr>
          <w:bCs/>
          <w:color w:val="000000" w:themeColor="text1"/>
          <w:sz w:val="24"/>
          <w:lang w:val="zh-CN"/>
        </w:rPr>
        <w:t>附图</w:t>
      </w:r>
      <w:r>
        <w:rPr>
          <w:rFonts w:hint="eastAsia"/>
          <w:bCs/>
          <w:color w:val="000000" w:themeColor="text1"/>
          <w:sz w:val="24"/>
          <w:lang w:val="en-US" w:eastAsia="zh-CN"/>
        </w:rPr>
        <w:t>4</w:t>
      </w:r>
      <w:r>
        <w:rPr>
          <w:bCs/>
          <w:color w:val="000000" w:themeColor="text1"/>
          <w:sz w:val="24"/>
          <w:lang w:val="zh-CN"/>
        </w:rPr>
        <w:t>、项目环境保护目标图</w:t>
      </w:r>
      <w:r>
        <w:rPr>
          <w:rFonts w:hint="eastAsia"/>
          <w:bCs/>
          <w:color w:val="000000" w:themeColor="text1"/>
          <w:sz w:val="24"/>
          <w:lang w:val="zh-CN"/>
        </w:rPr>
        <w:t>（</w:t>
      </w:r>
      <w:r>
        <w:rPr>
          <w:rFonts w:hint="eastAsia"/>
          <w:bCs/>
          <w:color w:val="000000" w:themeColor="text1"/>
          <w:sz w:val="24"/>
          <w:lang w:val="en-US" w:eastAsia="zh-CN"/>
        </w:rPr>
        <w:t>水环境</w:t>
      </w:r>
      <w:r>
        <w:rPr>
          <w:rFonts w:hint="eastAsia"/>
          <w:bCs/>
          <w:color w:val="000000" w:themeColor="text1"/>
          <w:sz w:val="24"/>
          <w:lang w:val="zh-CN"/>
        </w:rPr>
        <w:t>）</w:t>
      </w:r>
    </w:p>
    <w:p w14:paraId="60586E32">
      <w:pPr>
        <w:spacing w:line="240" w:lineRule="auto"/>
        <w:rPr>
          <w:rFonts w:hint="default"/>
          <w:bCs/>
          <w:color w:val="auto"/>
          <w:sz w:val="24"/>
          <w:lang w:val="en-US" w:eastAsia="zh-CN"/>
        </w:rPr>
      </w:pPr>
      <w:r>
        <w:rPr>
          <w:rFonts w:hint="eastAsia"/>
          <w:bCs/>
          <w:color w:val="auto"/>
          <w:sz w:val="24"/>
          <w:lang w:val="en-US" w:eastAsia="zh-CN"/>
        </w:rPr>
        <w:t>附图5、监测点位图</w:t>
      </w:r>
    </w:p>
    <w:p w14:paraId="679BA508">
      <w:pPr>
        <w:spacing w:line="240" w:lineRule="auto"/>
        <w:rPr>
          <w:rFonts w:hint="default"/>
          <w:bCs/>
          <w:color w:val="auto"/>
          <w:sz w:val="24"/>
          <w:lang w:val="en-US" w:eastAsia="zh-CN"/>
        </w:rPr>
      </w:pPr>
      <w:r>
        <w:rPr>
          <w:rFonts w:hint="eastAsia"/>
          <w:bCs/>
          <w:color w:val="auto"/>
          <w:sz w:val="24"/>
          <w:lang w:val="en-US" w:eastAsia="zh-CN"/>
        </w:rPr>
        <w:t>附图6、区域水系及项目排水路径图</w:t>
      </w:r>
    </w:p>
    <w:p w14:paraId="78833A2F">
      <w:pPr>
        <w:spacing w:line="240" w:lineRule="auto"/>
        <w:rPr>
          <w:rFonts w:hint="default"/>
          <w:bCs/>
          <w:color w:val="auto"/>
          <w:sz w:val="24"/>
          <w:lang w:val="en-US" w:eastAsia="zh-CN"/>
        </w:rPr>
      </w:pPr>
      <w:r>
        <w:rPr>
          <w:rFonts w:hint="eastAsia"/>
          <w:bCs/>
          <w:color w:val="auto"/>
          <w:sz w:val="24"/>
          <w:lang w:val="en-US" w:eastAsia="zh-CN"/>
        </w:rPr>
        <w:t>附图7、项目环境现状图</w:t>
      </w:r>
    </w:p>
    <w:p w14:paraId="6D897F8A">
      <w:pPr>
        <w:spacing w:line="240" w:lineRule="auto"/>
        <w:rPr>
          <w:rFonts w:hint="default"/>
          <w:bCs/>
          <w:color w:val="auto"/>
          <w:sz w:val="24"/>
          <w:lang w:val="en-US" w:eastAsia="zh-CN"/>
        </w:rPr>
        <w:sectPr>
          <w:footerReference r:id="rId4" w:type="default"/>
          <w:footerReference r:id="rId5" w:type="even"/>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r>
        <w:rPr>
          <w:rFonts w:hint="eastAsia"/>
          <w:bCs/>
          <w:color w:val="auto"/>
          <w:sz w:val="24"/>
          <w:lang w:val="en-US" w:eastAsia="zh-CN"/>
        </w:rPr>
        <w:t>附图8、工程师勘察现场照片</w:t>
      </w:r>
    </w:p>
    <w:p w14:paraId="3E8A9F7E">
      <w:pPr>
        <w:pStyle w:val="21"/>
        <w:spacing w:line="360" w:lineRule="auto"/>
        <w:jc w:val="center"/>
        <w:outlineLvl w:val="0"/>
        <w:rPr>
          <w:rFonts w:ascii="黑体" w:hAnsi="黑体" w:eastAsia="黑体"/>
          <w:snapToGrid w:val="0"/>
          <w:sz w:val="30"/>
          <w:szCs w:val="30"/>
        </w:rPr>
      </w:pPr>
      <w:bookmarkStart w:id="4" w:name="_Toc134611494"/>
      <w:bookmarkStart w:id="5" w:name="_Toc139925578"/>
      <w:r>
        <w:rPr>
          <w:rFonts w:hint="eastAsia" w:ascii="黑体" w:hAnsi="黑体" w:eastAsia="黑体"/>
          <w:snapToGrid w:val="0"/>
          <w:sz w:val="30"/>
          <w:szCs w:val="30"/>
        </w:rPr>
        <w:t>一、建设项目基本情况</w:t>
      </w:r>
      <w:bookmarkEnd w:id="4"/>
      <w:bookmarkEnd w:id="5"/>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47"/>
        <w:gridCol w:w="2692"/>
        <w:gridCol w:w="2235"/>
        <w:gridCol w:w="2578"/>
      </w:tblGrid>
      <w:tr w14:paraId="212287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7" w:type="dxa"/>
            <w:tcMar>
              <w:top w:w="16" w:type="dxa"/>
              <w:left w:w="16" w:type="dxa"/>
              <w:right w:w="16" w:type="dxa"/>
            </w:tcMar>
            <w:vAlign w:val="center"/>
          </w:tcPr>
          <w:p w14:paraId="215BCF9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建设项目</w:t>
            </w:r>
          </w:p>
          <w:p w14:paraId="3223803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名称</w:t>
            </w:r>
          </w:p>
        </w:tc>
        <w:tc>
          <w:tcPr>
            <w:tcW w:w="7505" w:type="dxa"/>
            <w:gridSpan w:val="3"/>
            <w:vAlign w:val="center"/>
          </w:tcPr>
          <w:p w14:paraId="7C46C63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eastAsia="zh-CN"/>
              </w:rPr>
            </w:pPr>
            <w:r>
              <w:rPr>
                <w:rFonts w:hint="default" w:ascii="Times New Roman" w:hAnsi="Times New Roman" w:cs="Times New Roman"/>
                <w:sz w:val="21"/>
                <w:szCs w:val="21"/>
                <w:lang w:eastAsia="zh-CN"/>
              </w:rPr>
              <w:t>岳阳市岳阳楼区人民医院（</w:t>
            </w:r>
            <w:r>
              <w:rPr>
                <w:rFonts w:hint="default" w:ascii="Times New Roman" w:hAnsi="Times New Roman" w:cs="Times New Roman"/>
                <w:sz w:val="21"/>
                <w:szCs w:val="21"/>
                <w:lang w:val="en-US" w:eastAsia="zh-CN"/>
              </w:rPr>
              <w:t>岳阳</w:t>
            </w:r>
            <w:r>
              <w:rPr>
                <w:rFonts w:hint="default" w:ascii="Times New Roman" w:hAnsi="Times New Roman" w:cs="Times New Roman"/>
                <w:color w:val="auto"/>
                <w:sz w:val="21"/>
                <w:szCs w:val="21"/>
                <w:lang w:eastAsia="zh-CN"/>
              </w:rPr>
              <w:t>肛肠病医院</w:t>
            </w:r>
            <w:r>
              <w:rPr>
                <w:rFonts w:hint="default" w:ascii="Times New Roman" w:hAnsi="Times New Roman" w:cs="Times New Roman"/>
                <w:sz w:val="21"/>
                <w:szCs w:val="21"/>
                <w:lang w:eastAsia="zh-CN"/>
              </w:rPr>
              <w:t>）迁建项目</w:t>
            </w:r>
          </w:p>
        </w:tc>
      </w:tr>
      <w:tr w14:paraId="72A19B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7" w:type="dxa"/>
            <w:tcMar>
              <w:top w:w="16" w:type="dxa"/>
              <w:left w:w="16" w:type="dxa"/>
              <w:right w:w="16" w:type="dxa"/>
            </w:tcMar>
            <w:vAlign w:val="center"/>
          </w:tcPr>
          <w:p w14:paraId="4245A04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项目代码</w:t>
            </w:r>
          </w:p>
        </w:tc>
        <w:tc>
          <w:tcPr>
            <w:tcW w:w="7505" w:type="dxa"/>
            <w:gridSpan w:val="3"/>
            <w:vAlign w:val="center"/>
          </w:tcPr>
          <w:p w14:paraId="4049374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14:paraId="095D44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7" w:type="dxa"/>
            <w:tcMar>
              <w:top w:w="16" w:type="dxa"/>
              <w:left w:w="16" w:type="dxa"/>
              <w:right w:w="16" w:type="dxa"/>
            </w:tcMar>
            <w:vAlign w:val="center"/>
          </w:tcPr>
          <w:p w14:paraId="0932450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建设单位</w:t>
            </w:r>
          </w:p>
          <w:p w14:paraId="0EE10CC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联系人</w:t>
            </w:r>
          </w:p>
        </w:tc>
        <w:tc>
          <w:tcPr>
            <w:tcW w:w="2692" w:type="dxa"/>
            <w:vAlign w:val="center"/>
          </w:tcPr>
          <w:p w14:paraId="1234BB9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贺云</w:t>
            </w:r>
          </w:p>
        </w:tc>
        <w:tc>
          <w:tcPr>
            <w:tcW w:w="2235" w:type="dxa"/>
            <w:vAlign w:val="center"/>
          </w:tcPr>
          <w:p w14:paraId="2638291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联系方式</w:t>
            </w:r>
          </w:p>
        </w:tc>
        <w:tc>
          <w:tcPr>
            <w:tcW w:w="2578" w:type="dxa"/>
            <w:vAlign w:val="center"/>
          </w:tcPr>
          <w:p w14:paraId="36F7707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15173079198</w:t>
            </w:r>
          </w:p>
        </w:tc>
      </w:tr>
      <w:tr w14:paraId="74EFF0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0" w:hRule="atLeast"/>
          <w:jc w:val="center"/>
        </w:trPr>
        <w:tc>
          <w:tcPr>
            <w:tcW w:w="1147" w:type="dxa"/>
            <w:tcMar>
              <w:top w:w="16" w:type="dxa"/>
              <w:left w:w="16" w:type="dxa"/>
              <w:right w:w="16" w:type="dxa"/>
            </w:tcMar>
            <w:vAlign w:val="center"/>
          </w:tcPr>
          <w:p w14:paraId="3B2D41B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建设地点</w:t>
            </w:r>
          </w:p>
        </w:tc>
        <w:tc>
          <w:tcPr>
            <w:tcW w:w="7505" w:type="dxa"/>
            <w:gridSpan w:val="3"/>
            <w:vAlign w:val="center"/>
          </w:tcPr>
          <w:p w14:paraId="732BF09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岳阳市南湖大道399号</w:t>
            </w:r>
          </w:p>
        </w:tc>
      </w:tr>
      <w:tr w14:paraId="60F8B0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7" w:type="dxa"/>
            <w:tcMar>
              <w:top w:w="16" w:type="dxa"/>
              <w:left w:w="16" w:type="dxa"/>
              <w:right w:w="16" w:type="dxa"/>
            </w:tcMar>
            <w:vAlign w:val="center"/>
          </w:tcPr>
          <w:p w14:paraId="5162B60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地理坐标</w:t>
            </w:r>
          </w:p>
        </w:tc>
        <w:tc>
          <w:tcPr>
            <w:tcW w:w="7505" w:type="dxa"/>
            <w:gridSpan w:val="3"/>
            <w:vAlign w:val="center"/>
          </w:tcPr>
          <w:p w14:paraId="7096DF5F">
            <w:pPr>
              <w:keepNext w:val="0"/>
              <w:keepLines w:val="0"/>
              <w:pageBreakBefore w:val="0"/>
              <w:kinsoku/>
              <w:wordWrap/>
              <w:overflowPunct/>
              <w:topLinePunct w:val="0"/>
              <w:autoSpaceDE/>
              <w:autoSpaceDN/>
              <w:bidi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u w:val="single"/>
              </w:rPr>
              <w:t xml:space="preserve"> 113 </w:t>
            </w:r>
            <w:r>
              <w:rPr>
                <w:rFonts w:hint="default" w:ascii="Times New Roman" w:hAnsi="Times New Roman" w:eastAsia="宋体" w:cs="Times New Roman"/>
                <w:sz w:val="21"/>
                <w:szCs w:val="21"/>
              </w:rPr>
              <w:t>度</w:t>
            </w:r>
            <w:r>
              <w:rPr>
                <w:rFonts w:hint="default" w:ascii="Times New Roman" w:hAnsi="Times New Roman" w:eastAsia="宋体" w:cs="Times New Roman"/>
                <w:sz w:val="21"/>
                <w:szCs w:val="21"/>
                <w:u w:val="single"/>
              </w:rPr>
              <w:t xml:space="preserve"> </w:t>
            </w:r>
            <w:r>
              <w:rPr>
                <w:rFonts w:hint="default" w:ascii="Times New Roman" w:hAnsi="Times New Roman" w:cs="Times New Roman"/>
                <w:sz w:val="21"/>
                <w:szCs w:val="21"/>
                <w:u w:val="single"/>
                <w:lang w:val="en-US" w:eastAsia="zh-CN"/>
              </w:rPr>
              <w:t>07</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分</w:t>
            </w:r>
            <w:r>
              <w:rPr>
                <w:rFonts w:hint="default" w:ascii="Times New Roman" w:hAnsi="Times New Roman" w:eastAsia="宋体" w:cs="Times New Roman"/>
                <w:sz w:val="21"/>
                <w:szCs w:val="21"/>
                <w:u w:val="single"/>
              </w:rPr>
              <w:t xml:space="preserve"> </w:t>
            </w:r>
            <w:r>
              <w:rPr>
                <w:rFonts w:hint="default" w:ascii="Times New Roman" w:hAnsi="Times New Roman" w:cs="Times New Roman"/>
                <w:sz w:val="21"/>
                <w:szCs w:val="21"/>
                <w:u w:val="single"/>
                <w:lang w:val="en-US" w:eastAsia="zh-CN"/>
              </w:rPr>
              <w:t>4.856</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秒，</w:t>
            </w:r>
            <w:r>
              <w:rPr>
                <w:rFonts w:hint="default" w:ascii="Times New Roman" w:hAnsi="Times New Roman" w:eastAsia="宋体" w:cs="Times New Roman"/>
                <w:sz w:val="21"/>
                <w:szCs w:val="21"/>
                <w:u w:val="single"/>
              </w:rPr>
              <w:t xml:space="preserve"> 29 </w:t>
            </w:r>
            <w:r>
              <w:rPr>
                <w:rFonts w:hint="default" w:ascii="Times New Roman" w:hAnsi="Times New Roman" w:eastAsia="宋体" w:cs="Times New Roman"/>
                <w:sz w:val="21"/>
                <w:szCs w:val="21"/>
              </w:rPr>
              <w:t>度</w:t>
            </w:r>
            <w:r>
              <w:rPr>
                <w:rFonts w:hint="default" w:ascii="Times New Roman" w:hAnsi="Times New Roman" w:eastAsia="宋体" w:cs="Times New Roman"/>
                <w:sz w:val="21"/>
                <w:szCs w:val="21"/>
                <w:u w:val="single"/>
              </w:rPr>
              <w:t xml:space="preserve"> 2</w:t>
            </w:r>
            <w:r>
              <w:rPr>
                <w:rFonts w:hint="default" w:ascii="Times New Roman" w:hAnsi="Times New Roman" w:cs="Times New Roman"/>
                <w:sz w:val="21"/>
                <w:szCs w:val="21"/>
                <w:u w:val="single"/>
                <w:lang w:val="en-US" w:eastAsia="zh-CN"/>
              </w:rPr>
              <w:t>1</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分</w:t>
            </w:r>
            <w:r>
              <w:rPr>
                <w:rFonts w:hint="default" w:ascii="Times New Roman" w:hAnsi="Times New Roman" w:eastAsia="宋体" w:cs="Times New Roman"/>
                <w:sz w:val="21"/>
                <w:szCs w:val="21"/>
                <w:u w:val="single"/>
              </w:rPr>
              <w:t xml:space="preserve"> </w:t>
            </w:r>
            <w:r>
              <w:rPr>
                <w:rFonts w:hint="default" w:ascii="Times New Roman" w:hAnsi="Times New Roman" w:cs="Times New Roman"/>
                <w:sz w:val="21"/>
                <w:szCs w:val="21"/>
                <w:u w:val="single"/>
                <w:lang w:val="en-US" w:eastAsia="zh-CN"/>
              </w:rPr>
              <w:t>50.867</w:t>
            </w:r>
            <w:r>
              <w:rPr>
                <w:rFonts w:hint="default" w:ascii="Times New Roman" w:hAnsi="Times New Roman" w:eastAsia="宋体" w:cs="Times New Roman"/>
                <w:sz w:val="21"/>
                <w:szCs w:val="21"/>
                <w:u w:val="single"/>
              </w:rPr>
              <w:t xml:space="preserve"> </w:t>
            </w:r>
            <w:r>
              <w:rPr>
                <w:rFonts w:hint="default" w:ascii="Times New Roman" w:hAnsi="Times New Roman" w:eastAsia="宋体" w:cs="Times New Roman"/>
                <w:sz w:val="21"/>
                <w:szCs w:val="21"/>
              </w:rPr>
              <w:t>秒）</w:t>
            </w:r>
          </w:p>
        </w:tc>
      </w:tr>
      <w:tr w14:paraId="522329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147" w:type="dxa"/>
            <w:tcMar>
              <w:top w:w="16" w:type="dxa"/>
              <w:left w:w="16" w:type="dxa"/>
              <w:right w:w="16" w:type="dxa"/>
            </w:tcMar>
            <w:vAlign w:val="center"/>
          </w:tcPr>
          <w:p w14:paraId="497DAF6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国民经济</w:t>
            </w:r>
          </w:p>
          <w:p w14:paraId="1242A6A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行业类别</w:t>
            </w:r>
          </w:p>
        </w:tc>
        <w:tc>
          <w:tcPr>
            <w:tcW w:w="2692" w:type="dxa"/>
            <w:vAlign w:val="center"/>
          </w:tcPr>
          <w:p w14:paraId="13D869E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Q8411综合医院</w:t>
            </w:r>
          </w:p>
        </w:tc>
        <w:tc>
          <w:tcPr>
            <w:tcW w:w="2235" w:type="dxa"/>
            <w:vAlign w:val="center"/>
          </w:tcPr>
          <w:p w14:paraId="2960261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bookmarkStart w:id="6" w:name="_Hlk49843745"/>
            <w:r>
              <w:rPr>
                <w:rFonts w:hint="default" w:ascii="Times New Roman" w:hAnsi="Times New Roman" w:eastAsia="宋体" w:cs="Times New Roman"/>
                <w:sz w:val="21"/>
                <w:szCs w:val="21"/>
              </w:rPr>
              <w:t>建设项目</w:t>
            </w:r>
          </w:p>
          <w:p w14:paraId="21ED33B2">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行业类别</w:t>
            </w:r>
            <w:bookmarkEnd w:id="6"/>
          </w:p>
        </w:tc>
        <w:tc>
          <w:tcPr>
            <w:tcW w:w="2578" w:type="dxa"/>
            <w:vAlign w:val="center"/>
          </w:tcPr>
          <w:p w14:paraId="5C2D5D3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四十九、卫生</w:t>
            </w:r>
            <w:r>
              <w:rPr>
                <w:rFonts w:hint="default" w:ascii="Times New Roman" w:hAnsi="Times New Roman" w:cs="Times New Roman"/>
                <w:sz w:val="21"/>
                <w:szCs w:val="21"/>
                <w:lang w:val="en-US" w:eastAsia="zh-CN"/>
              </w:rPr>
              <w:t>84-</w:t>
            </w:r>
            <w:r>
              <w:rPr>
                <w:rFonts w:hint="default" w:ascii="Times New Roman" w:hAnsi="Times New Roman" w:eastAsia="宋体" w:cs="Times New Roman"/>
                <w:sz w:val="21"/>
                <w:szCs w:val="21"/>
              </w:rPr>
              <w:t>108</w:t>
            </w:r>
            <w:r>
              <w:rPr>
                <w:rFonts w:hint="default" w:ascii="Times New Roman" w:hAnsi="Times New Roman" w:cs="Times New Roman"/>
                <w:sz w:val="21"/>
                <w:szCs w:val="21"/>
                <w:lang w:val="en-US" w:eastAsia="zh-CN"/>
              </w:rPr>
              <w:t xml:space="preserve"> 医院841-其他（住院床位20张以下的除外）</w:t>
            </w:r>
          </w:p>
        </w:tc>
      </w:tr>
      <w:tr w14:paraId="3B55F3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147" w:type="dxa"/>
            <w:tcMar>
              <w:top w:w="16" w:type="dxa"/>
              <w:left w:w="16" w:type="dxa"/>
              <w:right w:w="16" w:type="dxa"/>
            </w:tcMar>
            <w:vAlign w:val="center"/>
          </w:tcPr>
          <w:p w14:paraId="1C7EA5F2">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建设性质</w:t>
            </w:r>
          </w:p>
        </w:tc>
        <w:tc>
          <w:tcPr>
            <w:tcW w:w="2692" w:type="dxa"/>
            <w:vAlign w:val="center"/>
          </w:tcPr>
          <w:p w14:paraId="7884E6D8">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sym w:font="Wingdings 2" w:char="0052"/>
            </w:r>
            <w:r>
              <w:rPr>
                <w:rFonts w:hint="default" w:ascii="Times New Roman" w:hAnsi="Times New Roman" w:eastAsia="宋体" w:cs="Times New Roman"/>
                <w:sz w:val="21"/>
                <w:szCs w:val="21"/>
              </w:rPr>
              <w:t>新建（</w:t>
            </w:r>
            <w:r>
              <w:rPr>
                <w:rFonts w:hint="default" w:ascii="Times New Roman" w:hAnsi="Times New Roman" w:cs="Times New Roman"/>
                <w:sz w:val="21"/>
                <w:szCs w:val="21"/>
                <w:lang w:val="en-US" w:eastAsia="zh-CN"/>
              </w:rPr>
              <w:t>迁建</w:t>
            </w:r>
            <w:r>
              <w:rPr>
                <w:rFonts w:hint="default" w:ascii="Times New Roman" w:hAnsi="Times New Roman" w:eastAsia="宋体" w:cs="Times New Roman"/>
                <w:sz w:val="21"/>
                <w:szCs w:val="21"/>
              </w:rPr>
              <w:t>）</w:t>
            </w:r>
          </w:p>
          <w:p w14:paraId="69D1C428">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改建</w:t>
            </w:r>
          </w:p>
          <w:p w14:paraId="7C1FAE01">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扩建</w:t>
            </w:r>
          </w:p>
          <w:p w14:paraId="730372DC">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技术改造</w:t>
            </w:r>
          </w:p>
        </w:tc>
        <w:tc>
          <w:tcPr>
            <w:tcW w:w="2235" w:type="dxa"/>
            <w:vAlign w:val="center"/>
          </w:tcPr>
          <w:p w14:paraId="0102A51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建设项目</w:t>
            </w:r>
          </w:p>
          <w:p w14:paraId="254AF3A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申报情形</w:t>
            </w:r>
          </w:p>
        </w:tc>
        <w:tc>
          <w:tcPr>
            <w:tcW w:w="2578" w:type="dxa"/>
            <w:vAlign w:val="center"/>
          </w:tcPr>
          <w:p w14:paraId="7BBC583B">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sym w:font="Wingdings 2" w:char="F052"/>
            </w:r>
            <w:r>
              <w:rPr>
                <w:rFonts w:hint="default" w:ascii="Times New Roman" w:hAnsi="Times New Roman" w:eastAsia="宋体" w:cs="Times New Roman"/>
                <w:sz w:val="21"/>
                <w:szCs w:val="21"/>
              </w:rPr>
              <w:t xml:space="preserve">首次申报项目             </w:t>
            </w:r>
          </w:p>
          <w:p w14:paraId="7C793E6D">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不予批准后再次申报项目</w:t>
            </w:r>
          </w:p>
          <w:p w14:paraId="2B8C5459">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sym w:font="Wingdings 2" w:char="00A3"/>
            </w:r>
            <w:r>
              <w:rPr>
                <w:rFonts w:hint="default" w:ascii="Times New Roman" w:hAnsi="Times New Roman" w:eastAsia="宋体" w:cs="Times New Roman"/>
                <w:sz w:val="21"/>
                <w:szCs w:val="21"/>
              </w:rPr>
              <w:t xml:space="preserve">超五年重新审核项目     </w:t>
            </w:r>
          </w:p>
          <w:p w14:paraId="28B333A1">
            <w:pPr>
              <w:keepNext w:val="0"/>
              <w:keepLines w:val="0"/>
              <w:pageBreakBefore w:val="0"/>
              <w:kinsoku/>
              <w:wordWrap/>
              <w:overflowPunct/>
              <w:topLinePunct w:val="0"/>
              <w:autoSpaceDE/>
              <w:autoSpaceDN/>
              <w:bidi w:val="0"/>
              <w:spacing w:before="60" w:after="60" w:line="240" w:lineRule="auto"/>
              <w:jc w:val="left"/>
              <w:textAlignment w:val="auto"/>
              <w:rPr>
                <w:rFonts w:hint="default" w:ascii="Times New Roman" w:hAnsi="Times New Roman" w:eastAsia="宋体" w:cs="Times New Roman"/>
                <w:sz w:val="21"/>
                <w:szCs w:val="21"/>
              </w:rPr>
            </w:pPr>
            <w:r>
              <w:rPr>
                <w:rFonts w:hint="eastAsia" w:ascii="Times New Roman" w:hAnsi="Times New Roman" w:cs="Times New Roman"/>
                <w:sz w:val="21"/>
                <w:szCs w:val="21"/>
                <w:lang w:eastAsia="zh-CN"/>
              </w:rPr>
              <w:t>□</w:t>
            </w:r>
            <w:r>
              <w:rPr>
                <w:rFonts w:hint="default" w:ascii="Times New Roman" w:hAnsi="Times New Roman" w:eastAsia="宋体" w:cs="Times New Roman"/>
                <w:sz w:val="21"/>
                <w:szCs w:val="21"/>
              </w:rPr>
              <w:t>重大变动重新报批项目</w:t>
            </w:r>
          </w:p>
        </w:tc>
      </w:tr>
      <w:tr w14:paraId="1C3B3E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147" w:type="dxa"/>
            <w:tcMar>
              <w:top w:w="16" w:type="dxa"/>
              <w:left w:w="16" w:type="dxa"/>
              <w:right w:w="16" w:type="dxa"/>
            </w:tcMar>
            <w:vAlign w:val="center"/>
          </w:tcPr>
          <w:p w14:paraId="3739123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项目审批（核准/</w:t>
            </w:r>
          </w:p>
          <w:p w14:paraId="1C82884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备案）部门（选填）</w:t>
            </w:r>
          </w:p>
        </w:tc>
        <w:tc>
          <w:tcPr>
            <w:tcW w:w="2692" w:type="dxa"/>
            <w:vAlign w:val="center"/>
          </w:tcPr>
          <w:p w14:paraId="48DB574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2235" w:type="dxa"/>
            <w:vAlign w:val="center"/>
          </w:tcPr>
          <w:p w14:paraId="04F0BCF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项目审批（核准/</w:t>
            </w:r>
          </w:p>
          <w:p w14:paraId="793C9AD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备案）文号（选填）</w:t>
            </w:r>
          </w:p>
        </w:tc>
        <w:tc>
          <w:tcPr>
            <w:tcW w:w="2578" w:type="dxa"/>
            <w:vAlign w:val="center"/>
          </w:tcPr>
          <w:p w14:paraId="57E7C6A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14:paraId="0A3792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7" w:type="dxa"/>
            <w:tcMar>
              <w:top w:w="16" w:type="dxa"/>
              <w:left w:w="16" w:type="dxa"/>
              <w:right w:w="16" w:type="dxa"/>
            </w:tcMar>
            <w:vAlign w:val="center"/>
          </w:tcPr>
          <w:p w14:paraId="1CBA27D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总投资（万元）</w:t>
            </w:r>
          </w:p>
        </w:tc>
        <w:tc>
          <w:tcPr>
            <w:tcW w:w="2692" w:type="dxa"/>
            <w:vAlign w:val="center"/>
          </w:tcPr>
          <w:p w14:paraId="2849DB4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3868</w:t>
            </w:r>
          </w:p>
        </w:tc>
        <w:tc>
          <w:tcPr>
            <w:tcW w:w="2235" w:type="dxa"/>
            <w:tcMar>
              <w:top w:w="16" w:type="dxa"/>
              <w:left w:w="16" w:type="dxa"/>
              <w:right w:w="16" w:type="dxa"/>
            </w:tcMar>
            <w:vAlign w:val="center"/>
          </w:tcPr>
          <w:p w14:paraId="2128B9B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环保投资（万元）</w:t>
            </w:r>
          </w:p>
        </w:tc>
        <w:tc>
          <w:tcPr>
            <w:tcW w:w="2578" w:type="dxa"/>
            <w:vAlign w:val="center"/>
          </w:tcPr>
          <w:p w14:paraId="3E82DFE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15.32</w:t>
            </w:r>
          </w:p>
        </w:tc>
      </w:tr>
      <w:tr w14:paraId="3546FD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7" w:type="dxa"/>
            <w:tcMar>
              <w:top w:w="16" w:type="dxa"/>
              <w:left w:w="16" w:type="dxa"/>
              <w:right w:w="16" w:type="dxa"/>
            </w:tcMar>
            <w:vAlign w:val="center"/>
          </w:tcPr>
          <w:p w14:paraId="021C5DB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环保投资占比（%）</w:t>
            </w:r>
          </w:p>
        </w:tc>
        <w:tc>
          <w:tcPr>
            <w:tcW w:w="2692" w:type="dxa"/>
            <w:vAlign w:val="center"/>
          </w:tcPr>
          <w:p w14:paraId="66B96AE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highlight w:val="none"/>
                <w:lang w:val="en-US" w:eastAsia="zh-CN"/>
              </w:rPr>
              <w:t>0.40</w:t>
            </w:r>
          </w:p>
        </w:tc>
        <w:tc>
          <w:tcPr>
            <w:tcW w:w="2235" w:type="dxa"/>
            <w:tcMar>
              <w:top w:w="16" w:type="dxa"/>
              <w:left w:w="16" w:type="dxa"/>
              <w:right w:w="16" w:type="dxa"/>
            </w:tcMar>
            <w:vAlign w:val="center"/>
          </w:tcPr>
          <w:p w14:paraId="452E4372">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施工工期</w:t>
            </w:r>
          </w:p>
        </w:tc>
        <w:tc>
          <w:tcPr>
            <w:tcW w:w="2578" w:type="dxa"/>
            <w:vAlign w:val="center"/>
          </w:tcPr>
          <w:p w14:paraId="30B62A6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w:t>
            </w:r>
          </w:p>
        </w:tc>
      </w:tr>
      <w:tr w14:paraId="7B75F6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147" w:type="dxa"/>
            <w:tcMar>
              <w:top w:w="16" w:type="dxa"/>
              <w:left w:w="16" w:type="dxa"/>
              <w:right w:w="16" w:type="dxa"/>
            </w:tcMar>
            <w:vAlign w:val="center"/>
          </w:tcPr>
          <w:p w14:paraId="3AEBFA6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是否开工建设</w:t>
            </w:r>
          </w:p>
        </w:tc>
        <w:tc>
          <w:tcPr>
            <w:tcW w:w="2692" w:type="dxa"/>
            <w:vAlign w:val="center"/>
          </w:tcPr>
          <w:p w14:paraId="45D721DE">
            <w:pPr>
              <w:keepNext w:val="0"/>
              <w:keepLines w:val="0"/>
              <w:pageBreakBefore w:val="0"/>
              <w:kinsoku/>
              <w:wordWrap/>
              <w:overflowPunct/>
              <w:topLinePunct w:val="0"/>
              <w:autoSpaceDE/>
              <w:autoSpaceDN/>
              <w:bidi w:val="0"/>
              <w:adjustRightInd w:val="0"/>
              <w:snapToGrid w:val="0"/>
              <w:spacing w:before="60" w:beforeAutospacing="0" w:after="60" w:afterAutospacing="0" w:line="240" w:lineRule="auto"/>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sym w:font="Wingdings 2" w:char="0052"/>
            </w:r>
            <w:r>
              <w:rPr>
                <w:rFonts w:hint="default" w:ascii="Times New Roman" w:hAnsi="Times New Roman" w:eastAsia="宋体" w:cs="Times New Roman"/>
                <w:sz w:val="21"/>
                <w:szCs w:val="21"/>
              </w:rPr>
              <w:t>否</w:t>
            </w:r>
          </w:p>
          <w:p w14:paraId="50615F67">
            <w:pPr>
              <w:keepNext w:val="0"/>
              <w:keepLines w:val="0"/>
              <w:pageBreakBefore w:val="0"/>
              <w:widowControl/>
              <w:suppressLineNumbers w:val="0"/>
              <w:kinsoku/>
              <w:wordWrap/>
              <w:overflowPunct/>
              <w:topLinePunct w:val="0"/>
              <w:autoSpaceDE/>
              <w:autoSpaceDN/>
              <w:bidi w:val="0"/>
              <w:spacing w:before="60" w:beforeAutospacing="0" w:after="60" w:afterAutospacing="0" w:line="240" w:lineRule="auto"/>
              <w:ind w:left="0" w:right="0"/>
              <w:jc w:val="left"/>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sym w:font="Wingdings 2" w:char="00A3"/>
            </w:r>
            <w:r>
              <w:rPr>
                <w:rFonts w:hint="default" w:ascii="Times New Roman" w:hAnsi="Times New Roman" w:eastAsia="宋体" w:cs="Times New Roman"/>
                <w:sz w:val="21"/>
                <w:szCs w:val="21"/>
              </w:rPr>
              <w:t>是：</w:t>
            </w:r>
          </w:p>
        </w:tc>
        <w:tc>
          <w:tcPr>
            <w:tcW w:w="2235" w:type="dxa"/>
            <w:tcMar>
              <w:top w:w="16" w:type="dxa"/>
              <w:left w:w="16" w:type="dxa"/>
              <w:right w:w="16" w:type="dxa"/>
            </w:tcMar>
            <w:vAlign w:val="center"/>
          </w:tcPr>
          <w:p w14:paraId="6EA1618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pacing w:val="-6"/>
                <w:sz w:val="21"/>
                <w:szCs w:val="21"/>
              </w:rPr>
            </w:pPr>
            <w:r>
              <w:rPr>
                <w:rFonts w:hint="default" w:ascii="Times New Roman" w:hAnsi="Times New Roman" w:eastAsia="宋体" w:cs="Times New Roman"/>
                <w:spacing w:val="-6"/>
                <w:sz w:val="21"/>
                <w:szCs w:val="21"/>
              </w:rPr>
              <w:t>用地（用海）</w:t>
            </w:r>
          </w:p>
          <w:p w14:paraId="0A1E8BB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pacing w:val="-6"/>
                <w:sz w:val="21"/>
                <w:szCs w:val="21"/>
              </w:rPr>
              <w:t>面积（m</w:t>
            </w:r>
            <w:r>
              <w:rPr>
                <w:rFonts w:hint="default" w:ascii="Times New Roman" w:hAnsi="Times New Roman" w:eastAsia="宋体" w:cs="Times New Roman"/>
                <w:spacing w:val="-6"/>
                <w:sz w:val="21"/>
                <w:szCs w:val="21"/>
                <w:vertAlign w:val="superscript"/>
              </w:rPr>
              <w:t>2</w:t>
            </w:r>
            <w:r>
              <w:rPr>
                <w:rFonts w:hint="default" w:ascii="Times New Roman" w:hAnsi="Times New Roman" w:eastAsia="宋体" w:cs="Times New Roman"/>
                <w:spacing w:val="-6"/>
                <w:sz w:val="21"/>
                <w:szCs w:val="21"/>
              </w:rPr>
              <w:t>）</w:t>
            </w:r>
          </w:p>
        </w:tc>
        <w:tc>
          <w:tcPr>
            <w:tcW w:w="2578" w:type="dxa"/>
            <w:vAlign w:val="center"/>
          </w:tcPr>
          <w:p w14:paraId="4B7F50D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23432.31</w:t>
            </w:r>
          </w:p>
        </w:tc>
      </w:tr>
      <w:tr w14:paraId="2BA24B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vAlign w:val="center"/>
          </w:tcPr>
          <w:p w14:paraId="04711380">
            <w:pPr>
              <w:autoSpaceDE w:val="0"/>
              <w:autoSpaceDN w:val="0"/>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专项评价设置情况</w:t>
            </w:r>
          </w:p>
        </w:tc>
        <w:tc>
          <w:tcPr>
            <w:tcW w:w="7505" w:type="dxa"/>
            <w:gridSpan w:val="3"/>
            <w:vAlign w:val="center"/>
          </w:tcPr>
          <w:p w14:paraId="3BACA1E9">
            <w:pPr>
              <w:autoSpaceDE w:val="0"/>
              <w:autoSpaceDN w:val="0"/>
              <w:adjustRightInd w:val="0"/>
              <w:snapToGrid w:val="0"/>
              <w:spacing w:line="360" w:lineRule="auto"/>
              <w:jc w:val="both"/>
              <w:rPr>
                <w:rFonts w:hint="eastAsia" w:ascii="宋体" w:hAnsi="宋体" w:cs="宋体"/>
                <w:kern w:val="0"/>
                <w:sz w:val="24"/>
                <w:szCs w:val="24"/>
                <w:lang w:eastAsia="zh-CN"/>
              </w:rPr>
            </w:pPr>
            <w:r>
              <w:rPr>
                <w:rFonts w:hint="eastAsia" w:ascii="宋体" w:hAnsi="宋体" w:eastAsia="宋体" w:cs="宋体"/>
                <w:kern w:val="0"/>
                <w:sz w:val="24"/>
                <w:szCs w:val="24"/>
              </w:rPr>
              <w:t>项目专项设置评价判定</w:t>
            </w:r>
            <w:r>
              <w:rPr>
                <w:rFonts w:hint="eastAsia" w:ascii="宋体" w:hAnsi="宋体" w:cs="宋体"/>
                <w:kern w:val="0"/>
                <w:sz w:val="24"/>
                <w:szCs w:val="24"/>
                <w:lang w:eastAsia="zh-CN"/>
              </w:rPr>
              <w:t>：</w:t>
            </w:r>
          </w:p>
          <w:p w14:paraId="18E5FDDC">
            <w:pPr>
              <w:autoSpaceDE w:val="0"/>
              <w:autoSpaceDN w:val="0"/>
              <w:adjustRightInd w:val="0"/>
              <w:snapToGrid w:val="0"/>
              <w:spacing w:line="360" w:lineRule="auto"/>
              <w:jc w:val="center"/>
              <w:rPr>
                <w:rFonts w:hint="eastAsia" w:ascii="宋体" w:hAnsi="宋体" w:cs="宋体"/>
                <w:kern w:val="0"/>
                <w:sz w:val="21"/>
                <w:szCs w:val="21"/>
                <w:lang w:eastAsia="zh-CN"/>
              </w:rPr>
            </w:pPr>
            <w:r>
              <w:rPr>
                <w:rFonts w:hint="eastAsia" w:ascii="宋体" w:hAnsi="宋体" w:cs="宋体"/>
                <w:b/>
                <w:bCs/>
                <w:kern w:val="0"/>
                <w:sz w:val="21"/>
                <w:szCs w:val="21"/>
                <w:lang w:val="en-US" w:eastAsia="zh-CN"/>
              </w:rPr>
              <w:t>表1-1 专项设置判定情况一览表</w:t>
            </w:r>
          </w:p>
          <w:tbl>
            <w:tblPr>
              <w:tblStyle w:val="25"/>
              <w:tblW w:w="7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742"/>
              <w:gridCol w:w="2775"/>
              <w:gridCol w:w="923"/>
            </w:tblGrid>
            <w:tr w14:paraId="1A67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2470E10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专项评价类别</w:t>
                  </w:r>
                </w:p>
              </w:tc>
              <w:tc>
                <w:tcPr>
                  <w:tcW w:w="2742" w:type="dxa"/>
                  <w:vAlign w:val="center"/>
                </w:tcPr>
                <w:p w14:paraId="0835066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设置原则</w:t>
                  </w:r>
                </w:p>
              </w:tc>
              <w:tc>
                <w:tcPr>
                  <w:tcW w:w="2775" w:type="dxa"/>
                  <w:vAlign w:val="center"/>
                </w:tcPr>
                <w:p w14:paraId="55C5E6D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本项目</w:t>
                  </w:r>
                </w:p>
              </w:tc>
              <w:tc>
                <w:tcPr>
                  <w:tcW w:w="923" w:type="dxa"/>
                  <w:vAlign w:val="center"/>
                </w:tcPr>
                <w:p w14:paraId="08D7C93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是否专项设置</w:t>
                  </w:r>
                </w:p>
              </w:tc>
            </w:tr>
            <w:tr w14:paraId="58E2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7FB1643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大气</w:t>
                  </w:r>
                </w:p>
              </w:tc>
              <w:tc>
                <w:tcPr>
                  <w:tcW w:w="2742" w:type="dxa"/>
                  <w:vAlign w:val="center"/>
                </w:tcPr>
                <w:p w14:paraId="63088C6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①排放废气含有毒有害污染物1、二噁英、苯并[a]芘、氰化物、氯气；②且厂界外500米范围内有环境空气保护目标2的建设项目。</w:t>
                  </w:r>
                </w:p>
              </w:tc>
              <w:tc>
                <w:tcPr>
                  <w:tcW w:w="2775" w:type="dxa"/>
                  <w:vAlign w:val="center"/>
                </w:tcPr>
                <w:p w14:paraId="6850E10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项目废气主要有恶臭</w:t>
                  </w:r>
                  <w:r>
                    <w:rPr>
                      <w:rFonts w:hint="eastAsia" w:cs="Times New Roman"/>
                      <w:color w:val="000000" w:themeColor="text1"/>
                      <w:kern w:val="0"/>
                      <w:sz w:val="21"/>
                      <w:szCs w:val="21"/>
                      <w:u w:val="none"/>
                      <w:lang w:eastAsia="zh-CN"/>
                    </w:rPr>
                    <w:t>、</w:t>
                  </w:r>
                  <w:r>
                    <w:rPr>
                      <w:rFonts w:hint="eastAsia" w:cs="Times New Roman"/>
                      <w:color w:val="000000" w:themeColor="text1"/>
                      <w:kern w:val="0"/>
                      <w:sz w:val="21"/>
                      <w:szCs w:val="21"/>
                      <w:u w:val="none"/>
                      <w:lang w:val="en-US" w:eastAsia="zh-CN"/>
                    </w:rPr>
                    <w:t>食堂油烟、天然气燃烧废气</w:t>
                  </w:r>
                  <w:r>
                    <w:rPr>
                      <w:rFonts w:hint="default" w:ascii="Times New Roman" w:hAnsi="Times New Roman" w:eastAsia="宋体" w:cs="Times New Roman"/>
                      <w:color w:val="000000" w:themeColor="text1"/>
                      <w:kern w:val="0"/>
                      <w:sz w:val="21"/>
                      <w:szCs w:val="21"/>
                      <w:u w:val="none"/>
                    </w:rPr>
                    <w:t>、发电机废气</w:t>
                  </w:r>
                  <w:r>
                    <w:rPr>
                      <w:rFonts w:hint="default" w:ascii="Times New Roman" w:hAnsi="Times New Roman" w:eastAsia="宋体" w:cs="Times New Roman"/>
                      <w:color w:val="000000" w:themeColor="text1"/>
                      <w:kern w:val="0"/>
                      <w:sz w:val="21"/>
                      <w:szCs w:val="21"/>
                      <w:u w:val="none"/>
                      <w:lang w:val="en-US" w:eastAsia="zh-CN"/>
                    </w:rPr>
                    <w:t>等</w:t>
                  </w:r>
                  <w:r>
                    <w:rPr>
                      <w:rFonts w:hint="default" w:ascii="Times New Roman" w:hAnsi="Times New Roman" w:eastAsia="宋体" w:cs="Times New Roman"/>
                      <w:color w:val="000000" w:themeColor="text1"/>
                      <w:kern w:val="0"/>
                      <w:sz w:val="21"/>
                      <w:szCs w:val="21"/>
                      <w:u w:val="none"/>
                    </w:rPr>
                    <w:t>，不涉及上述有毒有害污染物排放</w:t>
                  </w:r>
                </w:p>
              </w:tc>
              <w:tc>
                <w:tcPr>
                  <w:tcW w:w="923" w:type="dxa"/>
                  <w:vAlign w:val="center"/>
                </w:tcPr>
                <w:p w14:paraId="18EA334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lang w:val="en-US" w:eastAsia="zh-CN"/>
                    </w:rPr>
                    <w:t>否</w:t>
                  </w:r>
                </w:p>
              </w:tc>
            </w:tr>
            <w:tr w14:paraId="4FCA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1228618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地表水</w:t>
                  </w:r>
                </w:p>
              </w:tc>
              <w:tc>
                <w:tcPr>
                  <w:tcW w:w="2742" w:type="dxa"/>
                  <w:vAlign w:val="center"/>
                </w:tcPr>
                <w:p w14:paraId="1E707D8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①新增工业废水直排建设项目（槽罐车外送污水处理厂的除外）；②新增废水直排的污水集中处理厂</w:t>
                  </w:r>
                </w:p>
              </w:tc>
              <w:tc>
                <w:tcPr>
                  <w:tcW w:w="2775" w:type="dxa"/>
                  <w:vAlign w:val="center"/>
                </w:tcPr>
                <w:p w14:paraId="53EB91C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color w:val="auto"/>
                      <w:kern w:val="0"/>
                      <w:sz w:val="21"/>
                      <w:szCs w:val="21"/>
                      <w:u w:val="none"/>
                      <w:vertAlign w:val="baseline"/>
                      <w:lang w:eastAsia="zh-CN"/>
                    </w:rPr>
                  </w:pPr>
                  <w:r>
                    <w:rPr>
                      <w:rFonts w:hint="eastAsia" w:cs="Times New Roman"/>
                      <w:color w:val="auto"/>
                      <w:kern w:val="0"/>
                      <w:sz w:val="21"/>
                      <w:szCs w:val="21"/>
                      <w:u w:val="none"/>
                      <w:lang w:val="en-US" w:eastAsia="zh-CN"/>
                    </w:rPr>
                    <w:t>办公楼生活污水、食堂废水和传染病科废水分别经化粪池（现有）、隔油池（现有）和传染科废水预系统（现有）预处理后与其他</w:t>
                  </w:r>
                  <w:r>
                    <w:rPr>
                      <w:rFonts w:hint="default" w:ascii="Times New Roman" w:hAnsi="Times New Roman" w:eastAsia="宋体" w:cs="Times New Roman"/>
                      <w:color w:val="auto"/>
                      <w:kern w:val="0"/>
                      <w:sz w:val="21"/>
                      <w:szCs w:val="21"/>
                      <w:u w:val="none"/>
                    </w:rPr>
                    <w:t>医疗废水</w:t>
                  </w:r>
                  <w:r>
                    <w:rPr>
                      <w:rFonts w:hint="eastAsia" w:cs="Times New Roman"/>
                      <w:color w:val="auto"/>
                      <w:kern w:val="0"/>
                      <w:sz w:val="21"/>
                      <w:szCs w:val="21"/>
                      <w:u w:val="none"/>
                      <w:lang w:val="en-US" w:eastAsia="zh-CN"/>
                    </w:rPr>
                    <w:t>一同进入综合</w:t>
                  </w:r>
                  <w:r>
                    <w:rPr>
                      <w:rFonts w:hint="default" w:ascii="Times New Roman" w:hAnsi="Times New Roman" w:eastAsia="宋体" w:cs="Times New Roman"/>
                      <w:color w:val="auto"/>
                      <w:kern w:val="0"/>
                      <w:sz w:val="21"/>
                      <w:szCs w:val="21"/>
                      <w:u w:val="none"/>
                    </w:rPr>
                    <w:t>污水处理站</w:t>
                  </w:r>
                  <w:r>
                    <w:rPr>
                      <w:rFonts w:hint="eastAsia" w:cs="Times New Roman"/>
                      <w:color w:val="auto"/>
                      <w:kern w:val="0"/>
                      <w:sz w:val="21"/>
                      <w:szCs w:val="21"/>
                      <w:u w:val="none"/>
                      <w:lang w:val="en-US" w:eastAsia="zh-CN"/>
                    </w:rPr>
                    <w:t>（现有）</w:t>
                  </w:r>
                  <w:r>
                    <w:rPr>
                      <w:rFonts w:hint="default" w:ascii="Times New Roman" w:hAnsi="Times New Roman" w:eastAsia="宋体" w:cs="Times New Roman"/>
                      <w:color w:val="auto"/>
                      <w:kern w:val="0"/>
                      <w:sz w:val="21"/>
                      <w:szCs w:val="21"/>
                      <w:u w:val="none"/>
                    </w:rPr>
                    <w:t>处理后排入市政管网</w:t>
                  </w:r>
                </w:p>
              </w:tc>
              <w:tc>
                <w:tcPr>
                  <w:tcW w:w="923" w:type="dxa"/>
                  <w:vAlign w:val="center"/>
                </w:tcPr>
                <w:p w14:paraId="3B1B7FB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color w:val="auto"/>
                      <w:kern w:val="0"/>
                      <w:sz w:val="21"/>
                      <w:szCs w:val="21"/>
                      <w:u w:val="none"/>
                      <w:vertAlign w:val="baseline"/>
                      <w:lang w:eastAsia="zh-CN"/>
                    </w:rPr>
                  </w:pPr>
                  <w:r>
                    <w:rPr>
                      <w:rFonts w:hint="default" w:ascii="Times New Roman" w:hAnsi="Times New Roman" w:eastAsia="宋体" w:cs="Times New Roman"/>
                      <w:color w:val="auto"/>
                      <w:kern w:val="0"/>
                      <w:sz w:val="21"/>
                      <w:szCs w:val="21"/>
                      <w:u w:val="none"/>
                      <w:lang w:val="en-US" w:eastAsia="zh-CN"/>
                    </w:rPr>
                    <w:t>否</w:t>
                  </w:r>
                </w:p>
              </w:tc>
            </w:tr>
            <w:tr w14:paraId="5E8E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6B7409C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环境风险</w:t>
                  </w:r>
                </w:p>
              </w:tc>
              <w:tc>
                <w:tcPr>
                  <w:tcW w:w="2742" w:type="dxa"/>
                  <w:vAlign w:val="center"/>
                </w:tcPr>
                <w:p w14:paraId="0F04302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有毒有害和易燃易爆危险物质存储量超过临界量3的建设项目</w:t>
                  </w:r>
                </w:p>
              </w:tc>
              <w:tc>
                <w:tcPr>
                  <w:tcW w:w="2775" w:type="dxa"/>
                  <w:vAlign w:val="center"/>
                </w:tcPr>
                <w:p w14:paraId="1F90A0B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项目有毒有害和易燃易爆危险物质存储量与临界量的比值Q＜1，Q值为</w:t>
                  </w:r>
                  <w:r>
                    <w:rPr>
                      <w:rFonts w:hint="eastAsia" w:cs="Times New Roman"/>
                      <w:color w:val="000000" w:themeColor="text1"/>
                      <w:kern w:val="0"/>
                      <w:sz w:val="21"/>
                      <w:szCs w:val="21"/>
                      <w:highlight w:val="none"/>
                      <w:u w:val="none"/>
                      <w:lang w:eastAsia="zh-CN"/>
                    </w:rPr>
                    <w:t>0.03892</w:t>
                  </w:r>
                  <w:r>
                    <w:rPr>
                      <w:rFonts w:hint="default" w:ascii="Times New Roman" w:hAnsi="Times New Roman" w:eastAsia="宋体" w:cs="Times New Roman"/>
                      <w:color w:val="000000" w:themeColor="text1"/>
                      <w:kern w:val="0"/>
                      <w:sz w:val="21"/>
                      <w:szCs w:val="21"/>
                      <w:highlight w:val="none"/>
                      <w:u w:val="none"/>
                    </w:rPr>
                    <w:t>。主要为酒精、二氯异氰尿酸钠、氢氧化钠、</w:t>
                  </w:r>
                  <w:r>
                    <w:rPr>
                      <w:rFonts w:hint="eastAsia" w:cs="Times New Roman"/>
                      <w:color w:val="000000" w:themeColor="text1"/>
                      <w:kern w:val="0"/>
                      <w:sz w:val="21"/>
                      <w:szCs w:val="21"/>
                      <w:highlight w:val="none"/>
                      <w:u w:val="none"/>
                      <w:lang w:val="en-US" w:eastAsia="zh-CN"/>
                    </w:rPr>
                    <w:t>84消毒液、</w:t>
                  </w:r>
                  <w:r>
                    <w:rPr>
                      <w:rFonts w:hint="default" w:ascii="Times New Roman" w:hAnsi="Times New Roman" w:eastAsia="宋体" w:cs="Times New Roman"/>
                      <w:color w:val="000000" w:themeColor="text1"/>
                      <w:kern w:val="0"/>
                      <w:sz w:val="21"/>
                      <w:szCs w:val="21"/>
                      <w:highlight w:val="none"/>
                      <w:u w:val="none"/>
                    </w:rPr>
                    <w:t>柴油</w:t>
                  </w:r>
                  <w:r>
                    <w:rPr>
                      <w:rFonts w:hint="eastAsia" w:cs="Times New Roman"/>
                      <w:color w:val="000000" w:themeColor="text1"/>
                      <w:kern w:val="0"/>
                      <w:sz w:val="21"/>
                      <w:szCs w:val="21"/>
                      <w:highlight w:val="none"/>
                      <w:u w:val="none"/>
                      <w:lang w:eastAsia="zh-CN"/>
                    </w:rPr>
                    <w:t>、</w:t>
                  </w:r>
                  <w:r>
                    <w:rPr>
                      <w:rFonts w:hint="eastAsia" w:cs="Times New Roman"/>
                      <w:color w:val="000000" w:themeColor="text1"/>
                      <w:kern w:val="0"/>
                      <w:sz w:val="21"/>
                      <w:szCs w:val="21"/>
                      <w:highlight w:val="none"/>
                      <w:u w:val="none"/>
                      <w:lang w:val="en-US" w:eastAsia="zh-CN"/>
                    </w:rPr>
                    <w:t>氧气以及各类危险废物</w:t>
                  </w:r>
                  <w:r>
                    <w:rPr>
                      <w:rFonts w:hint="default" w:ascii="Times New Roman" w:hAnsi="Times New Roman" w:eastAsia="宋体" w:cs="Times New Roman"/>
                      <w:color w:val="000000" w:themeColor="text1"/>
                      <w:kern w:val="0"/>
                      <w:sz w:val="21"/>
                      <w:szCs w:val="21"/>
                      <w:u w:val="none"/>
                    </w:rPr>
                    <w:t>。</w:t>
                  </w:r>
                </w:p>
              </w:tc>
              <w:tc>
                <w:tcPr>
                  <w:tcW w:w="923" w:type="dxa"/>
                  <w:vAlign w:val="center"/>
                </w:tcPr>
                <w:p w14:paraId="0DF4C6E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lang w:val="en-US" w:eastAsia="zh-CN"/>
                    </w:rPr>
                    <w:t>否</w:t>
                  </w:r>
                </w:p>
              </w:tc>
            </w:tr>
            <w:tr w14:paraId="60F6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4D27A38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生态</w:t>
                  </w:r>
                </w:p>
              </w:tc>
              <w:tc>
                <w:tcPr>
                  <w:tcW w:w="2742" w:type="dxa"/>
                  <w:vAlign w:val="center"/>
                </w:tcPr>
                <w:p w14:paraId="0AF22C9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取水口下游500米范围内有重要水生生物的自然产卵场、索饵场、越冬场和洄游通道的新增河道取水的污染类建设项目</w:t>
                  </w:r>
                </w:p>
              </w:tc>
              <w:tc>
                <w:tcPr>
                  <w:tcW w:w="2775" w:type="dxa"/>
                  <w:vAlign w:val="center"/>
                </w:tcPr>
                <w:p w14:paraId="3A653B2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不涉及取水口，无需设置专项评价</w:t>
                  </w:r>
                </w:p>
              </w:tc>
              <w:tc>
                <w:tcPr>
                  <w:tcW w:w="923" w:type="dxa"/>
                  <w:vAlign w:val="center"/>
                </w:tcPr>
                <w:p w14:paraId="5AD55A5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lang w:val="en-US" w:eastAsia="zh-CN"/>
                    </w:rPr>
                    <w:t>否</w:t>
                  </w:r>
                </w:p>
              </w:tc>
            </w:tr>
            <w:tr w14:paraId="6FCA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Align w:val="center"/>
                </w:tcPr>
                <w:p w14:paraId="589498B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海洋</w:t>
                  </w:r>
                </w:p>
              </w:tc>
              <w:tc>
                <w:tcPr>
                  <w:tcW w:w="2742" w:type="dxa"/>
                  <w:vAlign w:val="center"/>
                </w:tcPr>
                <w:p w14:paraId="73B4BF9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直接向海排放污染物的海洋工程建设项目</w:t>
                  </w:r>
                </w:p>
              </w:tc>
              <w:tc>
                <w:tcPr>
                  <w:tcW w:w="2775" w:type="dxa"/>
                  <w:vAlign w:val="center"/>
                </w:tcPr>
                <w:p w14:paraId="1E2F077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rPr>
                    <w:t>项目不直接向海洋排放污染物</w:t>
                  </w:r>
                </w:p>
              </w:tc>
              <w:tc>
                <w:tcPr>
                  <w:tcW w:w="923" w:type="dxa"/>
                  <w:vAlign w:val="center"/>
                </w:tcPr>
                <w:p w14:paraId="4F8A422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cs="宋体"/>
                      <w:kern w:val="0"/>
                      <w:sz w:val="21"/>
                      <w:szCs w:val="21"/>
                      <w:u w:val="none"/>
                      <w:vertAlign w:val="baseline"/>
                      <w:lang w:eastAsia="zh-CN"/>
                    </w:rPr>
                  </w:pPr>
                  <w:r>
                    <w:rPr>
                      <w:rFonts w:hint="default" w:ascii="Times New Roman" w:hAnsi="Times New Roman" w:eastAsia="宋体" w:cs="Times New Roman"/>
                      <w:color w:val="000000" w:themeColor="text1"/>
                      <w:kern w:val="0"/>
                      <w:sz w:val="21"/>
                      <w:szCs w:val="21"/>
                      <w:u w:val="none"/>
                      <w:lang w:val="en-US" w:eastAsia="zh-CN"/>
                    </w:rPr>
                    <w:t>否</w:t>
                  </w:r>
                </w:p>
              </w:tc>
            </w:tr>
          </w:tbl>
          <w:p w14:paraId="01F8CC40">
            <w:pPr>
              <w:autoSpaceDE w:val="0"/>
              <w:autoSpaceDN w:val="0"/>
              <w:adjustRightInd w:val="0"/>
              <w:snapToGrid w:val="0"/>
              <w:spacing w:line="360" w:lineRule="auto"/>
              <w:jc w:val="both"/>
              <w:rPr>
                <w:rFonts w:hint="eastAsia" w:ascii="宋体" w:hAnsi="宋体" w:eastAsia="宋体" w:cs="宋体"/>
                <w:kern w:val="0"/>
                <w:sz w:val="21"/>
                <w:szCs w:val="21"/>
                <w:lang w:eastAsia="zh-CN"/>
              </w:rPr>
            </w:pPr>
            <w:r>
              <w:rPr>
                <w:rFonts w:hint="default" w:ascii="Times New Roman" w:hAnsi="Times New Roman" w:cs="Times New Roman"/>
                <w:kern w:val="0"/>
                <w:sz w:val="21"/>
                <w:szCs w:val="21"/>
                <w:lang w:eastAsia="zh-CN"/>
              </w:rPr>
              <w:t>注：1.废气中有毒有害污染物指纳入《有毒有害大气污染物名录》的污染 物（不包括无排放标准的污染物）。2.环境空气保护目标指自然保护区、 风景名胜区、居住区、文化区和农村地区中人群较集中的区域。3.临界量 及其计算方法可参考《建设项目环境风险评价技术导则》（HJ 169）附录B、附录C。</w:t>
            </w:r>
          </w:p>
        </w:tc>
      </w:tr>
      <w:tr w14:paraId="32FCAB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vAlign w:val="center"/>
          </w:tcPr>
          <w:p w14:paraId="79EDBC1D">
            <w:pPr>
              <w:autoSpaceDE w:val="0"/>
              <w:autoSpaceDN w:val="0"/>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规划情况</w:t>
            </w:r>
          </w:p>
        </w:tc>
        <w:tc>
          <w:tcPr>
            <w:tcW w:w="7505" w:type="dxa"/>
            <w:gridSpan w:val="3"/>
            <w:vAlign w:val="center"/>
          </w:tcPr>
          <w:p w14:paraId="33C56C11">
            <w:pPr>
              <w:autoSpaceDE w:val="0"/>
              <w:autoSpaceDN w:val="0"/>
              <w:adjustRightInd w:val="0"/>
              <w:snapToGrid w:val="0"/>
              <w:spacing w:line="360" w:lineRule="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规划名称：《岳阳市区域卫生规划（2016-2030年）》</w:t>
            </w:r>
          </w:p>
          <w:p w14:paraId="049C8AB3">
            <w:pPr>
              <w:autoSpaceDE w:val="0"/>
              <w:autoSpaceDN w:val="0"/>
              <w:adjustRightInd w:val="0"/>
              <w:snapToGrid w:val="0"/>
              <w:spacing w:line="360" w:lineRule="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审批机关：岳阳市人民政府</w:t>
            </w:r>
          </w:p>
          <w:p w14:paraId="2D6129A4">
            <w:pPr>
              <w:autoSpaceDE w:val="0"/>
              <w:autoSpaceDN w:val="0"/>
              <w:adjustRightInd w:val="0"/>
              <w:snapToGrid w:val="0"/>
              <w:spacing w:line="360" w:lineRule="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审批文件名称：《岳阳市人民政府关于同意&lt;岳阳市区域卫生规划（2016-2030年）&gt;的批复》</w:t>
            </w:r>
          </w:p>
          <w:p w14:paraId="1A6503B8">
            <w:pPr>
              <w:autoSpaceDE w:val="0"/>
              <w:autoSpaceDN w:val="0"/>
              <w:adjustRightInd w:val="0"/>
              <w:snapToGrid w:val="0"/>
              <w:spacing w:line="360" w:lineRule="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审批文号：岳政函[2017]132号</w:t>
            </w:r>
          </w:p>
          <w:p w14:paraId="2AD4803D">
            <w:pPr>
              <w:autoSpaceDE w:val="0"/>
              <w:autoSpaceDN w:val="0"/>
              <w:adjustRightInd w:val="0"/>
              <w:snapToGrid w:val="0"/>
              <w:spacing w:line="360" w:lineRule="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规划名称：《岳阳市国土空间总体规划（2021-2035年）》</w:t>
            </w:r>
          </w:p>
          <w:p w14:paraId="6763A064">
            <w:pPr>
              <w:autoSpaceDE w:val="0"/>
              <w:autoSpaceDN w:val="0"/>
              <w:adjustRightInd w:val="0"/>
              <w:snapToGrid w:val="0"/>
              <w:spacing w:line="360" w:lineRule="auto"/>
              <w:rPr>
                <w:rFonts w:hint="eastAsia" w:ascii="Times New Roman" w:hAnsi="Times New Roman" w:eastAsia="宋体" w:cs="Times New Roman"/>
                <w:color w:val="auto"/>
                <w:kern w:val="0"/>
                <w:sz w:val="24"/>
                <w:szCs w:val="24"/>
              </w:rPr>
            </w:pPr>
            <w:r>
              <w:rPr>
                <w:rFonts w:hint="eastAsia" w:ascii="Times New Roman" w:hAnsi="Times New Roman" w:eastAsia="宋体" w:cs="Times New Roman"/>
                <w:color w:val="auto"/>
                <w:kern w:val="0"/>
                <w:sz w:val="24"/>
                <w:szCs w:val="24"/>
                <w:lang w:val="en-US" w:eastAsia="zh-CN"/>
              </w:rPr>
              <w:t>发布</w:t>
            </w:r>
            <w:r>
              <w:rPr>
                <w:rFonts w:hint="default" w:ascii="Times New Roman" w:hAnsi="Times New Roman" w:eastAsia="宋体" w:cs="Times New Roman"/>
                <w:color w:val="auto"/>
                <w:kern w:val="0"/>
                <w:sz w:val="24"/>
                <w:szCs w:val="24"/>
              </w:rPr>
              <w:t>机关：岳阳市人民政府</w:t>
            </w:r>
          </w:p>
        </w:tc>
      </w:tr>
      <w:tr w14:paraId="555F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vAlign w:val="center"/>
          </w:tcPr>
          <w:p w14:paraId="0C28832B">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sz w:val="21"/>
                <w:szCs w:val="21"/>
              </w:rPr>
              <w:t>规划环境影响评价情况</w:t>
            </w:r>
          </w:p>
        </w:tc>
        <w:tc>
          <w:tcPr>
            <w:tcW w:w="7505" w:type="dxa"/>
            <w:gridSpan w:val="3"/>
            <w:vAlign w:val="center"/>
          </w:tcPr>
          <w:p w14:paraId="1D7048B1">
            <w:pPr>
              <w:autoSpaceDE w:val="0"/>
              <w:autoSpaceDN w:val="0"/>
              <w:adjustRightInd w:val="0"/>
              <w:snapToGrid w:val="0"/>
              <w:spacing w:line="360" w:lineRule="auto"/>
              <w:jc w:val="center"/>
              <w:rPr>
                <w:rFonts w:hint="eastAsia" w:ascii="宋体" w:hAnsi="宋体" w:eastAsia="宋体" w:cs="宋体"/>
                <w:color w:val="auto"/>
                <w:kern w:val="0"/>
                <w:sz w:val="21"/>
                <w:szCs w:val="21"/>
              </w:rPr>
            </w:pPr>
            <w:r>
              <w:rPr>
                <w:rFonts w:hint="eastAsia" w:ascii="宋体" w:hAnsi="宋体" w:eastAsia="宋体" w:cs="宋体"/>
                <w:color w:val="auto"/>
                <w:kern w:val="0"/>
                <w:sz w:val="24"/>
                <w:szCs w:val="24"/>
              </w:rPr>
              <w:t>无</w:t>
            </w:r>
          </w:p>
        </w:tc>
      </w:tr>
      <w:tr w14:paraId="76D7C9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147" w:type="dxa"/>
            <w:vAlign w:val="center"/>
          </w:tcPr>
          <w:p w14:paraId="17CDACBA">
            <w:pPr>
              <w:autoSpaceDE w:val="0"/>
              <w:autoSpaceDN w:val="0"/>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规划及规划环境影响评价符合性分析</w:t>
            </w:r>
          </w:p>
        </w:tc>
        <w:tc>
          <w:tcPr>
            <w:tcW w:w="7505" w:type="dxa"/>
            <w:gridSpan w:val="3"/>
            <w:vAlign w:val="center"/>
          </w:tcPr>
          <w:p w14:paraId="0CED8F90">
            <w:pPr>
              <w:pStyle w:val="11"/>
              <w:keepNext w:val="0"/>
              <w:keepLines w:val="0"/>
              <w:pageBreakBefore w:val="0"/>
              <w:widowControl w:val="0"/>
              <w:kinsoku/>
              <w:wordWrap/>
              <w:overflowPunct/>
              <w:topLinePunct w:val="0"/>
              <w:autoSpaceDE/>
              <w:autoSpaceDN/>
              <w:bidi w:val="0"/>
              <w:adjustRightInd/>
              <w:snapToGrid w:val="0"/>
              <w:spacing w:before="0" w:after="0" w:line="360" w:lineRule="auto"/>
              <w:ind w:right="0"/>
              <w:textAlignment w:val="auto"/>
              <w:rPr>
                <w:rFonts w:hint="default" w:ascii="Times New Roman" w:hAnsi="Times New Roman" w:eastAsia="宋体" w:cs="Times New Roman"/>
                <w:b/>
                <w:bCs/>
                <w:color w:val="auto"/>
                <w:sz w:val="24"/>
                <w:szCs w:val="24"/>
                <w:u w:val="single"/>
                <w:lang w:val="en-US" w:eastAsia="zh-CN"/>
              </w:rPr>
            </w:pPr>
            <w:r>
              <w:rPr>
                <w:rFonts w:hint="default" w:ascii="Times New Roman" w:hAnsi="Times New Roman" w:eastAsia="宋体" w:cs="Times New Roman"/>
                <w:b/>
                <w:bCs/>
                <w:color w:val="auto"/>
                <w:sz w:val="24"/>
                <w:szCs w:val="24"/>
                <w:u w:val="single"/>
                <w:lang w:val="en-US" w:eastAsia="zh-CN"/>
              </w:rPr>
              <w:t>1、与《岳阳市区域卫生规划（2016-2030年）》相符性分析</w:t>
            </w:r>
          </w:p>
          <w:p w14:paraId="1434C2C0">
            <w:pPr>
              <w:pStyle w:val="11"/>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eastAsia="宋体" w:cs="Times New Roman"/>
                <w:color w:val="auto"/>
                <w:sz w:val="24"/>
                <w:szCs w:val="24"/>
                <w:u w:val="single"/>
              </w:rPr>
            </w:pPr>
            <w:r>
              <w:rPr>
                <w:rFonts w:hint="default" w:ascii="Times New Roman" w:hAnsi="Times New Roman" w:eastAsia="宋体" w:cs="Times New Roman"/>
                <w:color w:val="auto"/>
                <w:sz w:val="24"/>
                <w:szCs w:val="24"/>
                <w:u w:val="single"/>
              </w:rPr>
              <w:t>岳阳市区域卫生规划（2016-2030年）</w:t>
            </w:r>
            <w:r>
              <w:rPr>
                <w:rFonts w:hint="default" w:ascii="Times New Roman" w:hAnsi="Times New Roman" w:cs="Times New Roman"/>
                <w:color w:val="auto"/>
                <w:sz w:val="24"/>
                <w:szCs w:val="24"/>
                <w:u w:val="single"/>
                <w:lang w:val="en-US" w:eastAsia="zh-CN"/>
              </w:rPr>
              <w:t>规划目标</w:t>
            </w:r>
            <w:r>
              <w:rPr>
                <w:rFonts w:hint="default" w:ascii="Times New Roman" w:hAnsi="Times New Roman" w:eastAsia="宋体" w:cs="Times New Roman"/>
                <w:color w:val="auto"/>
                <w:sz w:val="24"/>
                <w:szCs w:val="24"/>
                <w:u w:val="single"/>
              </w:rPr>
              <w:t>：1、到2030年规划期末，全市医疗卫生资源数量更加适宜，配置更趋合理，布局更加均衡，结构更为优化。建成与经济和社会发展水平相适应，与居民健康需求相匹配的体系完整、分工明确、功能互补、密切协作的整合型医疗卫生服务体系。建立覆盖城乡居民的基本医疗卫生制度，满足广大群众对医疗卫生服务不同层次的需求，全方位、全周期维护和保障人民健康。2、完善医疗卫生用地布局，基本实现医疗卫生用地布局合理、结构优化、规模数量日趋适宜，为全市卫生事业健康持续发展提供用地保证。</w:t>
            </w:r>
          </w:p>
          <w:p w14:paraId="24D3AF3F">
            <w:pPr>
              <w:pStyle w:val="11"/>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u w:val="single"/>
                <w:lang w:val="en-US" w:eastAsia="zh-CN"/>
              </w:rPr>
              <w:t>《岳阳市区域卫生规划》（2016-2030年）中“第十四条 医院设置 2、综合医院设置”明确对本医院的规划为：规划等级：二级；扩建；床位：近期250张、远期300张。</w:t>
            </w:r>
          </w:p>
          <w:p w14:paraId="574C6F77">
            <w:pPr>
              <w:pStyle w:val="11"/>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cs="Times New Roman"/>
                <w:color w:val="auto"/>
                <w:sz w:val="24"/>
                <w:szCs w:val="24"/>
                <w:highlight w:val="none"/>
                <w:u w:val="single"/>
                <w:lang w:val="en-US" w:eastAsia="zh-CN"/>
              </w:rPr>
            </w:pPr>
            <w:r>
              <w:rPr>
                <w:rFonts w:hint="default" w:ascii="Times New Roman" w:hAnsi="Times New Roman" w:cs="Times New Roman"/>
                <w:color w:val="auto"/>
                <w:sz w:val="24"/>
                <w:szCs w:val="24"/>
                <w:highlight w:val="none"/>
                <w:u w:val="single"/>
                <w:lang w:val="en-US" w:eastAsia="zh-CN"/>
              </w:rPr>
              <w:t>本次搬迁后岳阳市岳阳楼区人民医院将进行扩建，床位由206张增加至360张，项目实施后可提升岳阳市中心城区的医疗服务能力，改善就医环境，满足居民的医疗卫生服务需求，符合《岳阳市区域卫生规划（2016-2030年）》相关要求。同时，根据《岳阳市岳阳楼区人民政府常务会议纪要（第45次）》（2024年12月31日）（附件2），本院搬迁是促进优质医疗资源均衡布局的重要举措</w:t>
            </w:r>
            <w:r>
              <w:rPr>
                <w:rFonts w:hint="default" w:ascii="Times New Roman" w:hAnsi="Times New Roman" w:cs="Times New Roman"/>
                <w:color w:val="auto"/>
                <w:sz w:val="24"/>
                <w:szCs w:val="24"/>
                <w:highlight w:val="none"/>
                <w:lang w:val="en-US" w:eastAsia="zh-CN"/>
              </w:rPr>
              <w:t>。</w:t>
            </w:r>
          </w:p>
          <w:p w14:paraId="65D22F4E">
            <w:pPr>
              <w:pStyle w:val="11"/>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u w:val="single"/>
                <w:lang w:val="en-US" w:eastAsia="zh-CN"/>
              </w:rPr>
              <w:t>本医院搬迁变更核定床位的备案手续已通过岳阳市岳阳楼区卫生健康局审批（附件11），目前相关变更手续正在办理中</w:t>
            </w:r>
            <w:r>
              <w:rPr>
                <w:rFonts w:hint="default" w:ascii="Times New Roman" w:hAnsi="Times New Roman" w:cs="Times New Roman"/>
                <w:color w:val="auto"/>
                <w:sz w:val="24"/>
                <w:szCs w:val="24"/>
                <w:highlight w:val="none"/>
                <w:lang w:val="en-US" w:eastAsia="zh-CN"/>
              </w:rPr>
              <w:t>。</w:t>
            </w:r>
          </w:p>
          <w:p w14:paraId="42BD2DE3">
            <w:pPr>
              <w:autoSpaceDE w:val="0"/>
              <w:autoSpaceDN w:val="0"/>
              <w:adjustRightInd w:val="0"/>
              <w:snapToGrid w:val="0"/>
              <w:spacing w:line="360" w:lineRule="auto"/>
              <w:jc w:val="left"/>
              <w:rPr>
                <w:rFonts w:hint="default" w:ascii="Times New Roman" w:hAnsi="Times New Roman" w:eastAsia="宋体" w:cs="Times New Roman"/>
                <w:b/>
                <w:bCs/>
                <w:color w:val="auto"/>
                <w:kern w:val="0"/>
                <w:sz w:val="24"/>
                <w:szCs w:val="24"/>
                <w:lang w:val="en-US" w:eastAsia="zh-CN"/>
              </w:rPr>
            </w:pPr>
            <w:r>
              <w:rPr>
                <w:rFonts w:hint="default" w:ascii="Times New Roman" w:hAnsi="Times New Roman" w:cs="Times New Roman"/>
                <w:b/>
                <w:bCs/>
                <w:color w:val="auto"/>
                <w:sz w:val="24"/>
                <w:szCs w:val="24"/>
                <w:highlight w:val="none"/>
                <w:lang w:val="en-US" w:eastAsia="zh-CN"/>
              </w:rPr>
              <w:t>2、与</w:t>
            </w:r>
            <w:r>
              <w:rPr>
                <w:rFonts w:hint="default" w:ascii="Times New Roman" w:hAnsi="Times New Roman" w:eastAsia="宋体" w:cs="Times New Roman"/>
                <w:b/>
                <w:bCs/>
                <w:color w:val="auto"/>
                <w:kern w:val="0"/>
                <w:sz w:val="24"/>
                <w:szCs w:val="24"/>
                <w:lang w:val="en-US" w:eastAsia="zh-CN"/>
              </w:rPr>
              <w:t>《岳阳市国土空间总体规划（2021-2035年）》符合性分析</w:t>
            </w:r>
          </w:p>
          <w:p w14:paraId="6FB9B0FF">
            <w:pPr>
              <w:pStyle w:val="11"/>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default" w:ascii="Times New Roman" w:hAnsi="Times New Roman" w:eastAsia="宋体" w:cs="Times New Roman"/>
                <w:color w:val="auto"/>
                <w:kern w:val="0"/>
                <w:sz w:val="24"/>
                <w:szCs w:val="24"/>
                <w:u w:val="single"/>
                <w:lang w:val="en-US" w:eastAsia="zh-CN"/>
              </w:rPr>
            </w:pPr>
            <w:r>
              <w:rPr>
                <w:rFonts w:hint="default" w:ascii="Times New Roman" w:hAnsi="Times New Roman" w:eastAsia="宋体" w:cs="Times New Roman"/>
                <w:color w:val="auto"/>
                <w:kern w:val="0"/>
                <w:sz w:val="24"/>
                <w:szCs w:val="24"/>
                <w:u w:val="single"/>
                <w:lang w:val="en-US" w:eastAsia="zh-CN"/>
              </w:rPr>
              <w:t>根据《岳阳市国土空间总体规划（2021-2035年）》“第6章 强化集约节约，培育协调发展的城镇空间 第三节 构建公共服务设施体系和城乡生活圈”内容：健全“病有所医”的医疗服务设施体系。建设健康岳阳，构建全龄关爱、分工明确、功能互补、多元协作的优质高效医疗卫生服务体系，打造具有全国影响力、省内一流水平的区域性医疗服务中心。</w:t>
            </w:r>
          </w:p>
          <w:p w14:paraId="745302DE">
            <w:pPr>
              <w:pStyle w:val="11"/>
              <w:keepNext w:val="0"/>
              <w:keepLines w:val="0"/>
              <w:pageBreakBefore w:val="0"/>
              <w:widowControl w:val="0"/>
              <w:kinsoku/>
              <w:wordWrap/>
              <w:overflowPunct/>
              <w:topLinePunct w:val="0"/>
              <w:autoSpaceDE/>
              <w:autoSpaceDN/>
              <w:bidi w:val="0"/>
              <w:adjustRightInd/>
              <w:snapToGrid w:val="0"/>
              <w:spacing w:before="0" w:after="0" w:line="360" w:lineRule="auto"/>
              <w:ind w:right="0" w:firstLine="480" w:firstLineChars="200"/>
              <w:textAlignment w:val="auto"/>
              <w:rPr>
                <w:rFonts w:hint="eastAsia" w:ascii="宋体" w:hAnsi="宋体" w:eastAsia="宋体" w:cs="宋体"/>
                <w:color w:val="auto"/>
                <w:sz w:val="21"/>
                <w:szCs w:val="21"/>
              </w:rPr>
            </w:pPr>
            <w:r>
              <w:rPr>
                <w:rFonts w:hint="default" w:ascii="Times New Roman" w:hAnsi="Times New Roman" w:eastAsia="宋体" w:cs="Times New Roman"/>
                <w:color w:val="auto"/>
                <w:kern w:val="0"/>
                <w:sz w:val="24"/>
                <w:szCs w:val="24"/>
                <w:u w:val="single"/>
                <w:lang w:val="en-US" w:eastAsia="zh-CN"/>
              </w:rPr>
              <w:t>本项目为综合医院项目，拟搬迁至原岳阳市中心医院金鹗山院区已建院区进行建设，不会改变地块用地性质，不涉及新增用地，项目实施后可提升岳阳市中心城区的医疗服务能力，有助于健全公共卫生防护体系。因此，本项目与《岳阳市国土空间总体规划（2021-2035年）》相符</w:t>
            </w:r>
            <w:r>
              <w:rPr>
                <w:rFonts w:hint="eastAsia" w:ascii="宋体" w:hAnsi="宋体" w:eastAsia="宋体" w:cs="宋体"/>
                <w:color w:val="auto"/>
                <w:sz w:val="24"/>
                <w:szCs w:val="24"/>
              </w:rPr>
              <w:t>。</w:t>
            </w:r>
          </w:p>
        </w:tc>
      </w:tr>
      <w:tr w14:paraId="1BE4F7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89" w:hRule="atLeast"/>
          <w:jc w:val="center"/>
        </w:trPr>
        <w:tc>
          <w:tcPr>
            <w:tcW w:w="1147" w:type="dxa"/>
            <w:vAlign w:val="center"/>
          </w:tcPr>
          <w:p w14:paraId="0039A8A8">
            <w:pPr>
              <w:autoSpaceDE w:val="0"/>
              <w:autoSpaceDN w:val="0"/>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其他符合性分析</w:t>
            </w:r>
          </w:p>
        </w:tc>
        <w:tc>
          <w:tcPr>
            <w:tcW w:w="7505" w:type="dxa"/>
            <w:gridSpan w:val="3"/>
            <w:vAlign w:val="center"/>
          </w:tcPr>
          <w:p w14:paraId="06ABA6EA">
            <w:pPr>
              <w:autoSpaceDE w:val="0"/>
              <w:autoSpaceDN w:val="0"/>
              <w:adjustRightInd w:val="0"/>
              <w:snapToGrid w:val="0"/>
              <w:spacing w:line="360" w:lineRule="auto"/>
              <w:jc w:val="left"/>
              <w:rPr>
                <w:rFonts w:hint="default" w:ascii="Times New Roman" w:hAnsi="Times New Roman" w:eastAsia="宋体" w:cs="Times New Roman"/>
                <w:b/>
                <w:bCs/>
                <w:kern w:val="0"/>
                <w:sz w:val="24"/>
                <w:szCs w:val="24"/>
                <w:lang w:val="en-US" w:eastAsia="zh-CN"/>
              </w:rPr>
            </w:pPr>
            <w:r>
              <w:rPr>
                <w:rFonts w:hint="default" w:ascii="Times New Roman" w:hAnsi="Times New Roman" w:cs="Times New Roman"/>
                <w:b/>
                <w:bCs/>
                <w:kern w:val="0"/>
                <w:sz w:val="24"/>
                <w:szCs w:val="24"/>
                <w:lang w:val="en-US" w:eastAsia="zh-CN"/>
              </w:rPr>
              <w:t>1、</w:t>
            </w:r>
            <w:r>
              <w:rPr>
                <w:rFonts w:hint="default" w:ascii="Times New Roman" w:hAnsi="Times New Roman" w:eastAsia="宋体" w:cs="Times New Roman"/>
                <w:b/>
                <w:bCs/>
                <w:kern w:val="0"/>
                <w:sz w:val="24"/>
                <w:szCs w:val="24"/>
                <w:lang w:val="en-US" w:eastAsia="zh-CN"/>
              </w:rPr>
              <w:t>产业政策符合性分析</w:t>
            </w:r>
          </w:p>
          <w:p w14:paraId="171A1044">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lang w:val="en-US" w:eastAsia="zh-CN"/>
              </w:rPr>
            </w:pPr>
            <w:r>
              <w:rPr>
                <w:rFonts w:hint="default" w:ascii="Times New Roman" w:hAnsi="Times New Roman" w:eastAsia="宋体" w:cs="Times New Roman"/>
                <w:kern w:val="0"/>
                <w:sz w:val="24"/>
                <w:szCs w:val="24"/>
                <w:lang w:val="en-US" w:eastAsia="zh-CN"/>
              </w:rPr>
              <w:t>对照《产业结构调整指导目录（2024年本）》（国家发展和改革委员会第7号令），本项目属于“第一类、鼓励类”中“三十七、卫生健康  1．医疗服务设施建设：预防保健、卫生应急、卫生监督服务设施建设，医疗卫生服务设施建设，传染病、儿童、精神卫生专科医院和康复医院（中心）、护理院（中心）、安宁疗护中心、全科医疗设施与服务，医养结合设施与服务”；同时，本项目不属于《市场准入负面清单（2022年版）》禁止事项，符合相关产业政策。</w:t>
            </w:r>
          </w:p>
          <w:p w14:paraId="5F042E6F">
            <w:pPr>
              <w:autoSpaceDE w:val="0"/>
              <w:autoSpaceDN w:val="0"/>
              <w:adjustRightInd w:val="0"/>
              <w:snapToGrid w:val="0"/>
              <w:spacing w:line="360" w:lineRule="auto"/>
              <w:jc w:val="left"/>
              <w:rPr>
                <w:rFonts w:hint="default" w:ascii="Times New Roman" w:hAnsi="Times New Roman" w:eastAsia="宋体" w:cs="Times New Roman"/>
                <w:b/>
                <w:bCs/>
                <w:kern w:val="0"/>
                <w:sz w:val="24"/>
                <w:szCs w:val="24"/>
                <w:u w:val="single" w:color="auto"/>
                <w:lang w:val="en-US" w:eastAsia="zh-CN"/>
              </w:rPr>
            </w:pPr>
            <w:r>
              <w:rPr>
                <w:rFonts w:hint="default" w:ascii="Times New Roman" w:hAnsi="Times New Roman" w:cs="Times New Roman"/>
                <w:b/>
                <w:bCs/>
                <w:kern w:val="0"/>
                <w:sz w:val="24"/>
                <w:szCs w:val="24"/>
                <w:u w:val="single" w:color="auto"/>
                <w:lang w:val="en-US" w:eastAsia="zh-CN"/>
              </w:rPr>
              <w:t>2、</w:t>
            </w:r>
            <w:r>
              <w:rPr>
                <w:rFonts w:hint="default" w:ascii="Times New Roman" w:hAnsi="Times New Roman" w:eastAsia="宋体" w:cs="Times New Roman"/>
                <w:b/>
                <w:bCs/>
                <w:kern w:val="0"/>
                <w:sz w:val="24"/>
                <w:szCs w:val="24"/>
                <w:u w:val="single" w:color="auto"/>
                <w:lang w:val="en-US" w:eastAsia="zh-CN"/>
              </w:rPr>
              <w:t xml:space="preserve">与“生态环境分区管控”相符性分析 </w:t>
            </w:r>
          </w:p>
          <w:p w14:paraId="23047593">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u w:val="single" w:color="auto"/>
                <w:lang w:val="en-US" w:eastAsia="zh-CN"/>
              </w:rPr>
            </w:pPr>
            <w:r>
              <w:rPr>
                <w:rFonts w:hint="default" w:ascii="Times New Roman" w:hAnsi="Times New Roman" w:eastAsia="宋体" w:cs="Times New Roman"/>
                <w:kern w:val="0"/>
                <w:sz w:val="24"/>
                <w:szCs w:val="24"/>
                <w:u w:val="single" w:color="auto"/>
                <w:lang w:val="en-US" w:eastAsia="zh-CN"/>
              </w:rPr>
              <w:t>对照《岳阳市生态环境局关于发布岳阳市生态环境分区管控动态更新成果(2023年版)的通知》（岳环发〔2024]14号），本项目位于岳阳市南湖大道399号，属于金鹗山街道，为重点管控单元，项目与（岳环发〔2024]14号）文件相符性见下表：</w:t>
            </w:r>
          </w:p>
          <w:p w14:paraId="3A5625D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eastAsia="宋体" w:cs="宋体"/>
                <w:b/>
                <w:bCs/>
                <w:kern w:val="0"/>
                <w:sz w:val="21"/>
                <w:szCs w:val="21"/>
                <w:u w:val="single" w:color="auto"/>
                <w:lang w:val="en-US" w:eastAsia="zh-CN"/>
              </w:rPr>
            </w:pPr>
            <w:r>
              <w:rPr>
                <w:rFonts w:hint="eastAsia" w:ascii="宋体" w:hAnsi="宋体" w:eastAsia="宋体" w:cs="宋体"/>
                <w:b/>
                <w:bCs/>
                <w:kern w:val="0"/>
                <w:sz w:val="21"/>
                <w:szCs w:val="21"/>
                <w:u w:val="single" w:color="auto"/>
                <w:lang w:val="en-US" w:eastAsia="zh-CN"/>
              </w:rPr>
              <w:t>表</w:t>
            </w:r>
            <w:r>
              <w:rPr>
                <w:rFonts w:hint="default" w:ascii="Times New Roman" w:hAnsi="Times New Roman" w:eastAsia="宋体" w:cs="Times New Roman"/>
                <w:b/>
                <w:bCs/>
                <w:kern w:val="0"/>
                <w:sz w:val="21"/>
                <w:szCs w:val="21"/>
                <w:u w:val="single" w:color="auto"/>
                <w:lang w:val="en-US" w:eastAsia="zh-CN"/>
              </w:rPr>
              <w:t>1-2 本</w:t>
            </w:r>
            <w:r>
              <w:rPr>
                <w:rFonts w:hint="eastAsia" w:ascii="宋体" w:hAnsi="宋体" w:eastAsia="宋体" w:cs="宋体"/>
                <w:b/>
                <w:bCs/>
                <w:kern w:val="0"/>
                <w:sz w:val="21"/>
                <w:szCs w:val="21"/>
                <w:u w:val="single" w:color="auto"/>
                <w:lang w:val="en-US" w:eastAsia="zh-CN"/>
              </w:rPr>
              <w:t>项目与《岳阳市生态环境分区管控动态更新成果（2023年版）》</w:t>
            </w:r>
          </w:p>
          <w:p w14:paraId="6F3C7C5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宋体" w:hAnsi="宋体" w:eastAsia="宋体" w:cs="宋体"/>
                <w:b/>
                <w:bCs/>
                <w:kern w:val="0"/>
                <w:sz w:val="21"/>
                <w:szCs w:val="21"/>
                <w:u w:val="single" w:color="auto"/>
                <w:lang w:val="en-US" w:eastAsia="zh-CN"/>
              </w:rPr>
            </w:pPr>
            <w:r>
              <w:rPr>
                <w:rFonts w:hint="eastAsia" w:ascii="宋体" w:hAnsi="宋体" w:eastAsia="宋体" w:cs="宋体"/>
                <w:b/>
                <w:bCs/>
                <w:kern w:val="0"/>
                <w:sz w:val="21"/>
                <w:szCs w:val="21"/>
                <w:u w:val="single" w:color="auto"/>
                <w:lang w:val="en-US" w:eastAsia="zh-CN"/>
              </w:rPr>
              <w:t>符合性分析</w:t>
            </w:r>
          </w:p>
          <w:tbl>
            <w:tblPr>
              <w:tblStyle w:val="2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395"/>
              <w:gridCol w:w="2050"/>
              <w:gridCol w:w="1116"/>
              <w:gridCol w:w="173"/>
              <w:gridCol w:w="1561"/>
              <w:gridCol w:w="483"/>
              <w:gridCol w:w="729"/>
            </w:tblGrid>
            <w:tr w14:paraId="4C1A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53E401">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b/>
                      <w:sz w:val="21"/>
                      <w:szCs w:val="21"/>
                      <w:u w:val="single" w:color="auto"/>
                    </w:rPr>
                    <w:t>环境管控单元编码</w:t>
                  </w:r>
                </w:p>
              </w:tc>
              <w:tc>
                <w:tcPr>
                  <w:tcW w:w="2050" w:type="dxa"/>
                  <w:tcBorders>
                    <w:top w:val="single" w:color="auto" w:sz="4" w:space="0"/>
                    <w:left w:val="single" w:color="auto" w:sz="4" w:space="0"/>
                    <w:bottom w:val="single" w:color="auto" w:sz="4" w:space="0"/>
                    <w:right w:val="single" w:color="auto" w:sz="4" w:space="0"/>
                  </w:tcBorders>
                  <w:shd w:val="clear" w:color="auto" w:fill="auto"/>
                  <w:vAlign w:val="center"/>
                </w:tcPr>
                <w:p w14:paraId="629D28CD">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b/>
                      <w:sz w:val="21"/>
                      <w:szCs w:val="21"/>
                      <w:u w:val="single" w:color="auto"/>
                    </w:rPr>
                    <w:t>单元名称</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63227EC3">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b/>
                      <w:sz w:val="21"/>
                      <w:szCs w:val="21"/>
                      <w:u w:val="single" w:color="auto"/>
                    </w:rPr>
                    <w:t>涉及乡镇（街道）</w:t>
                  </w:r>
                </w:p>
              </w:tc>
              <w:tc>
                <w:tcPr>
                  <w:tcW w:w="17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63C43B">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b/>
                      <w:sz w:val="21"/>
                      <w:szCs w:val="21"/>
                      <w:u w:val="single" w:color="auto"/>
                    </w:rPr>
                    <w:t>主体功能定位</w:t>
                  </w:r>
                </w:p>
              </w:tc>
              <w:tc>
                <w:tcPr>
                  <w:tcW w:w="12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FE02B75">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b/>
                      <w:sz w:val="21"/>
                      <w:szCs w:val="21"/>
                      <w:u w:val="single" w:color="auto"/>
                    </w:rPr>
                    <w:t>经济产业布局</w:t>
                  </w:r>
                </w:p>
              </w:tc>
            </w:tr>
            <w:tr w14:paraId="626D4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3" w:hRule="atLeast"/>
                <w:jc w:val="center"/>
              </w:trPr>
              <w:tc>
                <w:tcPr>
                  <w:tcW w:w="11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6D2456">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sz w:val="21"/>
                      <w:szCs w:val="21"/>
                      <w:u w:val="single" w:color="auto"/>
                    </w:rPr>
                    <w:t>ZH43060220001</w:t>
                  </w:r>
                </w:p>
              </w:tc>
              <w:tc>
                <w:tcPr>
                  <w:tcW w:w="2050" w:type="dxa"/>
                  <w:tcBorders>
                    <w:top w:val="single" w:color="auto" w:sz="4" w:space="0"/>
                    <w:left w:val="single" w:color="auto" w:sz="4" w:space="0"/>
                    <w:bottom w:val="single" w:color="auto" w:sz="4" w:space="0"/>
                    <w:right w:val="single" w:color="auto" w:sz="4" w:space="0"/>
                  </w:tcBorders>
                  <w:shd w:val="clear" w:color="auto" w:fill="auto"/>
                  <w:vAlign w:val="center"/>
                </w:tcPr>
                <w:p w14:paraId="488C0778">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sz w:val="21"/>
                      <w:szCs w:val="21"/>
                      <w:u w:val="single" w:color="auto"/>
                    </w:rPr>
                    <w:t>东茅岭街道/枫桥湖街道/郭镇乡/湖滨街道/金鹗山街道/洛王街道/吕仙亭街道/南湖街道/奇家岭街道/求索街道/三眼桥街道/王家河街道/五里牌街道/站前路街道</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2819779F">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cs="Times New Roman"/>
                      <w:sz w:val="21"/>
                      <w:szCs w:val="21"/>
                      <w:u w:val="single" w:color="auto"/>
                    </w:rPr>
                  </w:pPr>
                  <w:r>
                    <w:rPr>
                      <w:rFonts w:hint="default" w:ascii="Times New Roman" w:hAnsi="Times New Roman" w:cs="Times New Roman"/>
                      <w:sz w:val="21"/>
                      <w:szCs w:val="21"/>
                      <w:u w:val="single" w:color="auto"/>
                    </w:rPr>
                    <w:t>金鹗山</w:t>
                  </w:r>
                </w:p>
                <w:p w14:paraId="59D6C6B7">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sz w:val="21"/>
                      <w:szCs w:val="21"/>
                      <w:u w:val="single" w:color="auto"/>
                    </w:rPr>
                    <w:t>街道</w:t>
                  </w:r>
                </w:p>
              </w:tc>
              <w:tc>
                <w:tcPr>
                  <w:tcW w:w="17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8D2243">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cs="Times New Roman"/>
                      <w:sz w:val="21"/>
                      <w:szCs w:val="21"/>
                      <w:u w:val="single" w:color="auto"/>
                    </w:rPr>
                    <w:t>城市化地区</w:t>
                  </w:r>
                </w:p>
              </w:tc>
              <w:tc>
                <w:tcPr>
                  <w:tcW w:w="12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E563F88">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eastAsia="宋体" w:cs="Times New Roman"/>
                      <w:sz w:val="21"/>
                      <w:szCs w:val="21"/>
                      <w:u w:val="single" w:color="auto"/>
                    </w:rPr>
                    <w:t>商业中心</w:t>
                  </w:r>
                </w:p>
              </w:tc>
            </w:tr>
            <w:tr w14:paraId="1FDAF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1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F16F45">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cs="Times New Roman"/>
                      <w:sz w:val="21"/>
                      <w:szCs w:val="21"/>
                      <w:u w:val="single" w:color="auto"/>
                    </w:rPr>
                  </w:pPr>
                  <w:r>
                    <w:rPr>
                      <w:rFonts w:hint="default" w:ascii="Times New Roman" w:hAnsi="Times New Roman" w:cs="Times New Roman"/>
                      <w:sz w:val="21"/>
                      <w:szCs w:val="21"/>
                      <w:u w:val="single" w:color="auto"/>
                    </w:rPr>
                    <w:t>主要属性</w:t>
                  </w:r>
                </w:p>
              </w:tc>
              <w:tc>
                <w:tcPr>
                  <w:tcW w:w="6112"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7332CDD2">
                  <w:pPr>
                    <w:keepNext w:val="0"/>
                    <w:keepLines w:val="0"/>
                    <w:pageBreakBefore w:val="0"/>
                    <w:widowControl w:val="0"/>
                    <w:kinsoku/>
                    <w:wordWrap/>
                    <w:overflowPunct/>
                    <w:topLinePunct w:val="0"/>
                    <w:autoSpaceDE/>
                    <w:autoSpaceDN/>
                    <w:bidi w:val="0"/>
                    <w:adjustRightInd w:val="0"/>
                    <w:snapToGrid w:val="0"/>
                    <w:spacing w:before="60" w:after="60" w:line="240" w:lineRule="auto"/>
                    <w:ind w:firstLine="0" w:firstLineChars="0"/>
                    <w:jc w:val="center"/>
                    <w:textAlignment w:val="auto"/>
                    <w:rPr>
                      <w:rFonts w:hint="default" w:ascii="Times New Roman" w:hAnsi="Times New Roman" w:cs="Times New Roman"/>
                      <w:sz w:val="21"/>
                      <w:szCs w:val="21"/>
                      <w:u w:val="single" w:color="auto"/>
                    </w:rPr>
                  </w:pPr>
                  <w:r>
                    <w:rPr>
                      <w:rFonts w:hint="default" w:ascii="Times New Roman" w:hAnsi="Times New Roman" w:eastAsia="宋体" w:cs="Times New Roman"/>
                      <w:sz w:val="21"/>
                      <w:szCs w:val="21"/>
                      <w:u w:val="single" w:color="auto"/>
                    </w:rPr>
                    <w:t>金鹗山街道：水环境城镇生活污染重点管控区/污水处理厂/南津港污水厂/大气环境优先保护区/大气环境受体敏感重点管控区/岳阳楼-洞庭湖风景名胜区/建设用地重点管控区/重点行业企业重点区域/高污染燃料禁燃区</w:t>
                  </w:r>
                </w:p>
              </w:tc>
            </w:tr>
            <w:tr w14:paraId="52D2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793A6E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eastAsia="宋体" w:cs="Times New Roman"/>
                      <w:kern w:val="0"/>
                      <w:sz w:val="21"/>
                      <w:szCs w:val="21"/>
                      <w:u w:val="single" w:color="auto"/>
                      <w:lang w:val="en-US" w:eastAsia="zh-CN"/>
                    </w:rPr>
                    <w:t>管控维度</w:t>
                  </w:r>
                </w:p>
              </w:tc>
              <w:tc>
                <w:tcPr>
                  <w:tcW w:w="37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F720906">
                  <w:pPr>
                    <w:keepNext w:val="0"/>
                    <w:keepLines w:val="0"/>
                    <w:pageBreakBefore w:val="0"/>
                    <w:widowControl w:val="0"/>
                    <w:kinsoku/>
                    <w:wordWrap/>
                    <w:overflowPunct/>
                    <w:topLinePunct w:val="0"/>
                    <w:autoSpaceDE w:val="0"/>
                    <w:autoSpaceDN w:val="0"/>
                    <w:bidi w:val="0"/>
                    <w:adjustRightInd w:val="0"/>
                    <w:snapToGrid w:val="0"/>
                    <w:spacing w:before="60" w:after="60" w:line="240" w:lineRule="auto"/>
                    <w:ind w:firstLine="420" w:firstLineChars="20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eastAsia="宋体" w:cs="Times New Roman"/>
                      <w:kern w:val="0"/>
                      <w:sz w:val="21"/>
                      <w:szCs w:val="21"/>
                      <w:u w:val="single" w:color="auto"/>
                      <w:lang w:val="en-US" w:eastAsia="zh-CN"/>
                    </w:rPr>
                    <w:t>管控要求</w:t>
                  </w:r>
                </w:p>
              </w:tc>
              <w:tc>
                <w:tcPr>
                  <w:tcW w:w="20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7D1DC6">
                  <w:pPr>
                    <w:keepNext w:val="0"/>
                    <w:keepLines w:val="0"/>
                    <w:pageBreakBefore w:val="0"/>
                    <w:widowControl w:val="0"/>
                    <w:kinsoku/>
                    <w:wordWrap/>
                    <w:overflowPunct/>
                    <w:topLinePunct w:val="0"/>
                    <w:autoSpaceDE w:val="0"/>
                    <w:autoSpaceDN w:val="0"/>
                    <w:bidi w:val="0"/>
                    <w:adjustRightInd w:val="0"/>
                    <w:snapToGrid w:val="0"/>
                    <w:spacing w:before="60" w:after="60" w:line="240" w:lineRule="auto"/>
                    <w:ind w:firstLine="420" w:firstLineChars="200"/>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eastAsia="宋体" w:cs="Times New Roman"/>
                      <w:kern w:val="0"/>
                      <w:sz w:val="21"/>
                      <w:szCs w:val="21"/>
                      <w:u w:val="single" w:color="auto"/>
                      <w:lang w:val="en-US" w:eastAsia="zh-CN"/>
                    </w:rPr>
                    <w:t>本项目情况</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15EF580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color="auto"/>
                      <w:lang w:val="en-US" w:eastAsia="zh-CN"/>
                    </w:rPr>
                  </w:pPr>
                  <w:r>
                    <w:rPr>
                      <w:rFonts w:hint="default" w:ascii="Times New Roman" w:hAnsi="Times New Roman" w:eastAsia="宋体" w:cs="Times New Roman"/>
                      <w:kern w:val="0"/>
                      <w:sz w:val="21"/>
                      <w:szCs w:val="21"/>
                      <w:u w:val="single" w:color="auto"/>
                      <w:lang w:val="en-US" w:eastAsia="zh-CN"/>
                    </w:rPr>
                    <w:t>是否符合</w:t>
                  </w:r>
                </w:p>
              </w:tc>
            </w:tr>
            <w:tr w14:paraId="03BE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3227112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空间布局约束</w:t>
                  </w:r>
                </w:p>
              </w:tc>
              <w:tc>
                <w:tcPr>
                  <w:tcW w:w="37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A0A1CA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（1.2）严格落实河长制、湖长制，实施好长江十年禁渔。</w:t>
                  </w:r>
                </w:p>
                <w:p w14:paraId="39F69BA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1.3）禁止投肥（粪）投饵养殖的范围为全区范围（不含经济技术开发区、南湖新区）内所有天然湖泊和小Ⅱ型以上水库。严禁在全区天然水域内进行投肥（化肥、生物有机肥等）、投粪（生活垃圾、各类畜禽养殖废弃物、沼气池废液废渣等）、投饵等污染水体的行为，严禁进行违法围网、网箱和珍珠养殖。</w:t>
                  </w:r>
                </w:p>
              </w:tc>
              <w:tc>
                <w:tcPr>
                  <w:tcW w:w="20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CF9249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本项目属于综合医院</w:t>
                  </w:r>
                  <w:r>
                    <w:rPr>
                      <w:rFonts w:hint="default" w:ascii="Times New Roman" w:hAnsi="Times New Roman" w:cs="Times New Roman"/>
                      <w:kern w:val="0"/>
                      <w:sz w:val="21"/>
                      <w:szCs w:val="21"/>
                      <w:u w:val="single"/>
                      <w:lang w:val="en-US" w:eastAsia="zh-CN"/>
                    </w:rPr>
                    <w:t>项目</w:t>
                  </w:r>
                  <w:r>
                    <w:rPr>
                      <w:rFonts w:hint="default" w:ascii="Times New Roman" w:hAnsi="Times New Roman" w:eastAsia="宋体" w:cs="Times New Roman"/>
                      <w:kern w:val="0"/>
                      <w:sz w:val="21"/>
                      <w:szCs w:val="21"/>
                      <w:u w:val="single"/>
                      <w:lang w:val="en-US" w:eastAsia="zh-CN"/>
                    </w:rPr>
                    <w:t>，不</w:t>
                  </w:r>
                  <w:r>
                    <w:rPr>
                      <w:rFonts w:hint="default" w:ascii="Times New Roman" w:hAnsi="Times New Roman" w:cs="Times New Roman"/>
                      <w:kern w:val="0"/>
                      <w:sz w:val="21"/>
                      <w:szCs w:val="21"/>
                      <w:u w:val="single"/>
                      <w:lang w:val="en-US" w:eastAsia="zh-CN"/>
                    </w:rPr>
                    <w:t>涉及渔业，不会直接在天然水域排污</w:t>
                  </w:r>
                  <w:r>
                    <w:rPr>
                      <w:rFonts w:hint="default" w:ascii="Times New Roman" w:hAnsi="Times New Roman" w:eastAsia="宋体" w:cs="Times New Roman"/>
                      <w:kern w:val="0"/>
                      <w:sz w:val="21"/>
                      <w:szCs w:val="21"/>
                      <w:u w:val="single"/>
                      <w:lang w:val="en-US" w:eastAsia="zh-CN"/>
                    </w:rPr>
                    <w:t>。</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3B40794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是</w:t>
                  </w:r>
                </w:p>
              </w:tc>
            </w:tr>
            <w:tr w14:paraId="36DA1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67049D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污染物排放管控</w:t>
                  </w:r>
                </w:p>
              </w:tc>
              <w:tc>
                <w:tcPr>
                  <w:tcW w:w="37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4D2441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（2.1）废气：聚焦臭氧前体物VOCs和氮氧化物，加快推进含VOCs原辅材料源头替代，实施清洁能源替代，强化石化</w:t>
                  </w:r>
                  <w:r>
                    <w:rPr>
                      <w:rFonts w:hint="default" w:ascii="Times New Roman" w:hAnsi="Times New Roman" w:cs="Times New Roman"/>
                      <w:kern w:val="0"/>
                      <w:sz w:val="21"/>
                      <w:szCs w:val="21"/>
                      <w:u w:val="single"/>
                      <w:lang w:val="en-US" w:eastAsia="zh-CN"/>
                    </w:rPr>
                    <w:t>、</w:t>
                  </w:r>
                  <w:r>
                    <w:rPr>
                      <w:rFonts w:hint="default" w:ascii="Times New Roman" w:hAnsi="Times New Roman" w:eastAsia="宋体" w:cs="Times New Roman"/>
                      <w:kern w:val="0"/>
                      <w:sz w:val="21"/>
                      <w:szCs w:val="21"/>
                      <w:u w:val="single"/>
                      <w:lang w:val="en-US" w:eastAsia="zh-CN"/>
                    </w:rPr>
                    <w:t>化工、工业涂装、包装印刷等重点行业及油品储运销VOCs深度治理。</w:t>
                  </w:r>
                </w:p>
                <w:p w14:paraId="762834C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2.2）废水：加快城镇水环境治理设施建设，在城市及乡镇污水处理设施全覆盖的基础上，加速城市老旧管网改造，实施雨污分流，提高生活污水集中收集率；加强农村生活污水治理，加快建设农村污水处理设施，提升农村污水处理率；强化渔业养殖尾水治理，做到养殖尾水资源化利用或达标排放。</w:t>
                  </w:r>
                </w:p>
                <w:p w14:paraId="6462A78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（2.3）固体废物：推进农村生活垃圾源头分类收集、减量化。推进强化危险废物监管和利用处置能力改革，逐步建立“源头严防、过程严管、后果严惩”危险废物监管体系。</w:t>
                  </w:r>
                </w:p>
              </w:tc>
              <w:tc>
                <w:tcPr>
                  <w:tcW w:w="20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6700D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本项目属于综合医院项目</w:t>
                  </w:r>
                  <w:r>
                    <w:rPr>
                      <w:rFonts w:hint="default" w:ascii="Times New Roman" w:hAnsi="Times New Roman" w:cs="Times New Roman"/>
                      <w:kern w:val="0"/>
                      <w:sz w:val="21"/>
                      <w:szCs w:val="21"/>
                      <w:u w:val="single"/>
                      <w:lang w:val="en-US" w:eastAsia="zh-CN"/>
                    </w:rPr>
                    <w:t>，不属于石化、涂装、印刷等生产工业</w:t>
                  </w:r>
                  <w:r>
                    <w:rPr>
                      <w:rFonts w:hint="default" w:ascii="Times New Roman" w:hAnsi="Times New Roman" w:eastAsia="宋体" w:cs="Times New Roman"/>
                      <w:kern w:val="0"/>
                      <w:sz w:val="21"/>
                      <w:szCs w:val="21"/>
                      <w:u w:val="single"/>
                      <w:lang w:val="en-US" w:eastAsia="zh-CN"/>
                    </w:rPr>
                    <w:t>；办公楼生活污水</w:t>
                  </w:r>
                  <w:r>
                    <w:rPr>
                      <w:rFonts w:hint="eastAsia" w:cs="Times New Roman"/>
                      <w:kern w:val="0"/>
                      <w:sz w:val="21"/>
                      <w:szCs w:val="21"/>
                      <w:u w:val="single"/>
                      <w:lang w:val="en-US" w:eastAsia="zh-CN"/>
                    </w:rPr>
                    <w:t>、食堂废水</w:t>
                  </w:r>
                  <w:r>
                    <w:rPr>
                      <w:rFonts w:hint="default" w:ascii="Times New Roman" w:hAnsi="Times New Roman" w:eastAsia="宋体" w:cs="Times New Roman"/>
                      <w:kern w:val="0"/>
                      <w:sz w:val="21"/>
                      <w:szCs w:val="21"/>
                      <w:u w:val="single"/>
                      <w:lang w:val="en-US" w:eastAsia="zh-CN"/>
                    </w:rPr>
                    <w:t>和传染病科废水分别经化粪池（现有）</w:t>
                  </w:r>
                  <w:r>
                    <w:rPr>
                      <w:rFonts w:hint="eastAsia" w:cs="Times New Roman"/>
                      <w:kern w:val="0"/>
                      <w:sz w:val="21"/>
                      <w:szCs w:val="21"/>
                      <w:u w:val="single"/>
                      <w:lang w:val="en-US" w:eastAsia="zh-CN"/>
                    </w:rPr>
                    <w:t>、隔油池（现有）</w:t>
                  </w:r>
                  <w:r>
                    <w:rPr>
                      <w:rFonts w:hint="default" w:ascii="Times New Roman" w:hAnsi="Times New Roman" w:eastAsia="宋体" w:cs="Times New Roman"/>
                      <w:kern w:val="0"/>
                      <w:sz w:val="21"/>
                      <w:szCs w:val="21"/>
                      <w:u w:val="single"/>
                      <w:lang w:val="en-US" w:eastAsia="zh-CN"/>
                    </w:rPr>
                    <w:t>和传染科废水预系统（现有）预处理后与其他医疗废水一同进入</w:t>
                  </w:r>
                  <w:r>
                    <w:rPr>
                      <w:rFonts w:hint="eastAsia" w:cs="Times New Roman"/>
                      <w:kern w:val="0"/>
                      <w:sz w:val="21"/>
                      <w:szCs w:val="21"/>
                      <w:u w:val="single"/>
                      <w:lang w:val="en-US" w:eastAsia="zh-CN"/>
                    </w:rPr>
                    <w:t>综合</w:t>
                  </w:r>
                  <w:r>
                    <w:rPr>
                      <w:rFonts w:hint="default" w:ascii="Times New Roman" w:hAnsi="Times New Roman" w:eastAsia="宋体" w:cs="Times New Roman"/>
                      <w:kern w:val="0"/>
                      <w:sz w:val="21"/>
                      <w:szCs w:val="21"/>
                      <w:u w:val="single"/>
                      <w:lang w:val="en-US" w:eastAsia="zh-CN"/>
                    </w:rPr>
                    <w:t>污水处理站（现有）处理达《医疗机构水污染物排放标准》预处理标</w:t>
                  </w:r>
                  <w:r>
                    <w:rPr>
                      <w:rFonts w:hint="default" w:ascii="Times New Roman" w:hAnsi="Times New Roman" w:eastAsia="宋体" w:cs="Times New Roman"/>
                      <w:color w:val="auto"/>
                      <w:kern w:val="0"/>
                      <w:sz w:val="21"/>
                      <w:szCs w:val="21"/>
                      <w:u w:val="single"/>
                      <w:lang w:val="en-US" w:eastAsia="zh-CN"/>
                    </w:rPr>
                    <w:t>准与南津港污水处理厂接管标准之中严值后排放至市政污水管网，进入</w:t>
                  </w:r>
                  <w:r>
                    <w:rPr>
                      <w:rFonts w:hint="default" w:ascii="Times New Roman" w:hAnsi="Times New Roman" w:cs="Times New Roman"/>
                      <w:color w:val="auto"/>
                      <w:kern w:val="0"/>
                      <w:sz w:val="21"/>
                      <w:szCs w:val="21"/>
                      <w:u w:val="single"/>
                      <w:lang w:val="en-US" w:eastAsia="zh-CN"/>
                    </w:rPr>
                    <w:t>南津港</w:t>
                  </w:r>
                  <w:r>
                    <w:rPr>
                      <w:rFonts w:hint="default" w:ascii="Times New Roman" w:hAnsi="Times New Roman" w:cs="Times New Roman"/>
                      <w:kern w:val="0"/>
                      <w:sz w:val="21"/>
                      <w:szCs w:val="21"/>
                      <w:u w:val="single"/>
                      <w:lang w:val="en-US" w:eastAsia="zh-CN"/>
                    </w:rPr>
                    <w:t>污水处理厂深度</w:t>
                  </w:r>
                  <w:r>
                    <w:rPr>
                      <w:rFonts w:hint="default" w:ascii="Times New Roman" w:hAnsi="Times New Roman" w:eastAsia="宋体" w:cs="Times New Roman"/>
                      <w:kern w:val="0"/>
                      <w:sz w:val="21"/>
                      <w:szCs w:val="21"/>
                      <w:u w:val="single"/>
                      <w:lang w:val="en-US" w:eastAsia="zh-CN"/>
                    </w:rPr>
                    <w:t>处理</w:t>
                  </w:r>
                  <w:r>
                    <w:rPr>
                      <w:rFonts w:hint="default" w:ascii="Times New Roman" w:hAnsi="Times New Roman" w:cs="Times New Roman"/>
                      <w:kern w:val="0"/>
                      <w:sz w:val="21"/>
                      <w:szCs w:val="21"/>
                      <w:u w:val="single"/>
                      <w:lang w:val="en-US" w:eastAsia="zh-CN"/>
                    </w:rPr>
                    <w:t>后排入东洞庭湖；项目垃圾分类收集，生活垃圾由环卫部门清运，医疗废物、危险废物委托资质机构无害化处理</w:t>
                  </w:r>
                  <w:r>
                    <w:rPr>
                      <w:rFonts w:hint="default" w:ascii="Times New Roman" w:hAnsi="Times New Roman" w:eastAsia="宋体" w:cs="Times New Roman"/>
                      <w:kern w:val="0"/>
                      <w:sz w:val="21"/>
                      <w:szCs w:val="21"/>
                      <w:u w:val="single"/>
                      <w:lang w:val="en-US" w:eastAsia="zh-CN"/>
                    </w:rPr>
                    <w:t>。</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601DFCA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是</w:t>
                  </w:r>
                </w:p>
              </w:tc>
            </w:tr>
            <w:tr w14:paraId="1A2C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654A38E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环境风险防控</w:t>
                  </w:r>
                </w:p>
              </w:tc>
              <w:tc>
                <w:tcPr>
                  <w:tcW w:w="37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669399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3.2）有效管控建设用地土壤污染风险。严格土壤污染重点监管单位和沿江化工企业搬迁腾退用地土壤污染风险管控。以用途变更为“一住两公”的地块为重点，依法开展土壤污染状况调查和风险评估。对纳入建设用地土壤污染风险管控和修复名录内的地块，移出名录前，不得核发建设工程规划许可证。从严管控农药、化工等行业中重度污染地块规划用途，确需开发利用的，鼓励用于拓展生态空间。对列入优先监管清单的地块，开展土壤污染调查和风险评估，按要求采取风险防控措施。</w:t>
                  </w:r>
                </w:p>
              </w:tc>
              <w:tc>
                <w:tcPr>
                  <w:tcW w:w="20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B0E4BA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本项目搬迁至原岳阳市中心医院金鹗山院区已建院区进行建设，</w:t>
                  </w:r>
                  <w:r>
                    <w:rPr>
                      <w:rFonts w:hint="default" w:ascii="Times New Roman" w:hAnsi="Times New Roman" w:cs="Times New Roman"/>
                      <w:kern w:val="0"/>
                      <w:sz w:val="21"/>
                      <w:szCs w:val="21"/>
                      <w:u w:val="single"/>
                      <w:lang w:val="en-US" w:eastAsia="zh-CN"/>
                    </w:rPr>
                    <w:t>原有污水处理站已按要求做好地下水防渗工作，</w:t>
                  </w:r>
                  <w:r>
                    <w:rPr>
                      <w:rFonts w:hint="default" w:ascii="Times New Roman" w:hAnsi="Times New Roman" w:eastAsia="宋体" w:cs="Times New Roman"/>
                      <w:kern w:val="0"/>
                      <w:sz w:val="21"/>
                      <w:szCs w:val="21"/>
                      <w:u w:val="single"/>
                      <w:lang w:val="en-US" w:eastAsia="zh-CN"/>
                    </w:rPr>
                    <w:t>不涉及土壤污染风险。</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E8CD45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是</w:t>
                  </w:r>
                </w:p>
              </w:tc>
            </w:tr>
            <w:tr w14:paraId="2576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14:paraId="2E36041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资源开发效率要求</w:t>
                  </w:r>
                </w:p>
              </w:tc>
              <w:tc>
                <w:tcPr>
                  <w:tcW w:w="373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C81BDF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（4.1）水资源：2025年，岳阳楼区用水总量6.04亿立方米</w:t>
                  </w:r>
                  <w:r>
                    <w:rPr>
                      <w:rFonts w:hint="default" w:ascii="Times New Roman" w:hAnsi="Times New Roman" w:cs="Times New Roman"/>
                      <w:kern w:val="0"/>
                      <w:sz w:val="21"/>
                      <w:szCs w:val="21"/>
                      <w:u w:val="single"/>
                      <w:lang w:val="en-US" w:eastAsia="zh-CN"/>
                    </w:rPr>
                    <w:t>，</w:t>
                  </w:r>
                  <w:r>
                    <w:rPr>
                      <w:rFonts w:hint="default" w:ascii="Times New Roman" w:hAnsi="Times New Roman" w:eastAsia="宋体" w:cs="Times New Roman"/>
                      <w:kern w:val="0"/>
                      <w:sz w:val="21"/>
                      <w:szCs w:val="21"/>
                      <w:u w:val="single"/>
                      <w:lang w:val="en-US" w:eastAsia="zh-CN"/>
                    </w:rPr>
                    <w:t>万元地区生产总值用水量比2020年下降13.36%，万元工业增加值用水量比2020年下降4.25%。</w:t>
                  </w:r>
                </w:p>
                <w:p w14:paraId="2F619E6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（4.2）能源：能耗按照各区（岳阳楼区、经开区、新港区、南湖新区）总综合能源消费量除以各区GDP总和测算，“十四五”时期能耗强度降低基本目标 16%，激励目标16.5%。</w:t>
                  </w:r>
                </w:p>
                <w:p w14:paraId="6DF53FE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（4.3）土地资源：岳阳楼区耕地保有量 52.55平方千米，永久基本农田保护面积30.64平方千米。生态保护红线面积 7.05平方千米，城镇开发边界146.96平方千米</w:t>
                  </w:r>
                </w:p>
              </w:tc>
              <w:tc>
                <w:tcPr>
                  <w:tcW w:w="204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E6FCAA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both"/>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本项目</w:t>
                  </w:r>
                  <w:r>
                    <w:rPr>
                      <w:rFonts w:hint="default" w:ascii="Times New Roman" w:hAnsi="Times New Roman" w:cs="Times New Roman"/>
                      <w:kern w:val="0"/>
                      <w:sz w:val="21"/>
                      <w:szCs w:val="21"/>
                      <w:u w:val="single"/>
                      <w:lang w:val="en-US" w:eastAsia="zh-CN"/>
                    </w:rPr>
                    <w:t>不涉及工业用水，</w:t>
                  </w:r>
                  <w:r>
                    <w:rPr>
                      <w:rFonts w:hint="default" w:ascii="Times New Roman" w:hAnsi="Times New Roman" w:eastAsia="宋体" w:cs="Times New Roman"/>
                      <w:kern w:val="0"/>
                      <w:sz w:val="21"/>
                      <w:szCs w:val="21"/>
                      <w:u w:val="single"/>
                      <w:lang w:val="en-US" w:eastAsia="zh-CN"/>
                    </w:rPr>
                    <w:t>不属于高耗能项目</w:t>
                  </w:r>
                  <w:r>
                    <w:rPr>
                      <w:rFonts w:hint="default" w:ascii="Times New Roman" w:hAnsi="Times New Roman" w:cs="Times New Roman"/>
                      <w:kern w:val="0"/>
                      <w:sz w:val="21"/>
                      <w:szCs w:val="21"/>
                      <w:u w:val="single"/>
                      <w:lang w:val="en-US" w:eastAsia="zh-CN"/>
                    </w:rPr>
                    <w:t>；本项目搬迁至原岳阳市中心医院金鹗山院区已建院区进行建设，不涉及新增用地</w:t>
                  </w:r>
                  <w:r>
                    <w:rPr>
                      <w:rFonts w:hint="default" w:ascii="Times New Roman" w:hAnsi="Times New Roman" w:eastAsia="宋体" w:cs="Times New Roman"/>
                      <w:kern w:val="0"/>
                      <w:sz w:val="21"/>
                      <w:szCs w:val="21"/>
                      <w:u w:val="single"/>
                      <w:lang w:val="en-US" w:eastAsia="zh-CN"/>
                    </w:rPr>
                    <w:t>。</w:t>
                  </w:r>
                </w:p>
              </w:tc>
              <w:tc>
                <w:tcPr>
                  <w:tcW w:w="729" w:type="dxa"/>
                  <w:tcBorders>
                    <w:top w:val="single" w:color="auto" w:sz="4" w:space="0"/>
                    <w:left w:val="single" w:color="auto" w:sz="4" w:space="0"/>
                    <w:bottom w:val="single" w:color="auto" w:sz="4" w:space="0"/>
                    <w:right w:val="single" w:color="auto" w:sz="4" w:space="0"/>
                  </w:tcBorders>
                  <w:shd w:val="clear" w:color="auto" w:fill="auto"/>
                  <w:vAlign w:val="center"/>
                </w:tcPr>
                <w:p w14:paraId="779A848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lang w:val="en-US" w:eastAsia="zh-CN"/>
                    </w:rPr>
                  </w:pPr>
                  <w:r>
                    <w:rPr>
                      <w:rFonts w:hint="default" w:ascii="Times New Roman" w:hAnsi="Times New Roman" w:eastAsia="宋体" w:cs="Times New Roman"/>
                      <w:kern w:val="0"/>
                      <w:sz w:val="21"/>
                      <w:szCs w:val="21"/>
                      <w:u w:val="single"/>
                      <w:lang w:val="en-US" w:eastAsia="zh-CN"/>
                    </w:rPr>
                    <w:t>是</w:t>
                  </w:r>
                </w:p>
              </w:tc>
            </w:tr>
          </w:tbl>
          <w:p w14:paraId="3580E67C">
            <w:pPr>
              <w:autoSpaceDE w:val="0"/>
              <w:autoSpaceDN w:val="0"/>
              <w:adjustRightInd w:val="0"/>
              <w:snapToGrid w:val="0"/>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根据上述内容可知，本项目符合管控要求。</w:t>
            </w:r>
          </w:p>
          <w:p w14:paraId="3C3014CC">
            <w:pPr>
              <w:numPr>
                <w:ilvl w:val="0"/>
                <w:numId w:val="0"/>
              </w:numPr>
              <w:autoSpaceDE w:val="0"/>
              <w:autoSpaceDN w:val="0"/>
              <w:adjustRightInd w:val="0"/>
              <w:snapToGrid w:val="0"/>
              <w:spacing w:line="360" w:lineRule="auto"/>
              <w:jc w:val="left"/>
              <w:rPr>
                <w:rFonts w:hint="default" w:ascii="Times New Roman" w:hAnsi="Times New Roman" w:eastAsia="宋体" w:cs="Times New Roman"/>
                <w:b/>
                <w:bCs/>
                <w:kern w:val="0"/>
                <w:sz w:val="24"/>
                <w:szCs w:val="24"/>
                <w:u w:val="none"/>
                <w:lang w:val="en-US" w:eastAsia="zh-CN"/>
              </w:rPr>
            </w:pPr>
            <w:r>
              <w:rPr>
                <w:rFonts w:hint="default" w:ascii="Times New Roman" w:hAnsi="Times New Roman" w:cs="Times New Roman"/>
                <w:b/>
                <w:bCs/>
                <w:kern w:val="0"/>
                <w:sz w:val="24"/>
                <w:szCs w:val="24"/>
                <w:u w:val="none"/>
                <w:lang w:val="en-US" w:eastAsia="zh-CN"/>
              </w:rPr>
              <w:t>3、</w:t>
            </w:r>
            <w:r>
              <w:rPr>
                <w:rFonts w:hint="default" w:ascii="Times New Roman" w:hAnsi="Times New Roman" w:eastAsia="宋体" w:cs="Times New Roman"/>
                <w:b/>
                <w:bCs/>
                <w:kern w:val="0"/>
                <w:sz w:val="24"/>
                <w:szCs w:val="24"/>
                <w:u w:val="none"/>
                <w:lang w:val="en-US" w:eastAsia="zh-CN"/>
              </w:rPr>
              <w:t>与《医疗废物管理条例》（</w:t>
            </w:r>
            <w:r>
              <w:rPr>
                <w:rFonts w:hint="default" w:ascii="Times New Roman" w:hAnsi="Times New Roman" w:cs="Times New Roman"/>
                <w:b/>
                <w:bCs/>
                <w:kern w:val="0"/>
                <w:sz w:val="24"/>
                <w:szCs w:val="24"/>
                <w:u w:val="none"/>
                <w:lang w:val="en-US" w:eastAsia="zh-CN"/>
              </w:rPr>
              <w:t>2011年修订</w:t>
            </w:r>
            <w:r>
              <w:rPr>
                <w:rFonts w:hint="default" w:ascii="Times New Roman" w:hAnsi="Times New Roman" w:eastAsia="宋体" w:cs="Times New Roman"/>
                <w:b/>
                <w:bCs/>
                <w:kern w:val="0"/>
                <w:sz w:val="24"/>
                <w:szCs w:val="24"/>
                <w:u w:val="none"/>
                <w:lang w:val="en-US" w:eastAsia="zh-CN"/>
              </w:rPr>
              <w:t>）相符性分析</w:t>
            </w:r>
          </w:p>
          <w:p w14:paraId="237AE2D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kern w:val="0"/>
                <w:sz w:val="21"/>
                <w:szCs w:val="21"/>
                <w:u w:val="none"/>
                <w:lang w:val="en-US" w:eastAsia="zh-CN"/>
              </w:rPr>
            </w:pPr>
            <w:r>
              <w:rPr>
                <w:rFonts w:hint="default" w:ascii="Times New Roman" w:hAnsi="Times New Roman" w:eastAsia="宋体" w:cs="Times New Roman"/>
                <w:b/>
                <w:bCs/>
                <w:kern w:val="0"/>
                <w:sz w:val="21"/>
                <w:szCs w:val="21"/>
                <w:u w:val="none"/>
                <w:lang w:val="en-US" w:eastAsia="zh-CN"/>
              </w:rPr>
              <w:t>表1-</w:t>
            </w:r>
            <w:r>
              <w:rPr>
                <w:rFonts w:hint="eastAsia" w:eastAsia="宋体" w:cs="Times New Roman"/>
                <w:b/>
                <w:bCs/>
                <w:kern w:val="0"/>
                <w:sz w:val="21"/>
                <w:szCs w:val="21"/>
                <w:u w:val="none"/>
                <w:lang w:val="en-US" w:eastAsia="zh-CN"/>
              </w:rPr>
              <w:t>3</w:t>
            </w:r>
            <w:r>
              <w:rPr>
                <w:rFonts w:hint="default" w:ascii="Times New Roman" w:hAnsi="Times New Roman" w:eastAsia="宋体" w:cs="Times New Roman"/>
                <w:b/>
                <w:bCs/>
                <w:kern w:val="0"/>
                <w:sz w:val="21"/>
                <w:szCs w:val="21"/>
                <w:u w:val="none"/>
                <w:lang w:val="en-US" w:eastAsia="zh-CN"/>
              </w:rPr>
              <w:t xml:space="preserve"> 项目与《医疗废物管理条例》相符性</w:t>
            </w:r>
          </w:p>
          <w:tbl>
            <w:tblPr>
              <w:tblStyle w:val="25"/>
              <w:tblW w:w="7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8"/>
              <w:gridCol w:w="2926"/>
              <w:gridCol w:w="823"/>
            </w:tblGrid>
            <w:tr w14:paraId="4040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8" w:type="dxa"/>
                  <w:vAlign w:val="center"/>
                </w:tcPr>
                <w:p w14:paraId="4C2B6BC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《医疗废物管理条例》</w:t>
                  </w:r>
                </w:p>
              </w:tc>
              <w:tc>
                <w:tcPr>
                  <w:tcW w:w="2926" w:type="dxa"/>
                  <w:vAlign w:val="center"/>
                </w:tcPr>
                <w:p w14:paraId="5391B55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本项目</w:t>
                  </w:r>
                </w:p>
              </w:tc>
              <w:tc>
                <w:tcPr>
                  <w:tcW w:w="823" w:type="dxa"/>
                  <w:vAlign w:val="center"/>
                </w:tcPr>
                <w:p w14:paraId="7FBCF0B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是否相符</w:t>
                  </w:r>
                </w:p>
              </w:tc>
            </w:tr>
            <w:tr w14:paraId="5298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4" w:hRule="atLeast"/>
              </w:trPr>
              <w:tc>
                <w:tcPr>
                  <w:tcW w:w="3748" w:type="dxa"/>
                  <w:vAlign w:val="center"/>
                </w:tcPr>
                <w:p w14:paraId="1DFC7C9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第十六条</w:t>
                  </w:r>
                  <w:r>
                    <w:rPr>
                      <w:rFonts w:hint="default"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医疗卫生机构应当及时收集本单位产生的医疗废物，并按照类别分置于防渗漏、防锐器穿透的专用包装物或者密闭的容器内。医疗废物专用包装物、容器，应当有明显的警示标识和警示说明。医疗废物专用包装物、容器的标准和警示标识的规定，由国务院卫生行政主管部门和环境保护行政主管部门共同制定。</w:t>
                  </w:r>
                </w:p>
              </w:tc>
              <w:tc>
                <w:tcPr>
                  <w:tcW w:w="2926" w:type="dxa"/>
                  <w:vAlign w:val="center"/>
                </w:tcPr>
                <w:p w14:paraId="110D9C6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本项目设置医疗废物暂存间，并确保能够防渗漏、防锐器穿透，且按照国务院卫生行政主管部门和环境保护行政主管部门要求，设置明显的警示标识和警示说明。</w:t>
                  </w:r>
                </w:p>
              </w:tc>
              <w:tc>
                <w:tcPr>
                  <w:tcW w:w="823" w:type="dxa"/>
                  <w:vAlign w:val="center"/>
                </w:tcPr>
                <w:p w14:paraId="2AC4AEA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484E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8" w:type="dxa"/>
                  <w:vAlign w:val="center"/>
                </w:tcPr>
                <w:p w14:paraId="30F84AB7">
                  <w:pPr>
                    <w:keepNext w:val="0"/>
                    <w:keepLines w:val="0"/>
                    <w:pageBreakBefore w:val="0"/>
                    <w:widowControl w:val="0"/>
                    <w:numPr>
                      <w:ilvl w:val="0"/>
                      <w:numId w:val="2"/>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医疗卫生机构应当建立医疗废物的暂时贮存设施、设备，不得露天存放医疗废物；医疗废物暂时贮存的时间不得超过2天。医疗废物的暂时贮存设施、设备，应当远离医疗区、食品加工区并设置明显的警示标识和防渗漏、防鼠、防蚊蝇、防蟑螂、防盗以及预防儿童接触等安全措施。医疗废物的暂时贮存设施、设备应当定期消毒和清洁</w:t>
                  </w:r>
                </w:p>
              </w:tc>
              <w:tc>
                <w:tcPr>
                  <w:tcW w:w="2926" w:type="dxa"/>
                  <w:vAlign w:val="center"/>
                </w:tcPr>
                <w:p w14:paraId="14393187">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项目设置医疗废物暂存间，为密闭建筑，医疗废物日产日清，暂存时间不超过2天。暂存场所远离医疗区、食品加工区和人员活动区以及生活垃圾存放场所，外部设有明显的警示标识，地面采取防渗、硬化地面。医疗废物的暂时贮存场所拟每天进行一次消毒和清洁。</w:t>
                  </w:r>
                </w:p>
              </w:tc>
              <w:tc>
                <w:tcPr>
                  <w:tcW w:w="823" w:type="dxa"/>
                  <w:vAlign w:val="center"/>
                </w:tcPr>
                <w:p w14:paraId="0F4AAE7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6D76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8" w:type="dxa"/>
                  <w:vAlign w:val="center"/>
                </w:tcPr>
                <w:p w14:paraId="05C1D88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第十八条 医疗卫生机构应当使用防渗漏、防遗撒的专用运送工具，按照本单位确定的内部医疗废物运送时间、路线，将医疗废物收集、运送至暂时贮存地点。运送工具使用后应当在医疗卫生机构内指定的地点及时消毒和清洁</w:t>
                  </w:r>
                </w:p>
              </w:tc>
              <w:tc>
                <w:tcPr>
                  <w:tcW w:w="2926" w:type="dxa"/>
                  <w:vAlign w:val="center"/>
                </w:tcPr>
                <w:p w14:paraId="382D20F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本项目医疗废物由有资质单位处置</w:t>
                  </w:r>
                  <w:r>
                    <w:rPr>
                      <w:rFonts w:hint="eastAsia" w:eastAsia="宋体" w:cs="Times New Roman"/>
                      <w:sz w:val="21"/>
                      <w:szCs w:val="21"/>
                      <w:lang w:eastAsia="zh-CN"/>
                    </w:rPr>
                    <w:t>，</w:t>
                  </w:r>
                  <w:r>
                    <w:rPr>
                      <w:rFonts w:hint="default" w:ascii="Times New Roman" w:hAnsi="Times New Roman" w:eastAsia="宋体" w:cs="Times New Roman"/>
                      <w:sz w:val="21"/>
                      <w:szCs w:val="21"/>
                    </w:rPr>
                    <w:t>统一运输至处理场所，运输车辆及医疗废物周转箱由该单位统一消毒。</w:t>
                  </w:r>
                </w:p>
              </w:tc>
              <w:tc>
                <w:tcPr>
                  <w:tcW w:w="823" w:type="dxa"/>
                  <w:vAlign w:val="center"/>
                </w:tcPr>
                <w:p w14:paraId="3883BAEF">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480B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8" w:type="dxa"/>
                  <w:vAlign w:val="center"/>
                </w:tcPr>
                <w:p w14:paraId="04E3AD6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第十九条 医疗卫生机构应当根据就近集中处置的原则，及时将医疗废物交由医疗废物集中处置单位处置。医疗废物中病原体的培养基、标本和菌种、毒种保存液等高危险废物，在交医疗废物集中处置单位处置前应当就地消毒</w:t>
                  </w:r>
                </w:p>
              </w:tc>
              <w:tc>
                <w:tcPr>
                  <w:tcW w:w="2926" w:type="dxa"/>
                  <w:vAlign w:val="center"/>
                </w:tcPr>
                <w:p w14:paraId="04F15C0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本项目医疗废物由有资质单位统一处理</w:t>
                  </w:r>
                  <w:r>
                    <w:rPr>
                      <w:rFonts w:hint="eastAsia" w:eastAsia="宋体" w:cs="Times New Roman"/>
                      <w:sz w:val="21"/>
                      <w:szCs w:val="21"/>
                      <w:lang w:eastAsia="zh-CN"/>
                    </w:rPr>
                    <w:t>；</w:t>
                  </w:r>
                  <w:r>
                    <w:rPr>
                      <w:rFonts w:hint="eastAsia" w:eastAsia="宋体" w:cs="Times New Roman"/>
                      <w:sz w:val="21"/>
                      <w:szCs w:val="21"/>
                      <w:lang w:val="en-US" w:eastAsia="zh-CN"/>
                    </w:rPr>
                    <w:t>本项目不产生病原体的培养基、标本和菌种、毒种保存液等高危险废物</w:t>
                  </w:r>
                </w:p>
              </w:tc>
              <w:tc>
                <w:tcPr>
                  <w:tcW w:w="823" w:type="dxa"/>
                  <w:vAlign w:val="center"/>
                </w:tcPr>
                <w:p w14:paraId="00BE2E1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5101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8" w:type="dxa"/>
                  <w:vAlign w:val="center"/>
                </w:tcPr>
                <w:p w14:paraId="1FC4CEB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第二十条 医疗卫生机构产生的污水、传染病病人或者疑似传染病病人的排泄物，应当按照国家规定严格消毒；达到国家规定的排放标准后，方可排入污水处理系统</w:t>
                  </w:r>
                </w:p>
              </w:tc>
              <w:tc>
                <w:tcPr>
                  <w:tcW w:w="2926" w:type="dxa"/>
                  <w:vAlign w:val="center"/>
                </w:tcPr>
                <w:p w14:paraId="65154AE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本项目</w:t>
                  </w:r>
                  <w:r>
                    <w:rPr>
                      <w:rFonts w:hint="default" w:ascii="Times New Roman" w:hAnsi="Times New Roman" w:cs="Times New Roman"/>
                      <w:sz w:val="21"/>
                      <w:szCs w:val="21"/>
                      <w:lang w:val="en-US" w:eastAsia="zh-CN"/>
                    </w:rPr>
                    <w:t>设有专门的传染病废水预处理系统，预处理达标后再排入医院的废水处理站</w:t>
                  </w:r>
                </w:p>
              </w:tc>
              <w:tc>
                <w:tcPr>
                  <w:tcW w:w="823" w:type="dxa"/>
                  <w:vAlign w:val="center"/>
                </w:tcPr>
                <w:p w14:paraId="6EFCFDA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0EDB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48" w:type="dxa"/>
                  <w:vAlign w:val="center"/>
                </w:tcPr>
                <w:p w14:paraId="115737E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第二十一条 不具备集中处置医疗废物条件的农村，医疗卫生机构应当按照县级人民政府卫生行政主管部门、环境保护行政主管部门的要求，自行就地处置其产生的医疗废物。</w:t>
                  </w:r>
                </w:p>
              </w:tc>
              <w:tc>
                <w:tcPr>
                  <w:tcW w:w="2926" w:type="dxa"/>
                  <w:vAlign w:val="center"/>
                </w:tcPr>
                <w:p w14:paraId="675E5A6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本项目处于</w:t>
                  </w:r>
                  <w:r>
                    <w:rPr>
                      <w:rFonts w:hint="default" w:ascii="Times New Roman" w:hAnsi="Times New Roman" w:cs="Times New Roman"/>
                      <w:sz w:val="21"/>
                      <w:szCs w:val="21"/>
                      <w:lang w:eastAsia="zh-CN"/>
                    </w:rPr>
                    <w:t>岳阳市南湖大道399号</w:t>
                  </w:r>
                  <w:r>
                    <w:rPr>
                      <w:rFonts w:hint="default" w:ascii="Times New Roman" w:hAnsi="Times New Roman" w:eastAsia="宋体" w:cs="Times New Roman"/>
                      <w:sz w:val="21"/>
                      <w:szCs w:val="21"/>
                    </w:rPr>
                    <w:t>，</w:t>
                  </w:r>
                  <w:r>
                    <w:rPr>
                      <w:rFonts w:hint="default" w:ascii="Times New Roman" w:hAnsi="Times New Roman" w:cs="Times New Roman"/>
                      <w:sz w:val="21"/>
                      <w:szCs w:val="21"/>
                      <w:lang w:val="en-US" w:eastAsia="zh-CN"/>
                    </w:rPr>
                    <w:t>项目设置医疗废物暂存间，医疗废物暂存后交由有资质单位统一处理</w:t>
                  </w:r>
                </w:p>
              </w:tc>
              <w:tc>
                <w:tcPr>
                  <w:tcW w:w="823" w:type="dxa"/>
                  <w:vAlign w:val="center"/>
                </w:tcPr>
                <w:p w14:paraId="128A741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相符</w:t>
                  </w:r>
                </w:p>
              </w:tc>
            </w:tr>
          </w:tbl>
          <w:p w14:paraId="29627A65">
            <w:pPr>
              <w:numPr>
                <w:ilvl w:val="0"/>
                <w:numId w:val="0"/>
              </w:numPr>
              <w:autoSpaceDE w:val="0"/>
              <w:autoSpaceDN w:val="0"/>
              <w:adjustRightInd w:val="0"/>
              <w:snapToGrid w:val="0"/>
              <w:spacing w:line="360" w:lineRule="auto"/>
              <w:jc w:val="left"/>
              <w:rPr>
                <w:rFonts w:hint="default" w:ascii="Times New Roman" w:hAnsi="Times New Roman" w:eastAsia="宋体" w:cs="Times New Roman"/>
                <w:b/>
                <w:bCs/>
                <w:sz w:val="24"/>
                <w:szCs w:val="24"/>
                <w:u w:val="none"/>
                <w:lang w:val="en-US" w:eastAsia="zh-CN"/>
              </w:rPr>
            </w:pPr>
            <w:r>
              <w:rPr>
                <w:rFonts w:hint="default" w:ascii="Times New Roman" w:hAnsi="Times New Roman" w:cs="Times New Roman"/>
                <w:b/>
                <w:bCs/>
                <w:sz w:val="24"/>
                <w:szCs w:val="24"/>
                <w:u w:val="none"/>
                <w:lang w:val="en-US" w:eastAsia="zh-CN"/>
              </w:rPr>
              <w:t>4、与《医院污水处理工程技术规范》HJ2029-2013相符性分析</w:t>
            </w:r>
          </w:p>
          <w:p w14:paraId="3988EE0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cs="Times New Roman"/>
                <w:sz w:val="21"/>
                <w:szCs w:val="21"/>
                <w:u w:val="none"/>
                <w:lang w:val="en-US" w:eastAsia="zh-CN"/>
              </w:rPr>
            </w:pPr>
            <w:r>
              <w:rPr>
                <w:rFonts w:hint="default" w:ascii="Times New Roman" w:hAnsi="Times New Roman" w:cs="Times New Roman"/>
                <w:b/>
                <w:bCs/>
                <w:sz w:val="21"/>
                <w:szCs w:val="21"/>
                <w:u w:val="none"/>
                <w:lang w:val="en-US" w:eastAsia="zh-CN"/>
              </w:rPr>
              <w:t>表1-4 与《医院污水处理工程技术规范》相符性分析</w:t>
            </w:r>
          </w:p>
          <w:tbl>
            <w:tblPr>
              <w:tblStyle w:val="25"/>
              <w:tblW w:w="7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84"/>
              <w:gridCol w:w="3326"/>
              <w:gridCol w:w="679"/>
            </w:tblGrid>
            <w:tr w14:paraId="244D7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3CF0ACE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default" w:ascii="宋体" w:hAnsi="宋体" w:cs="宋体"/>
                      <w:sz w:val="21"/>
                      <w:szCs w:val="21"/>
                      <w:vertAlign w:val="baseline"/>
                      <w:lang w:val="en-US" w:eastAsia="zh-CN"/>
                    </w:rPr>
                  </w:pPr>
                  <w:r>
                    <w:rPr>
                      <w:rFonts w:hint="default" w:ascii="Times New Roman" w:hAnsi="Times New Roman" w:eastAsia="宋体" w:cs="Times New Roman"/>
                      <w:b/>
                      <w:bCs/>
                      <w:sz w:val="21"/>
                      <w:szCs w:val="21"/>
                      <w:lang w:val="en-US" w:eastAsia="zh-CN"/>
                    </w:rPr>
                    <w:t>《医院污水处理工程技术规范》</w:t>
                  </w:r>
                </w:p>
              </w:tc>
              <w:tc>
                <w:tcPr>
                  <w:tcW w:w="3326" w:type="dxa"/>
                  <w:vAlign w:val="center"/>
                </w:tcPr>
                <w:p w14:paraId="5FB62E2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eastAsia" w:ascii="宋体" w:hAnsi="宋体" w:eastAsia="宋体" w:cs="宋体"/>
                      <w:sz w:val="21"/>
                      <w:szCs w:val="21"/>
                      <w:vertAlign w:val="baseline"/>
                      <w:lang w:val="en-US" w:eastAsia="zh-CN"/>
                    </w:rPr>
                  </w:pPr>
                  <w:r>
                    <w:rPr>
                      <w:rFonts w:hint="default" w:ascii="Times New Roman" w:hAnsi="Times New Roman" w:eastAsia="宋体" w:cs="Times New Roman"/>
                      <w:b/>
                      <w:bCs/>
                      <w:sz w:val="21"/>
                      <w:szCs w:val="21"/>
                    </w:rPr>
                    <w:t>本项目</w:t>
                  </w:r>
                  <w:r>
                    <w:rPr>
                      <w:rFonts w:hint="eastAsia" w:cs="Times New Roman"/>
                      <w:b/>
                      <w:bCs/>
                      <w:sz w:val="21"/>
                      <w:szCs w:val="21"/>
                      <w:lang w:val="en-US" w:eastAsia="zh-CN"/>
                    </w:rPr>
                    <w:t>情况</w:t>
                  </w:r>
                </w:p>
              </w:tc>
              <w:tc>
                <w:tcPr>
                  <w:tcW w:w="679" w:type="dxa"/>
                  <w:vAlign w:val="center"/>
                </w:tcPr>
                <w:p w14:paraId="21E2A67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default" w:ascii="宋体" w:hAnsi="宋体" w:cs="宋体"/>
                      <w:sz w:val="21"/>
                      <w:szCs w:val="21"/>
                      <w:vertAlign w:val="baseline"/>
                      <w:lang w:val="en-US" w:eastAsia="zh-CN"/>
                    </w:rPr>
                  </w:pPr>
                  <w:r>
                    <w:rPr>
                      <w:rFonts w:hint="default" w:ascii="Times New Roman" w:hAnsi="Times New Roman" w:eastAsia="宋体" w:cs="Times New Roman"/>
                      <w:b/>
                      <w:bCs/>
                      <w:sz w:val="21"/>
                      <w:szCs w:val="21"/>
                    </w:rPr>
                    <w:t>是否相符</w:t>
                  </w:r>
                </w:p>
              </w:tc>
            </w:tr>
            <w:tr w14:paraId="07C01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9" w:type="dxa"/>
                  <w:gridSpan w:val="3"/>
                  <w:vAlign w:val="center"/>
                </w:tcPr>
                <w:p w14:paraId="7D661FA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eastAsia" w:ascii="Times New Roman" w:hAnsi="Times New Roman" w:eastAsia="宋体" w:cs="Times New Roman"/>
                      <w:b w:val="0"/>
                      <w:bCs w:val="0"/>
                      <w:sz w:val="21"/>
                      <w:szCs w:val="21"/>
                      <w:lang w:val="en-US" w:eastAsia="zh-CN"/>
                    </w:rPr>
                  </w:pPr>
                  <w:r>
                    <w:rPr>
                      <w:rFonts w:hint="eastAsia" w:ascii="Times New Roman" w:hAnsi="Times New Roman" w:eastAsia="宋体" w:cs="Times New Roman"/>
                      <w:b w:val="0"/>
                      <w:bCs w:val="0"/>
                      <w:sz w:val="21"/>
                      <w:szCs w:val="21"/>
                      <w:lang w:val="en-US" w:eastAsia="zh-CN"/>
                    </w:rPr>
                    <w:t>总体要求</w:t>
                  </w:r>
                </w:p>
              </w:tc>
            </w:tr>
            <w:tr w14:paraId="6BAE6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1B31870F">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color w:val="auto"/>
                      <w:sz w:val="21"/>
                      <w:szCs w:val="21"/>
                      <w:vertAlign w:val="baseline"/>
                      <w:lang w:val="en-US" w:eastAsia="zh-CN"/>
                    </w:rPr>
                  </w:pPr>
                  <w:r>
                    <w:rPr>
                      <w:rFonts w:hint="eastAsia" w:ascii="Times New Roman" w:hAnsi="Times New Roman" w:eastAsia="宋体" w:cs="Times New Roman"/>
                      <w:color w:val="auto"/>
                      <w:sz w:val="21"/>
                      <w:szCs w:val="21"/>
                      <w:lang w:val="en-US" w:eastAsia="zh-CN"/>
                    </w:rPr>
                    <w:t>5.2.2 主体工程主要包括医院污水处理系统、污泥处理系统、废气处理系统等。医院污水处理系统主要包括预处理、一级处理、二级处理、深度处理和消毒处理等单元。</w:t>
                  </w:r>
                </w:p>
              </w:tc>
              <w:tc>
                <w:tcPr>
                  <w:tcW w:w="3326" w:type="dxa"/>
                  <w:vAlign w:val="center"/>
                </w:tcPr>
                <w:p w14:paraId="7434206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eastAsia="宋体" w:cs="宋体"/>
                      <w:color w:val="auto"/>
                      <w:sz w:val="21"/>
                      <w:szCs w:val="21"/>
                      <w:vertAlign w:val="baseline"/>
                      <w:lang w:val="en-US" w:eastAsia="zh-CN"/>
                    </w:rPr>
                  </w:pPr>
                  <w:r>
                    <w:rPr>
                      <w:rFonts w:hint="default" w:ascii="Times New Roman" w:hAnsi="Times New Roman" w:eastAsia="宋体" w:cs="Times New Roman"/>
                      <w:color w:val="auto"/>
                      <w:sz w:val="21"/>
                      <w:szCs w:val="21"/>
                    </w:rPr>
                    <w:t>项目为搬迁项目，是利用原医院现有建筑进行建设，</w:t>
                  </w:r>
                  <w:r>
                    <w:rPr>
                      <w:rFonts w:hint="eastAsia" w:ascii="Times New Roman" w:hAnsi="Times New Roman" w:eastAsia="宋体" w:cs="Times New Roman"/>
                      <w:color w:val="auto"/>
                      <w:sz w:val="21"/>
                      <w:szCs w:val="21"/>
                      <w:lang w:val="en-US" w:eastAsia="zh-CN"/>
                    </w:rPr>
                    <w:t>利用原有</w:t>
                  </w:r>
                  <w:r>
                    <w:rPr>
                      <w:rFonts w:hint="default" w:ascii="Times New Roman" w:hAnsi="Times New Roman" w:eastAsia="宋体" w:cs="Times New Roman"/>
                      <w:color w:val="auto"/>
                      <w:sz w:val="21"/>
                      <w:szCs w:val="21"/>
                    </w:rPr>
                    <w:t>污水处理站</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该污水处理系统设有预处理（化粪池、传染病废水预处理系统、调节池、格栅）、二级处理（A/O工艺）和消毒处理（二氯异氰尿酸钠消毒）单元；</w:t>
                  </w:r>
                  <w:r>
                    <w:rPr>
                      <w:rFonts w:hint="eastAsia" w:cs="Times New Roman"/>
                      <w:color w:val="auto"/>
                      <w:sz w:val="21"/>
                      <w:szCs w:val="21"/>
                      <w:lang w:val="en-US" w:eastAsia="zh-CN"/>
                    </w:rPr>
                    <w:t>危废暂存间</w:t>
                  </w:r>
                  <w:r>
                    <w:rPr>
                      <w:rFonts w:hint="eastAsia" w:ascii="Times New Roman" w:hAnsi="Times New Roman" w:eastAsia="宋体" w:cs="Times New Roman"/>
                      <w:color w:val="auto"/>
                      <w:sz w:val="21"/>
                      <w:szCs w:val="21"/>
                      <w:lang w:val="en-US" w:eastAsia="zh-CN"/>
                    </w:rPr>
                    <w:t>设有污泥暂存</w:t>
                  </w:r>
                  <w:r>
                    <w:rPr>
                      <w:rFonts w:hint="eastAsia" w:cs="Times New Roman"/>
                      <w:color w:val="auto"/>
                      <w:sz w:val="21"/>
                      <w:szCs w:val="21"/>
                      <w:lang w:val="en-US" w:eastAsia="zh-CN"/>
                    </w:rPr>
                    <w:t>区</w:t>
                  </w:r>
                  <w:r>
                    <w:rPr>
                      <w:rFonts w:hint="eastAsia" w:ascii="Times New Roman" w:hAnsi="Times New Roman" w:eastAsia="宋体" w:cs="Times New Roman"/>
                      <w:color w:val="auto"/>
                      <w:sz w:val="21"/>
                      <w:szCs w:val="21"/>
                      <w:lang w:val="en-US" w:eastAsia="zh-CN"/>
                    </w:rPr>
                    <w:t>（污泥压滤委托专业机构进行，压滤后的污泥暂存于危废暂存间）和废气处理系统（</w:t>
                  </w:r>
                  <w:r>
                    <w:rPr>
                      <w:rFonts w:hint="eastAsia" w:cs="Times New Roman"/>
                      <w:color w:val="auto"/>
                      <w:sz w:val="21"/>
                      <w:szCs w:val="21"/>
                      <w:lang w:val="en-US" w:eastAsia="zh-CN"/>
                    </w:rPr>
                    <w:t>碱水喷淋+活性炭吸附处理</w:t>
                  </w:r>
                  <w:r>
                    <w:rPr>
                      <w:rFonts w:hint="eastAsia" w:ascii="Times New Roman" w:hAnsi="Times New Roman" w:eastAsia="宋体" w:cs="Times New Roman"/>
                      <w:color w:val="auto"/>
                      <w:sz w:val="21"/>
                      <w:szCs w:val="21"/>
                      <w:lang w:val="en-US" w:eastAsia="zh-CN"/>
                    </w:rPr>
                    <w:t>）</w:t>
                  </w:r>
                </w:p>
              </w:tc>
              <w:tc>
                <w:tcPr>
                  <w:tcW w:w="679" w:type="dxa"/>
                  <w:vAlign w:val="center"/>
                </w:tcPr>
                <w:p w14:paraId="42269003">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default" w:ascii="Times New Roman" w:hAnsi="Times New Roman" w:eastAsia="宋体" w:cs="Times New Roman"/>
                      <w:sz w:val="21"/>
                      <w:szCs w:val="21"/>
                    </w:rPr>
                    <w:t>相符</w:t>
                  </w:r>
                </w:p>
              </w:tc>
            </w:tr>
            <w:tr w14:paraId="3D6E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01EF6AB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 xml:space="preserve">5.3.1 </w:t>
                  </w:r>
                  <w:r>
                    <w:rPr>
                      <w:rFonts w:hint="default" w:ascii="Times New Roman" w:hAnsi="Times New Roman" w:eastAsia="宋体" w:cs="Times New Roman"/>
                      <w:color w:val="auto"/>
                      <w:sz w:val="21"/>
                      <w:szCs w:val="21"/>
                    </w:rPr>
                    <w:t>医院污水处理工程的选址及总平面布置应根据医院总体规划、污水排放口位置、环境卫生要求、风向、工程地质及维护管理和运输等因素来确定。</w:t>
                  </w:r>
                </w:p>
              </w:tc>
              <w:tc>
                <w:tcPr>
                  <w:tcW w:w="3326" w:type="dxa"/>
                  <w:vAlign w:val="center"/>
                </w:tcPr>
                <w:p w14:paraId="6504178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项目为搬迁项目，是利用原医院现有建筑进行建设，平面布局不发生变动，</w:t>
                  </w:r>
                  <w:r>
                    <w:rPr>
                      <w:rFonts w:hint="eastAsia" w:ascii="Times New Roman" w:hAnsi="Times New Roman" w:eastAsia="宋体" w:cs="Times New Roman"/>
                      <w:color w:val="auto"/>
                      <w:sz w:val="21"/>
                      <w:szCs w:val="21"/>
                      <w:lang w:val="en-US" w:eastAsia="zh-CN"/>
                    </w:rPr>
                    <w:t>原有</w:t>
                  </w:r>
                  <w:r>
                    <w:rPr>
                      <w:rFonts w:hint="default" w:ascii="Times New Roman" w:hAnsi="Times New Roman" w:eastAsia="宋体" w:cs="Times New Roman"/>
                      <w:color w:val="auto"/>
                      <w:sz w:val="21"/>
                      <w:szCs w:val="21"/>
                    </w:rPr>
                    <w:t>污水处理站位于项目的当地夏季主导风向的</w:t>
                  </w:r>
                  <w:r>
                    <w:rPr>
                      <w:rFonts w:hint="eastAsia" w:ascii="Times New Roman" w:hAnsi="Times New Roman" w:eastAsia="宋体" w:cs="Times New Roman"/>
                      <w:color w:val="auto"/>
                      <w:sz w:val="21"/>
                      <w:szCs w:val="21"/>
                      <w:lang w:val="en-US" w:eastAsia="zh-CN"/>
                    </w:rPr>
                    <w:t>下</w:t>
                  </w:r>
                  <w:r>
                    <w:rPr>
                      <w:rFonts w:hint="default" w:ascii="Times New Roman" w:hAnsi="Times New Roman" w:eastAsia="宋体" w:cs="Times New Roman"/>
                      <w:color w:val="auto"/>
                      <w:sz w:val="21"/>
                      <w:szCs w:val="21"/>
                    </w:rPr>
                    <w:t>风向，</w:t>
                  </w:r>
                  <w:r>
                    <w:rPr>
                      <w:rFonts w:hint="eastAsia" w:cs="Times New Roman"/>
                      <w:color w:val="auto"/>
                      <w:sz w:val="21"/>
                      <w:szCs w:val="21"/>
                      <w:lang w:val="en-US" w:eastAsia="zh-CN"/>
                    </w:rPr>
                    <w:t>根据岳阳市中心医院金鹗山院区的常规检测报告（附件10）以及</w:t>
                  </w:r>
                  <w:r>
                    <w:rPr>
                      <w:rFonts w:hint="eastAsia" w:ascii="Times New Roman" w:hAnsi="Times New Roman" w:eastAsia="宋体" w:cs="Times New Roman"/>
                      <w:color w:val="auto"/>
                      <w:sz w:val="21"/>
                      <w:szCs w:val="21"/>
                      <w:lang w:val="en-US" w:eastAsia="zh-CN"/>
                    </w:rPr>
                    <w:t>往年对该污水站的监测结果，本院污水处理设施</w:t>
                  </w:r>
                  <w:r>
                    <w:rPr>
                      <w:rFonts w:hint="eastAsia" w:cs="Times New Roman"/>
                      <w:color w:val="auto"/>
                      <w:sz w:val="21"/>
                      <w:szCs w:val="21"/>
                      <w:lang w:val="en-US" w:eastAsia="zh-CN"/>
                    </w:rPr>
                    <w:t>污染物达标排放</w:t>
                  </w:r>
                </w:p>
              </w:tc>
              <w:tc>
                <w:tcPr>
                  <w:tcW w:w="679" w:type="dxa"/>
                  <w:vAlign w:val="center"/>
                </w:tcPr>
                <w:p w14:paraId="0FB965F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相符</w:t>
                  </w:r>
                </w:p>
              </w:tc>
            </w:tr>
            <w:tr w14:paraId="1B6C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354D02D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eastAsia" w:ascii="Times New Roman" w:hAnsi="Times New Roman" w:eastAsia="宋体" w:cs="Times New Roman"/>
                      <w:sz w:val="21"/>
                      <w:szCs w:val="21"/>
                      <w:lang w:val="en-US" w:eastAsia="zh-CN"/>
                    </w:rPr>
                    <w:t xml:space="preserve">5.3.2 </w:t>
                  </w:r>
                  <w:r>
                    <w:rPr>
                      <w:rFonts w:hint="default" w:ascii="Times New Roman" w:hAnsi="Times New Roman" w:eastAsia="宋体" w:cs="Times New Roman"/>
                      <w:sz w:val="21"/>
                      <w:szCs w:val="21"/>
                    </w:rPr>
                    <w:t>医院污水处理构筑物的位置宜设在医院主体建筑物当地夏季主导风向的下风向。</w:t>
                  </w:r>
                </w:p>
              </w:tc>
              <w:tc>
                <w:tcPr>
                  <w:tcW w:w="3326" w:type="dxa"/>
                  <w:vAlign w:val="center"/>
                </w:tcPr>
                <w:p w14:paraId="5C66F5D7">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default" w:ascii="Times New Roman" w:hAnsi="Times New Roman" w:eastAsia="宋体" w:cs="Times New Roman"/>
                      <w:sz w:val="21"/>
                      <w:szCs w:val="21"/>
                    </w:rPr>
                    <w:t>项目为搬迁项目，是利用原医院现有建筑进行建设，平面布局不发生变</w:t>
                  </w:r>
                  <w:r>
                    <w:rPr>
                      <w:rFonts w:hint="default" w:ascii="Times New Roman" w:hAnsi="Times New Roman" w:eastAsia="宋体" w:cs="Times New Roman"/>
                      <w:color w:val="auto"/>
                      <w:sz w:val="21"/>
                      <w:szCs w:val="21"/>
                    </w:rPr>
                    <w:t>动，</w:t>
                  </w:r>
                  <w:r>
                    <w:rPr>
                      <w:rFonts w:hint="eastAsia" w:cs="Times New Roman"/>
                      <w:color w:val="auto"/>
                      <w:sz w:val="21"/>
                      <w:szCs w:val="21"/>
                      <w:lang w:val="en-US" w:eastAsia="zh-CN"/>
                    </w:rPr>
                    <w:t>岳阳市夏季主导风向为东南风，</w:t>
                  </w:r>
                  <w:r>
                    <w:rPr>
                      <w:rFonts w:hint="eastAsia" w:ascii="Times New Roman" w:hAnsi="Times New Roman" w:eastAsia="宋体" w:cs="Times New Roman"/>
                      <w:color w:val="auto"/>
                      <w:sz w:val="21"/>
                      <w:szCs w:val="21"/>
                      <w:lang w:val="en-US" w:eastAsia="zh-CN"/>
                    </w:rPr>
                    <w:t>原有</w:t>
                  </w:r>
                  <w:r>
                    <w:rPr>
                      <w:rFonts w:hint="default" w:ascii="Times New Roman" w:hAnsi="Times New Roman" w:eastAsia="宋体" w:cs="Times New Roman"/>
                      <w:color w:val="auto"/>
                      <w:sz w:val="21"/>
                      <w:szCs w:val="21"/>
                    </w:rPr>
                    <w:t>污水处理站位于项目的当地夏季主</w:t>
                  </w:r>
                  <w:r>
                    <w:rPr>
                      <w:rFonts w:hint="default" w:ascii="Times New Roman" w:hAnsi="Times New Roman" w:eastAsia="宋体" w:cs="Times New Roman"/>
                      <w:sz w:val="21"/>
                      <w:szCs w:val="21"/>
                    </w:rPr>
                    <w:t>导风向的</w:t>
                  </w:r>
                  <w:r>
                    <w:rPr>
                      <w:rFonts w:hint="eastAsia" w:ascii="Times New Roman" w:hAnsi="Times New Roman" w:eastAsia="宋体" w:cs="Times New Roman"/>
                      <w:sz w:val="21"/>
                      <w:szCs w:val="21"/>
                      <w:lang w:val="en-US" w:eastAsia="zh-CN"/>
                    </w:rPr>
                    <w:t>下</w:t>
                  </w:r>
                  <w:r>
                    <w:rPr>
                      <w:rFonts w:hint="default" w:ascii="Times New Roman" w:hAnsi="Times New Roman" w:eastAsia="宋体" w:cs="Times New Roman"/>
                      <w:sz w:val="21"/>
                      <w:szCs w:val="21"/>
                    </w:rPr>
                    <w:t>风向</w:t>
                  </w:r>
                </w:p>
              </w:tc>
              <w:tc>
                <w:tcPr>
                  <w:tcW w:w="679" w:type="dxa"/>
                  <w:vAlign w:val="center"/>
                </w:tcPr>
                <w:p w14:paraId="27585D6F">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default" w:ascii="Times New Roman" w:hAnsi="Times New Roman" w:eastAsia="宋体" w:cs="Times New Roman"/>
                      <w:sz w:val="21"/>
                      <w:szCs w:val="21"/>
                    </w:rPr>
                    <w:t>相符</w:t>
                  </w:r>
                </w:p>
              </w:tc>
            </w:tr>
            <w:tr w14:paraId="0F15F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5265288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eastAsia" w:ascii="Times New Roman" w:hAnsi="Times New Roman" w:eastAsia="宋体" w:cs="Times New Roman"/>
                      <w:sz w:val="21"/>
                      <w:szCs w:val="21"/>
                      <w:lang w:val="en-US" w:eastAsia="zh-CN"/>
                    </w:rPr>
                    <w:t xml:space="preserve">5.3.3 </w:t>
                  </w:r>
                  <w:r>
                    <w:rPr>
                      <w:rFonts w:hint="default" w:ascii="Times New Roman" w:hAnsi="Times New Roman" w:eastAsia="宋体" w:cs="Times New Roman"/>
                      <w:sz w:val="21"/>
                      <w:szCs w:val="21"/>
                    </w:rPr>
                    <w:t>在医院污水处理工程的设计中，应根据总体规划适当预留余地，以利扩建、施工、运行和维护</w:t>
                  </w:r>
                </w:p>
              </w:tc>
              <w:tc>
                <w:tcPr>
                  <w:tcW w:w="3326" w:type="dxa"/>
                  <w:vAlign w:val="center"/>
                </w:tcPr>
                <w:p w14:paraId="673458F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eastAsia="宋体" w:cs="宋体"/>
                      <w:sz w:val="21"/>
                      <w:szCs w:val="21"/>
                      <w:vertAlign w:val="baseline"/>
                      <w:lang w:val="en-US" w:eastAsia="zh-CN"/>
                    </w:rPr>
                  </w:pPr>
                  <w:r>
                    <w:rPr>
                      <w:rFonts w:hint="default" w:ascii="Times New Roman" w:hAnsi="Times New Roman" w:eastAsia="宋体" w:cs="Times New Roman"/>
                      <w:sz w:val="21"/>
                      <w:szCs w:val="21"/>
                    </w:rPr>
                    <w:t>本项目</w:t>
                  </w:r>
                  <w:r>
                    <w:rPr>
                      <w:rFonts w:hint="eastAsia" w:ascii="Times New Roman" w:hAnsi="Times New Roman" w:eastAsia="宋体" w:cs="Times New Roman"/>
                      <w:sz w:val="21"/>
                      <w:szCs w:val="21"/>
                      <w:lang w:val="en-US" w:eastAsia="zh-CN"/>
                    </w:rPr>
                    <w:t>利用</w:t>
                  </w:r>
                  <w:r>
                    <w:rPr>
                      <w:rFonts w:hint="eastAsia" w:cs="Times New Roman"/>
                      <w:sz w:val="21"/>
                      <w:szCs w:val="21"/>
                      <w:lang w:val="en-US" w:eastAsia="zh-CN"/>
                    </w:rPr>
                    <w:t>原有污水处理站</w:t>
                  </w:r>
                  <w:r>
                    <w:rPr>
                      <w:rFonts w:hint="eastAsia" w:cs="Times New Roman"/>
                      <w:sz w:val="21"/>
                      <w:szCs w:val="21"/>
                      <w:lang w:eastAsia="zh-CN"/>
                    </w:rPr>
                    <w:t>，</w:t>
                  </w:r>
                  <w:r>
                    <w:rPr>
                      <w:rFonts w:hint="eastAsia" w:cs="Times New Roman"/>
                      <w:sz w:val="21"/>
                      <w:szCs w:val="21"/>
                      <w:lang w:val="en-US" w:eastAsia="zh-CN"/>
                    </w:rPr>
                    <w:t>已适当留出了余地，利于扩建</w:t>
                  </w:r>
                  <w:r>
                    <w:rPr>
                      <w:rFonts w:hint="default" w:ascii="Times New Roman" w:hAnsi="Times New Roman" w:eastAsia="宋体" w:cs="Times New Roman"/>
                      <w:sz w:val="21"/>
                      <w:szCs w:val="21"/>
                    </w:rPr>
                    <w:t>、施工、运行和维护</w:t>
                  </w:r>
                </w:p>
              </w:tc>
              <w:tc>
                <w:tcPr>
                  <w:tcW w:w="679" w:type="dxa"/>
                  <w:vAlign w:val="center"/>
                </w:tcPr>
                <w:p w14:paraId="2F2B2BA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default" w:ascii="Times New Roman" w:hAnsi="Times New Roman" w:eastAsia="宋体" w:cs="Times New Roman"/>
                      <w:sz w:val="21"/>
                      <w:szCs w:val="21"/>
                    </w:rPr>
                    <w:t>相符</w:t>
                  </w:r>
                </w:p>
              </w:tc>
            </w:tr>
            <w:tr w14:paraId="79A3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2DA405E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eastAsia" w:ascii="Times New Roman" w:hAnsi="Times New Roman" w:eastAsia="宋体" w:cs="Times New Roman"/>
                      <w:sz w:val="21"/>
                      <w:szCs w:val="21"/>
                      <w:lang w:val="en-US" w:eastAsia="zh-CN"/>
                    </w:rPr>
                    <w:t xml:space="preserve">5.3.4 </w:t>
                  </w:r>
                  <w:r>
                    <w:rPr>
                      <w:rFonts w:hint="default" w:ascii="Times New Roman" w:hAnsi="Times New Roman" w:eastAsia="宋体" w:cs="Times New Roman"/>
                      <w:sz w:val="21"/>
                      <w:szCs w:val="21"/>
                    </w:rPr>
                    <w:t>医院污水处理工程应有便利的交通、运输和水电条件，便于污水排放和污泥贮运。</w:t>
                  </w:r>
                </w:p>
              </w:tc>
              <w:tc>
                <w:tcPr>
                  <w:tcW w:w="3326" w:type="dxa"/>
                  <w:vAlign w:val="center"/>
                </w:tcPr>
                <w:p w14:paraId="3DA412F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eastAsia="宋体" w:cs="宋体"/>
                      <w:sz w:val="21"/>
                      <w:szCs w:val="21"/>
                      <w:vertAlign w:val="baseline"/>
                      <w:lang w:val="en-US" w:eastAsia="zh-CN"/>
                    </w:rPr>
                  </w:pPr>
                  <w:r>
                    <w:rPr>
                      <w:rFonts w:hint="eastAsia" w:cs="Times New Roman"/>
                      <w:sz w:val="21"/>
                      <w:szCs w:val="21"/>
                      <w:lang w:val="en-US" w:eastAsia="zh-CN"/>
                    </w:rPr>
                    <w:t>本项目位于</w:t>
                  </w:r>
                  <w:r>
                    <w:rPr>
                      <w:rFonts w:hint="eastAsia" w:ascii="宋体" w:hAnsi="宋体" w:cs="宋体"/>
                      <w:sz w:val="21"/>
                      <w:szCs w:val="21"/>
                      <w:lang w:eastAsia="zh-CN"/>
                    </w:rPr>
                    <w:t>岳阳市南湖</w:t>
                  </w:r>
                  <w:r>
                    <w:rPr>
                      <w:rFonts w:hint="default" w:ascii="Times New Roman" w:hAnsi="Times New Roman" w:cs="Times New Roman"/>
                      <w:sz w:val="21"/>
                      <w:szCs w:val="21"/>
                      <w:lang w:eastAsia="zh-CN"/>
                    </w:rPr>
                    <w:t>大道399号，</w:t>
                  </w:r>
                  <w:r>
                    <w:rPr>
                      <w:rFonts w:hint="default" w:ascii="Times New Roman" w:hAnsi="Times New Roman" w:cs="Times New Roman"/>
                      <w:sz w:val="21"/>
                      <w:szCs w:val="21"/>
                      <w:lang w:val="en-US" w:eastAsia="zh-CN"/>
                    </w:rPr>
                    <w:t>交通便利且已通电通水</w:t>
                  </w:r>
                  <w:r>
                    <w:rPr>
                      <w:rFonts w:hint="eastAsia" w:ascii="宋体" w:hAnsi="宋体" w:cs="宋体"/>
                      <w:sz w:val="21"/>
                      <w:szCs w:val="21"/>
                      <w:lang w:val="en-US" w:eastAsia="zh-CN"/>
                    </w:rPr>
                    <w:t>，</w:t>
                  </w:r>
                  <w:r>
                    <w:rPr>
                      <w:rFonts w:hint="default" w:ascii="Times New Roman" w:hAnsi="Times New Roman" w:eastAsia="宋体" w:cs="Times New Roman"/>
                      <w:sz w:val="21"/>
                      <w:szCs w:val="21"/>
                    </w:rPr>
                    <w:t>便于污水排放和污泥贮运。</w:t>
                  </w:r>
                </w:p>
              </w:tc>
              <w:tc>
                <w:tcPr>
                  <w:tcW w:w="679" w:type="dxa"/>
                  <w:vAlign w:val="center"/>
                </w:tcPr>
                <w:p w14:paraId="3DEFD19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宋体" w:hAnsi="宋体" w:cs="宋体"/>
                      <w:sz w:val="21"/>
                      <w:szCs w:val="21"/>
                      <w:vertAlign w:val="baseline"/>
                      <w:lang w:val="en-US" w:eastAsia="zh-CN"/>
                    </w:rPr>
                  </w:pPr>
                  <w:r>
                    <w:rPr>
                      <w:rFonts w:hint="default" w:ascii="Times New Roman" w:hAnsi="Times New Roman" w:eastAsia="宋体" w:cs="Times New Roman"/>
                      <w:sz w:val="21"/>
                      <w:szCs w:val="21"/>
                    </w:rPr>
                    <w:t>相符</w:t>
                  </w:r>
                </w:p>
              </w:tc>
            </w:tr>
            <w:tr w14:paraId="37457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58B5562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5.3.5 传染病医院污水处理工程，其生产管理建筑物和生活设施宜集中布置，位置和朝向应力求合理，且应与污水处理构、建筑物严格隔离</w:t>
                  </w:r>
                </w:p>
              </w:tc>
              <w:tc>
                <w:tcPr>
                  <w:tcW w:w="3326" w:type="dxa"/>
                  <w:vAlign w:val="center"/>
                </w:tcPr>
                <w:p w14:paraId="6E0835B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项目为搬迁项目，是利用原医院现有建筑进行建设，平面布局不发生变动，传染病楼和传染病污水预处理系统均位于项目场区西侧，与其他构筑物有一定距离</w:t>
                  </w:r>
                </w:p>
              </w:tc>
              <w:tc>
                <w:tcPr>
                  <w:tcW w:w="679" w:type="dxa"/>
                  <w:vAlign w:val="center"/>
                </w:tcPr>
                <w:p w14:paraId="6E820663">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p>
              </w:tc>
            </w:tr>
            <w:tr w14:paraId="3AAF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566E59D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 xml:space="preserve">5.3.6 </w:t>
                  </w:r>
                  <w:r>
                    <w:rPr>
                      <w:rFonts w:hint="default" w:ascii="Times New Roman" w:hAnsi="Times New Roman" w:eastAsia="宋体" w:cs="Times New Roman"/>
                      <w:color w:val="auto"/>
                      <w:sz w:val="21"/>
                      <w:szCs w:val="21"/>
                    </w:rPr>
                    <w:t>医院污水处理工程与病房、居民区等建筑物之间应设绿化防护带或隔离带，以减少臭气和噪音对病人或居民的干扰</w:t>
                  </w:r>
                </w:p>
              </w:tc>
              <w:tc>
                <w:tcPr>
                  <w:tcW w:w="3326" w:type="dxa"/>
                  <w:vAlign w:val="center"/>
                </w:tcPr>
                <w:p w14:paraId="2924210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eastAsia="宋体" w:cs="Times New Roman"/>
                      <w:color w:val="auto"/>
                      <w:sz w:val="21"/>
                      <w:szCs w:val="21"/>
                    </w:rPr>
                    <w:t>项目为搬迁项目，是利用原医院现有建筑进行建设，平面布局不发生变动，</w:t>
                  </w:r>
                  <w:r>
                    <w:rPr>
                      <w:rFonts w:hint="default" w:ascii="Times New Roman" w:hAnsi="Times New Roman" w:eastAsia="宋体" w:cs="Times New Roman"/>
                      <w:color w:val="auto"/>
                      <w:sz w:val="21"/>
                      <w:szCs w:val="21"/>
                      <w:lang w:val="en-US" w:eastAsia="zh-CN"/>
                    </w:rPr>
                    <w:t>现有污水处理站与周边综合楼辅助用房之间有2-4m隔离间距</w:t>
                  </w:r>
                  <w:r>
                    <w:rPr>
                      <w:rFonts w:hint="default" w:ascii="Times New Roman" w:hAnsi="Times New Roman" w:cs="Times New Roman"/>
                      <w:color w:val="auto"/>
                      <w:sz w:val="21"/>
                      <w:szCs w:val="21"/>
                      <w:lang w:eastAsia="zh-CN"/>
                    </w:rPr>
                    <w:t>；</w:t>
                  </w:r>
                  <w:r>
                    <w:rPr>
                      <w:rFonts w:hint="default" w:ascii="Times New Roman" w:hAnsi="Times New Roman" w:cs="Times New Roman"/>
                      <w:color w:val="auto"/>
                      <w:sz w:val="21"/>
                      <w:szCs w:val="21"/>
                      <w:lang w:val="en-US" w:eastAsia="zh-CN"/>
                    </w:rPr>
                    <w:t>污水臭气收集进入碱水喷淋+活性炭吸附处理达标后引至综合楼楼顶排放（63m），根据岳阳市中心医院金鹗山院区的常规检测报告（附件10）可知项目污水站各项污染物达标排放，</w:t>
                  </w:r>
                  <w:r>
                    <w:rPr>
                      <w:rFonts w:hint="default" w:ascii="Times New Roman" w:hAnsi="Times New Roman" w:eastAsia="宋体" w:cs="Times New Roman"/>
                      <w:color w:val="auto"/>
                      <w:sz w:val="21"/>
                      <w:szCs w:val="21"/>
                    </w:rPr>
                    <w:t>臭气和噪音对病人或居民几乎无影响。</w:t>
                  </w:r>
                </w:p>
              </w:tc>
              <w:tc>
                <w:tcPr>
                  <w:tcW w:w="679" w:type="dxa"/>
                  <w:vAlign w:val="center"/>
                </w:tcPr>
                <w:p w14:paraId="6D80A4F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57C9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9" w:type="dxa"/>
                  <w:gridSpan w:val="3"/>
                  <w:vAlign w:val="center"/>
                </w:tcPr>
                <w:p w14:paraId="79C74CE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工艺流程</w:t>
                  </w:r>
                </w:p>
              </w:tc>
            </w:tr>
            <w:tr w14:paraId="7A58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18E6B3A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lang w:val="en-US" w:eastAsia="zh-CN"/>
                    </w:rPr>
                    <w:t xml:space="preserve">6.2.1 </w:t>
                  </w:r>
                  <w:r>
                    <w:rPr>
                      <w:rFonts w:hint="default" w:ascii="Times New Roman" w:hAnsi="Times New Roman" w:eastAsia="宋体" w:cs="Times New Roman"/>
                      <w:sz w:val="21"/>
                      <w:szCs w:val="21"/>
                    </w:rPr>
                    <w:t>应根据医院性质、规模和污水排放去向，兼顾各地情况，合理确定医院污水处理技术路线。</w:t>
                  </w:r>
                </w:p>
              </w:tc>
              <w:tc>
                <w:tcPr>
                  <w:tcW w:w="3326" w:type="dxa"/>
                  <w:vAlign w:val="center"/>
                </w:tcPr>
                <w:p w14:paraId="3C63389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000000" w:themeColor="text1"/>
                      <w:sz w:val="21"/>
                      <w:szCs w:val="21"/>
                    </w:rPr>
                    <w:t>项目为搬迁项目</w:t>
                  </w:r>
                  <w:r>
                    <w:rPr>
                      <w:rFonts w:hint="default" w:ascii="Times New Roman" w:hAnsi="Times New Roman" w:eastAsia="宋体" w:cs="Times New Roman"/>
                      <w:color w:val="000000" w:themeColor="text1"/>
                      <w:sz w:val="21"/>
                      <w:szCs w:val="21"/>
                      <w:lang w:eastAsia="zh-CN"/>
                    </w:rPr>
                    <w:t>，</w:t>
                  </w:r>
                  <w:r>
                    <w:rPr>
                      <w:rFonts w:hint="eastAsia" w:eastAsia="宋体" w:cs="Times New Roman"/>
                      <w:color w:val="000000" w:themeColor="text1"/>
                      <w:sz w:val="21"/>
                      <w:szCs w:val="21"/>
                      <w:lang w:val="en-US" w:eastAsia="zh-CN"/>
                    </w:rPr>
                    <w:t>利用</w:t>
                  </w:r>
                  <w:r>
                    <w:rPr>
                      <w:rFonts w:hint="default" w:ascii="Times New Roman" w:hAnsi="Times New Roman" w:cs="Times New Roman"/>
                      <w:color w:val="000000" w:themeColor="text1"/>
                      <w:sz w:val="21"/>
                      <w:szCs w:val="21"/>
                      <w:lang w:val="en-US" w:eastAsia="zh-CN"/>
                    </w:rPr>
                    <w:t>原有污水处理站，该污水站采用的</w:t>
                  </w:r>
                  <w:r>
                    <w:rPr>
                      <w:rFonts w:hint="default" w:ascii="Times New Roman" w:hAnsi="Times New Roman" w:eastAsia="宋体" w:cs="Times New Roman"/>
                      <w:color w:val="000000" w:themeColor="text1"/>
                      <w:sz w:val="21"/>
                      <w:szCs w:val="21"/>
                      <w:lang w:val="en-US" w:eastAsia="zh-CN"/>
                    </w:rPr>
                    <w:t>预处理（化粪池、传染病废水预处理系统、调节池、格栅）、二级处理（A/O工艺）和消毒处理（二氯异氰尿酸钠消毒）</w:t>
                  </w:r>
                  <w:r>
                    <w:rPr>
                      <w:rFonts w:hint="default" w:ascii="Times New Roman" w:hAnsi="Times New Roman" w:cs="Times New Roman"/>
                      <w:color w:val="000000" w:themeColor="text1"/>
                      <w:sz w:val="21"/>
                      <w:szCs w:val="21"/>
                      <w:lang w:val="en-US" w:eastAsia="zh-CN"/>
                    </w:rPr>
                    <w:t>工艺为《医院污水处理工程技术规范》中推荐采用的工艺，该污水站已完成验收并稳定运行（</w:t>
                  </w:r>
                  <w:r>
                    <w:rPr>
                      <w:rFonts w:hint="default" w:ascii="Times New Roman" w:hAnsi="Times New Roman" w:cs="Times New Roman"/>
                      <w:color w:val="auto"/>
                      <w:sz w:val="21"/>
                      <w:szCs w:val="21"/>
                      <w:lang w:val="en-US" w:eastAsia="zh-CN"/>
                    </w:rPr>
                    <w:t>附件10）</w:t>
                  </w:r>
                </w:p>
              </w:tc>
              <w:tc>
                <w:tcPr>
                  <w:tcW w:w="679" w:type="dxa"/>
                  <w:vAlign w:val="center"/>
                </w:tcPr>
                <w:p w14:paraId="3D674BD3">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1CBD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9" w:type="dxa"/>
                  <w:gridSpan w:val="3"/>
                  <w:vAlign w:val="center"/>
                </w:tcPr>
                <w:p w14:paraId="4B5C9AC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医院污水处理单元工艺设计技术要求</w:t>
                  </w:r>
                </w:p>
              </w:tc>
            </w:tr>
            <w:tr w14:paraId="0432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44DA90F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lang w:val="en-US" w:eastAsia="zh-CN"/>
                    </w:rPr>
                    <w:t>6.3.1 （2）</w:t>
                  </w:r>
                  <w:r>
                    <w:rPr>
                      <w:rFonts w:hint="default" w:ascii="Times New Roman" w:hAnsi="Times New Roman" w:eastAsia="宋体" w:cs="Times New Roman"/>
                      <w:sz w:val="21"/>
                      <w:szCs w:val="21"/>
                    </w:rPr>
                    <w:t>含氰污水来源于医院在血液、血清、细菌和化学检查分析时使用氰化钾、氰化钠、铁氰化钾、亚铁氰化钾等含氰化合物而产生的污水。含氰废水宜采用碱式氯化法。含氰废水处理槽有效容积应能容纳不小于半年的污水量含汞污水来源于医院各种口腔门诊治疗、含汞监测仪器破损、分析检查和诊断中使用氯化高汞、硝酸高汞以及硫氰酸高汞等剧毒物质而产生少量污水。</w:t>
                  </w:r>
                </w:p>
              </w:tc>
              <w:tc>
                <w:tcPr>
                  <w:tcW w:w="3326" w:type="dxa"/>
                  <w:vAlign w:val="center"/>
                </w:tcPr>
                <w:p w14:paraId="64A3723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本</w:t>
                  </w:r>
                  <w:r>
                    <w:rPr>
                      <w:rFonts w:hint="default" w:ascii="Times New Roman" w:hAnsi="Times New Roman" w:eastAsia="宋体" w:cs="Times New Roman"/>
                      <w:sz w:val="21"/>
                      <w:szCs w:val="21"/>
                      <w:highlight w:val="none"/>
                    </w:rPr>
                    <w:t>项目检验科采用外购的成品检测试剂盒替代氰化物试剂和含铬试剂，试剂盒成套购入，试剂盒中的试剂直接放入生化检验器，一次性使用，无含氰废水等特殊废水产生，</w:t>
                  </w:r>
                  <w:r>
                    <w:rPr>
                      <w:rFonts w:hint="default" w:ascii="Times New Roman" w:hAnsi="Times New Roman" w:eastAsia="宋体" w:cs="Times New Roman"/>
                      <w:sz w:val="21"/>
                      <w:szCs w:val="21"/>
                    </w:rPr>
                    <w:t>产生废检测试剂</w:t>
                  </w:r>
                  <w:r>
                    <w:rPr>
                      <w:rFonts w:hint="eastAsia" w:cs="Times New Roman"/>
                      <w:sz w:val="21"/>
                      <w:szCs w:val="21"/>
                      <w:lang w:val="en-US" w:eastAsia="zh-CN"/>
                    </w:rPr>
                    <w:t>盒</w:t>
                  </w:r>
                  <w:r>
                    <w:rPr>
                      <w:rFonts w:hint="default" w:ascii="Times New Roman" w:hAnsi="Times New Roman" w:eastAsia="宋体" w:cs="Times New Roman"/>
                      <w:sz w:val="21"/>
                      <w:szCs w:val="21"/>
                    </w:rPr>
                    <w:t>作为危废处理</w:t>
                  </w:r>
                </w:p>
              </w:tc>
              <w:tc>
                <w:tcPr>
                  <w:tcW w:w="679" w:type="dxa"/>
                  <w:vAlign w:val="center"/>
                </w:tcPr>
                <w:p w14:paraId="50F5B87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44ED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24653C7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lang w:val="en-US" w:eastAsia="zh-CN"/>
                    </w:rPr>
                    <w:t>6.3.1 （3）</w:t>
                  </w:r>
                  <w:r>
                    <w:rPr>
                      <w:rFonts w:hint="default" w:ascii="Times New Roman" w:hAnsi="Times New Roman" w:eastAsia="宋体" w:cs="Times New Roman"/>
                      <w:sz w:val="21"/>
                      <w:szCs w:val="21"/>
                    </w:rPr>
                    <w:t>含汞废水宜采用硫化钠沉淀+活性炭吸附法。再经活性炭吸附后，出水汞浓度符合相关排放标准后方可进入医院污水处理系统。含汞浓度低0.02mg/L。</w:t>
                  </w:r>
                </w:p>
              </w:tc>
              <w:tc>
                <w:tcPr>
                  <w:tcW w:w="3326" w:type="dxa"/>
                  <w:vAlign w:val="center"/>
                </w:tcPr>
                <w:p w14:paraId="3874D8F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本项目</w:t>
                  </w:r>
                  <w:r>
                    <w:rPr>
                      <w:rFonts w:hint="default" w:ascii="Times New Roman" w:hAnsi="Times New Roman" w:cs="Times New Roman"/>
                      <w:sz w:val="21"/>
                      <w:szCs w:val="21"/>
                      <w:lang w:val="en-US" w:eastAsia="zh-CN"/>
                    </w:rPr>
                    <w:t>不设</w:t>
                  </w:r>
                  <w:r>
                    <w:rPr>
                      <w:rFonts w:hint="default" w:ascii="Times New Roman" w:hAnsi="Times New Roman" w:eastAsia="宋体" w:cs="Times New Roman"/>
                      <w:sz w:val="21"/>
                      <w:szCs w:val="21"/>
                    </w:rPr>
                    <w:t>口腔科</w:t>
                  </w:r>
                  <w:r>
                    <w:rPr>
                      <w:rFonts w:hint="default" w:ascii="Times New Roman" w:hAnsi="Times New Roman" w:cs="Times New Roman"/>
                      <w:sz w:val="21"/>
                      <w:szCs w:val="21"/>
                      <w:lang w:eastAsia="zh-CN"/>
                    </w:rPr>
                    <w:t>，</w:t>
                  </w:r>
                  <w:r>
                    <w:rPr>
                      <w:rFonts w:hint="default" w:ascii="Times New Roman" w:hAnsi="Times New Roman" w:cs="Times New Roman"/>
                      <w:sz w:val="21"/>
                      <w:szCs w:val="21"/>
                      <w:lang w:val="en-US" w:eastAsia="zh-CN"/>
                    </w:rPr>
                    <w:t>无含汞废水产生</w:t>
                  </w:r>
                </w:p>
              </w:tc>
              <w:tc>
                <w:tcPr>
                  <w:tcW w:w="679" w:type="dxa"/>
                  <w:vAlign w:val="center"/>
                </w:tcPr>
                <w:p w14:paraId="0B8F2D5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7B64B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750EFE3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lang w:val="en-US" w:eastAsia="zh-CN"/>
                    </w:rPr>
                    <w:t>6.3.1 （4）</w:t>
                  </w:r>
                  <w:r>
                    <w:rPr>
                      <w:rFonts w:hint="default" w:ascii="Times New Roman" w:hAnsi="Times New Roman" w:eastAsia="宋体" w:cs="Times New Roman"/>
                      <w:sz w:val="21"/>
                      <w:szCs w:val="21"/>
                    </w:rPr>
                    <w:t>含铬污水来源于医院在病理、血液检查及化验等工作中使用重铬酸钾、三氧化铬、铬酸钾等化学品形成污水。含铬废水宜采用化学还原沉淀法。处理后出水中六价铬浓度符合相关排放标准后方可进入医院污水处理系统。含量小于0.5mg/L。</w:t>
                  </w:r>
                </w:p>
              </w:tc>
              <w:tc>
                <w:tcPr>
                  <w:tcW w:w="3326" w:type="dxa"/>
                  <w:vAlign w:val="center"/>
                </w:tcPr>
                <w:p w14:paraId="4A0CA8B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000000" w:themeColor="text1"/>
                      <w:sz w:val="21"/>
                      <w:szCs w:val="21"/>
                    </w:rPr>
                    <w:t>本项目检验科采用外购的成品检测试剂盒替代氰化物试剂和含铬试剂，试剂盒成套购入，试剂盒中的试剂直接放入生化检验器，一次性使用，无含铬废水等特殊废水产生</w:t>
                  </w:r>
                </w:p>
              </w:tc>
              <w:tc>
                <w:tcPr>
                  <w:tcW w:w="679" w:type="dxa"/>
                  <w:vAlign w:val="center"/>
                </w:tcPr>
                <w:p w14:paraId="4BAEF94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0BE1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767352E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lang w:val="en-US" w:eastAsia="zh-CN"/>
                    </w:rPr>
                    <w:t>6.3.1 （5）</w:t>
                  </w:r>
                  <w:r>
                    <w:rPr>
                      <w:rFonts w:hint="default" w:ascii="Times New Roman" w:hAnsi="Times New Roman" w:eastAsia="宋体" w:cs="Times New Roman"/>
                      <w:sz w:val="21"/>
                      <w:szCs w:val="21"/>
                    </w:rPr>
                    <w:t>洗印污水来源于医院放射科照片胶片洗印加工产生洗印污水和废液。显影污水宜采用过氧化氢氧化法。处理 后出水中六价铬浓度符合相关排放标准后方可进入医院污水处理系统。洗印显影废液收集后应交由专业处理危险固体废物的单位处理。</w:t>
                  </w:r>
                </w:p>
              </w:tc>
              <w:tc>
                <w:tcPr>
                  <w:tcW w:w="3326" w:type="dxa"/>
                  <w:vAlign w:val="center"/>
                </w:tcPr>
                <w:p w14:paraId="473E920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本项目胶片均采用干片成像，无需定影液及显影液，因此不产生洗印废水、废定影液和废显影液</w:t>
                  </w:r>
                </w:p>
              </w:tc>
              <w:tc>
                <w:tcPr>
                  <w:tcW w:w="679" w:type="dxa"/>
                  <w:vAlign w:val="center"/>
                </w:tcPr>
                <w:p w14:paraId="105A965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5DCC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518F5AA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lang w:val="en-US" w:eastAsia="zh-CN"/>
                    </w:rPr>
                    <w:t xml:space="preserve">6.3.4 </w:t>
                  </w:r>
                  <w:r>
                    <w:rPr>
                      <w:rFonts w:hint="default" w:ascii="Times New Roman" w:hAnsi="Times New Roman" w:eastAsia="宋体" w:cs="Times New Roman"/>
                      <w:sz w:val="21"/>
                      <w:szCs w:val="21"/>
                    </w:rPr>
                    <w:t>医院污水消毒可采用液氯消毒、二氧化氯消毒、次氯酸钠消毒、臭氧消毒和紫外线消毒等。</w:t>
                  </w:r>
                </w:p>
              </w:tc>
              <w:tc>
                <w:tcPr>
                  <w:tcW w:w="3326" w:type="dxa"/>
                  <w:vAlign w:val="center"/>
                </w:tcPr>
                <w:p w14:paraId="3F15E4CF">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项</w:t>
                  </w:r>
                  <w:r>
                    <w:rPr>
                      <w:rFonts w:hint="default" w:ascii="Times New Roman" w:hAnsi="Times New Roman" w:cs="Times New Roman"/>
                      <w:sz w:val="21"/>
                      <w:szCs w:val="21"/>
                      <w:highlight w:val="none"/>
                      <w:vertAlign w:val="baseline"/>
                      <w:lang w:val="en-US" w:eastAsia="zh-CN"/>
                    </w:rPr>
                    <w:t xml:space="preserve">目使用二氯异氰尿酸钠进行污水消毒                                                                                                                                                                                                                                                                                                                                                                                                                       </w:t>
                  </w:r>
                </w:p>
              </w:tc>
              <w:tc>
                <w:tcPr>
                  <w:tcW w:w="679" w:type="dxa"/>
                  <w:vAlign w:val="center"/>
                </w:tcPr>
                <w:p w14:paraId="1840AC3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13C2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291EB31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6.3.5.1 </w:t>
                  </w:r>
                  <w:r>
                    <w:rPr>
                      <w:rFonts w:hint="default" w:ascii="Times New Roman" w:hAnsi="Times New Roman" w:eastAsia="宋体" w:cs="Times New Roman"/>
                      <w:sz w:val="21"/>
                      <w:szCs w:val="21"/>
                    </w:rPr>
                    <w:t>污泥消毒：污泥在贮泥池中进行消毒，贮泥池有效容积应不小于处理系统24h产泥量，且不宜小于1m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。贮泥池内需采取搅拌措施，以利于污泥加药消毒。污泥一般采用化学消毒方式。常用的消毒剂为石灰和漂白粉。</w:t>
                  </w:r>
                </w:p>
                <w:p w14:paraId="471CE0A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 xml:space="preserve">6.3.5.2 </w:t>
                  </w:r>
                  <w:r>
                    <w:rPr>
                      <w:rFonts w:hint="default" w:ascii="Times New Roman" w:hAnsi="Times New Roman" w:eastAsia="宋体" w:cs="Times New Roman"/>
                      <w:sz w:val="21"/>
                      <w:szCs w:val="21"/>
                    </w:rPr>
                    <w:t>污泥脱水：污泥脱水宜采用离心式脱水机。脱水过程必须考虑密封和气体处理，脱水后的污泥应密闭封装、运输。</w:t>
                  </w:r>
                </w:p>
                <w:p w14:paraId="428194B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 xml:space="preserve">6.3.5.3 </w:t>
                  </w:r>
                  <w:r>
                    <w:rPr>
                      <w:rFonts w:hint="default" w:ascii="Times New Roman" w:hAnsi="Times New Roman" w:eastAsia="宋体" w:cs="Times New Roman"/>
                      <w:sz w:val="21"/>
                      <w:szCs w:val="21"/>
                    </w:rPr>
                    <w:t>医院污泥应按危险废物处理处置要求，由具有危险废物处理处置资质的单位进行集中处置。</w:t>
                  </w:r>
                </w:p>
              </w:tc>
              <w:tc>
                <w:tcPr>
                  <w:tcW w:w="3326" w:type="dxa"/>
                  <w:vAlign w:val="center"/>
                </w:tcPr>
                <w:p w14:paraId="52DD3B0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highlight w:val="none"/>
                      <w:vertAlign w:val="baseline"/>
                      <w:lang w:val="en-US" w:eastAsia="zh-CN"/>
                    </w:rPr>
                    <w:t>项目污泥</w:t>
                  </w:r>
                  <w:r>
                    <w:rPr>
                      <w:rFonts w:hint="eastAsia" w:cs="Times New Roman"/>
                      <w:sz w:val="21"/>
                      <w:szCs w:val="21"/>
                      <w:highlight w:val="none"/>
                      <w:vertAlign w:val="baseline"/>
                      <w:lang w:val="en-US" w:eastAsia="zh-CN"/>
                    </w:rPr>
                    <w:t>和栅渣</w:t>
                  </w:r>
                  <w:r>
                    <w:rPr>
                      <w:rFonts w:hint="default" w:ascii="Times New Roman" w:hAnsi="Times New Roman" w:cs="Times New Roman"/>
                      <w:sz w:val="21"/>
                      <w:szCs w:val="21"/>
                      <w:highlight w:val="none"/>
                      <w:vertAlign w:val="baseline"/>
                      <w:lang w:val="en-US" w:eastAsia="zh-CN"/>
                    </w:rPr>
                    <w:t>产生量约</w:t>
                  </w:r>
                  <w:r>
                    <w:rPr>
                      <w:rFonts w:hint="eastAsia" w:cs="Times New Roman"/>
                      <w:sz w:val="21"/>
                      <w:szCs w:val="21"/>
                      <w:highlight w:val="none"/>
                      <w:vertAlign w:val="baseline"/>
                      <w:lang w:val="en-US" w:eastAsia="zh-CN"/>
                    </w:rPr>
                    <w:t>5.02</w:t>
                  </w:r>
                  <w:r>
                    <w:rPr>
                      <w:rFonts w:hint="default" w:ascii="Times New Roman" w:hAnsi="Times New Roman" w:cs="Times New Roman"/>
                      <w:sz w:val="21"/>
                      <w:szCs w:val="21"/>
                      <w:highlight w:val="none"/>
                      <w:vertAlign w:val="baseline"/>
                      <w:lang w:val="en-US" w:eastAsia="zh-CN"/>
                    </w:rPr>
                    <w:t>t/a</w:t>
                  </w:r>
                  <w:r>
                    <w:rPr>
                      <w:rFonts w:hint="default" w:ascii="Times New Roman" w:hAnsi="Times New Roman" w:cs="Times New Roman"/>
                      <w:sz w:val="21"/>
                      <w:szCs w:val="21"/>
                      <w:vertAlign w:val="baseline"/>
                      <w:lang w:val="en-US" w:eastAsia="zh-CN"/>
                    </w:rPr>
                    <w:t>，委托专业机构</w:t>
                  </w:r>
                  <w:r>
                    <w:rPr>
                      <w:rFonts w:hint="eastAsia" w:cs="Times New Roman"/>
                      <w:sz w:val="21"/>
                      <w:szCs w:val="21"/>
                      <w:vertAlign w:val="baseline"/>
                      <w:lang w:val="en-US" w:eastAsia="zh-CN"/>
                    </w:rPr>
                    <w:t>使用污泥车进行</w:t>
                  </w:r>
                  <w:r>
                    <w:rPr>
                      <w:rFonts w:hint="default" w:ascii="Times New Roman" w:hAnsi="Times New Roman" w:cs="Times New Roman"/>
                      <w:sz w:val="21"/>
                      <w:szCs w:val="21"/>
                      <w:vertAlign w:val="baseline"/>
                      <w:lang w:val="en-US" w:eastAsia="zh-CN"/>
                    </w:rPr>
                    <w:t>清掏、</w:t>
                  </w:r>
                  <w:r>
                    <w:rPr>
                      <w:rFonts w:hint="eastAsia" w:cs="Times New Roman"/>
                      <w:sz w:val="21"/>
                      <w:szCs w:val="21"/>
                      <w:vertAlign w:val="baseline"/>
                      <w:lang w:val="en-US" w:eastAsia="zh-CN"/>
                    </w:rPr>
                    <w:t>消毒（熟石灰消毒）、</w:t>
                  </w:r>
                  <w:r>
                    <w:rPr>
                      <w:rFonts w:hint="default" w:ascii="Times New Roman" w:hAnsi="Times New Roman" w:cs="Times New Roman"/>
                      <w:sz w:val="21"/>
                      <w:szCs w:val="21"/>
                      <w:vertAlign w:val="baseline"/>
                      <w:lang w:val="en-US" w:eastAsia="zh-CN"/>
                    </w:rPr>
                    <w:t>压滤污泥</w:t>
                  </w:r>
                  <w:r>
                    <w:rPr>
                      <w:rFonts w:hint="eastAsia" w:cs="Times New Roman"/>
                      <w:sz w:val="21"/>
                      <w:szCs w:val="21"/>
                      <w:vertAlign w:val="baseline"/>
                      <w:lang w:val="en-US" w:eastAsia="zh-CN"/>
                    </w:rPr>
                    <w:t>作业</w:t>
                  </w:r>
                  <w:r>
                    <w:rPr>
                      <w:rFonts w:hint="default" w:ascii="Times New Roman" w:hAnsi="Times New Roman" w:cs="Times New Roman"/>
                      <w:sz w:val="21"/>
                      <w:szCs w:val="21"/>
                      <w:vertAlign w:val="baseline"/>
                      <w:lang w:val="en-US" w:eastAsia="zh-CN"/>
                    </w:rPr>
                    <w:t>，</w:t>
                  </w:r>
                  <w:r>
                    <w:rPr>
                      <w:rFonts w:hint="eastAsia" w:cs="Times New Roman"/>
                      <w:sz w:val="21"/>
                      <w:szCs w:val="21"/>
                      <w:vertAlign w:val="baseline"/>
                      <w:lang w:val="en-US" w:eastAsia="zh-CN"/>
                    </w:rPr>
                    <w:t>消毒、压滤工序均在污泥车内完成，</w:t>
                  </w:r>
                  <w:r>
                    <w:rPr>
                      <w:rFonts w:hint="default" w:ascii="Times New Roman" w:hAnsi="Times New Roman" w:cs="Times New Roman"/>
                      <w:sz w:val="21"/>
                      <w:szCs w:val="21"/>
                      <w:vertAlign w:val="baseline"/>
                      <w:lang w:val="en-US" w:eastAsia="zh-CN"/>
                    </w:rPr>
                    <w:t>压滤完成后的污泥</w:t>
                  </w:r>
                  <w:r>
                    <w:rPr>
                      <w:rFonts w:hint="eastAsia" w:cs="Times New Roman"/>
                      <w:sz w:val="21"/>
                      <w:szCs w:val="21"/>
                      <w:vertAlign w:val="baseline"/>
                      <w:lang w:val="en-US" w:eastAsia="zh-CN"/>
                    </w:rPr>
                    <w:t>和栅渣密闭封装</w:t>
                  </w:r>
                  <w:r>
                    <w:rPr>
                      <w:rFonts w:hint="default" w:ascii="Times New Roman" w:hAnsi="Times New Roman" w:cs="Times New Roman"/>
                      <w:sz w:val="21"/>
                      <w:szCs w:val="21"/>
                      <w:vertAlign w:val="baseline"/>
                      <w:lang w:val="en-US" w:eastAsia="zh-CN"/>
                    </w:rPr>
                    <w:t>暂存于危废暂存间</w:t>
                  </w:r>
                </w:p>
              </w:tc>
              <w:tc>
                <w:tcPr>
                  <w:tcW w:w="679" w:type="dxa"/>
                  <w:vAlign w:val="center"/>
                </w:tcPr>
                <w:p w14:paraId="3BAD865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sz w:val="21"/>
                      <w:szCs w:val="21"/>
                    </w:rPr>
                    <w:t>相符</w:t>
                  </w:r>
                </w:p>
              </w:tc>
            </w:tr>
            <w:tr w14:paraId="6DF8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89" w:type="dxa"/>
                  <w:gridSpan w:val="3"/>
                  <w:vAlign w:val="center"/>
                </w:tcPr>
                <w:p w14:paraId="6C6DE10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应急措施</w:t>
                  </w:r>
                </w:p>
              </w:tc>
            </w:tr>
            <w:tr w14:paraId="74A6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4" w:type="dxa"/>
                  <w:vAlign w:val="center"/>
                </w:tcPr>
                <w:p w14:paraId="0837730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lang w:val="en-US" w:eastAsia="zh-CN"/>
                    </w:rPr>
                    <w:t xml:space="preserve">12.4.1 </w:t>
                  </w:r>
                  <w:r>
                    <w:rPr>
                      <w:rFonts w:hint="default" w:ascii="Times New Roman" w:hAnsi="Times New Roman" w:eastAsia="宋体" w:cs="Times New Roman"/>
                      <w:color w:val="000000" w:themeColor="text1"/>
                      <w:sz w:val="21"/>
                      <w:szCs w:val="21"/>
                      <w:u w:val="single"/>
                    </w:rPr>
                    <w:t>医院污水处理工程应急事故池容积不小于日排放量的30%</w:t>
                  </w:r>
                </w:p>
              </w:tc>
              <w:tc>
                <w:tcPr>
                  <w:tcW w:w="3326" w:type="dxa"/>
                  <w:vAlign w:val="center"/>
                </w:tcPr>
                <w:p w14:paraId="718B082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single"/>
                      <w:vertAlign w:val="baseline"/>
                      <w:lang w:val="en-US" w:eastAsia="zh-CN"/>
                    </w:rPr>
                  </w:pPr>
                  <w:r>
                    <w:rPr>
                      <w:rFonts w:hint="default" w:ascii="Times New Roman" w:hAnsi="Times New Roman" w:cs="Times New Roman"/>
                      <w:color w:val="000000" w:themeColor="text1"/>
                      <w:sz w:val="21"/>
                      <w:szCs w:val="21"/>
                      <w:u w:val="single"/>
                      <w:vertAlign w:val="baseline"/>
                      <w:lang w:val="en-US" w:eastAsia="zh-CN"/>
                    </w:rPr>
                    <w:t>原院区现设有一个30m</w:t>
                  </w:r>
                  <w:r>
                    <w:rPr>
                      <w:rFonts w:hint="default" w:ascii="Times New Roman" w:hAnsi="Times New Roman" w:cs="Times New Roman"/>
                      <w:color w:val="000000" w:themeColor="text1"/>
                      <w:sz w:val="21"/>
                      <w:szCs w:val="21"/>
                      <w:u w:val="single"/>
                      <w:vertAlign w:val="superscript"/>
                      <w:lang w:val="en-US" w:eastAsia="zh-CN"/>
                    </w:rPr>
                    <w:t>3</w:t>
                  </w:r>
                  <w:r>
                    <w:rPr>
                      <w:rFonts w:hint="default" w:ascii="Times New Roman" w:hAnsi="Times New Roman" w:cs="Times New Roman"/>
                      <w:color w:val="000000" w:themeColor="text1"/>
                      <w:sz w:val="21"/>
                      <w:szCs w:val="21"/>
                      <w:u w:val="single"/>
                      <w:vertAlign w:val="baseline"/>
                      <w:lang w:val="en-US" w:eastAsia="zh-CN"/>
                    </w:rPr>
                    <w:t>的应急池。原有综合污水处理站处理能力为300m</w:t>
                  </w:r>
                  <w:r>
                    <w:rPr>
                      <w:rFonts w:hint="default" w:ascii="Times New Roman" w:hAnsi="Times New Roman" w:cs="Times New Roman"/>
                      <w:color w:val="000000" w:themeColor="text1"/>
                      <w:sz w:val="21"/>
                      <w:szCs w:val="21"/>
                      <w:u w:val="single"/>
                      <w:vertAlign w:val="superscript"/>
                      <w:lang w:val="en-US" w:eastAsia="zh-CN"/>
                    </w:rPr>
                    <w:t>3</w:t>
                  </w:r>
                  <w:r>
                    <w:rPr>
                      <w:rFonts w:hint="default" w:ascii="Times New Roman" w:hAnsi="Times New Roman" w:cs="Times New Roman"/>
                      <w:color w:val="000000" w:themeColor="text1"/>
                      <w:sz w:val="21"/>
                      <w:szCs w:val="21"/>
                      <w:u w:val="single"/>
                      <w:vertAlign w:val="baseline"/>
                      <w:lang w:val="en-US" w:eastAsia="zh-CN"/>
                    </w:rPr>
                    <w:t>/d，企业拟按照规范将应急池容积扩充至90m</w:t>
                  </w:r>
                  <w:r>
                    <w:rPr>
                      <w:rFonts w:hint="default" w:ascii="Times New Roman" w:hAnsi="Times New Roman" w:cs="Times New Roman"/>
                      <w:color w:val="000000" w:themeColor="text1"/>
                      <w:sz w:val="21"/>
                      <w:szCs w:val="21"/>
                      <w:u w:val="single"/>
                      <w:vertAlign w:val="superscript"/>
                      <w:lang w:val="en-US" w:eastAsia="zh-CN"/>
                    </w:rPr>
                    <w:t>3</w:t>
                  </w:r>
                </w:p>
              </w:tc>
              <w:tc>
                <w:tcPr>
                  <w:tcW w:w="679" w:type="dxa"/>
                  <w:vAlign w:val="center"/>
                </w:tcPr>
                <w:p w14:paraId="1ACF8F3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相符</w:t>
                  </w:r>
                </w:p>
              </w:tc>
            </w:tr>
          </w:tbl>
          <w:p w14:paraId="59F0C570">
            <w:pPr>
              <w:numPr>
                <w:ilvl w:val="0"/>
                <w:numId w:val="0"/>
              </w:numPr>
              <w:autoSpaceDE w:val="0"/>
              <w:autoSpaceDN w:val="0"/>
              <w:adjustRightInd w:val="0"/>
              <w:snapToGrid w:val="0"/>
              <w:spacing w:line="360" w:lineRule="auto"/>
              <w:jc w:val="left"/>
              <w:rPr>
                <w:rFonts w:hint="default" w:ascii="Times New Roman" w:hAnsi="Times New Roman" w:cs="Times New Roman"/>
                <w:b/>
                <w:bCs/>
                <w:color w:val="000000" w:themeColor="text1"/>
                <w:sz w:val="24"/>
                <w:szCs w:val="24"/>
                <w:u w:val="none"/>
                <w:lang w:val="en-US" w:eastAsia="zh-CN"/>
              </w:rPr>
            </w:pPr>
            <w:r>
              <w:rPr>
                <w:rFonts w:hint="default" w:ascii="Times New Roman" w:hAnsi="Times New Roman" w:cs="Times New Roman"/>
                <w:b/>
                <w:bCs/>
                <w:color w:val="000000" w:themeColor="text1"/>
                <w:sz w:val="24"/>
                <w:szCs w:val="24"/>
                <w:u w:val="none"/>
                <w:lang w:val="en-US" w:eastAsia="zh-CN"/>
              </w:rPr>
              <w:t>5、与《医疗机构污水处理工程技术标准》（GB51459-2024）相符性分析</w:t>
            </w:r>
          </w:p>
          <w:p w14:paraId="374FBAC8">
            <w:pPr>
              <w:numPr>
                <w:ilvl w:val="0"/>
                <w:numId w:val="0"/>
              </w:numPr>
              <w:autoSpaceDE w:val="0"/>
              <w:autoSpaceDN w:val="0"/>
              <w:adjustRightInd w:val="0"/>
              <w:snapToGrid w:val="0"/>
              <w:spacing w:line="360" w:lineRule="auto"/>
              <w:jc w:val="center"/>
              <w:rPr>
                <w:rFonts w:hint="default" w:ascii="Times New Roman" w:hAnsi="Times New Roman" w:cs="Times New Roman"/>
                <w:b/>
                <w:bCs/>
                <w:color w:val="000000" w:themeColor="text1"/>
                <w:sz w:val="21"/>
                <w:szCs w:val="21"/>
                <w:u w:val="none"/>
                <w:lang w:val="en-US" w:eastAsia="zh-CN"/>
              </w:rPr>
            </w:pPr>
            <w:r>
              <w:rPr>
                <w:rFonts w:hint="default" w:ascii="Times New Roman" w:hAnsi="Times New Roman" w:cs="Times New Roman"/>
                <w:b/>
                <w:bCs/>
                <w:sz w:val="21"/>
                <w:szCs w:val="21"/>
                <w:u w:val="none"/>
                <w:lang w:val="en-US" w:eastAsia="zh-CN"/>
              </w:rPr>
              <w:t xml:space="preserve">表1-5 </w:t>
            </w:r>
            <w:r>
              <w:rPr>
                <w:rFonts w:hint="default" w:ascii="Times New Roman" w:hAnsi="Times New Roman" w:cs="Times New Roman"/>
                <w:b/>
                <w:bCs/>
                <w:color w:val="000000" w:themeColor="text1"/>
                <w:sz w:val="21"/>
                <w:szCs w:val="21"/>
                <w:u w:val="none"/>
                <w:lang w:val="en-US" w:eastAsia="zh-CN"/>
              </w:rPr>
              <w:t>与《医疗机构污水处理工程技术标准》相符性分析</w:t>
            </w:r>
          </w:p>
          <w:tbl>
            <w:tblPr>
              <w:tblStyle w:val="25"/>
              <w:tblW w:w="72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3217"/>
              <w:gridCol w:w="2716"/>
              <w:gridCol w:w="698"/>
            </w:tblGrid>
            <w:tr w14:paraId="455E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317293F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u w:val="none"/>
                      <w:vertAlign w:val="baseline"/>
                      <w:lang w:val="en-US" w:eastAsia="zh-CN"/>
                    </w:rPr>
                  </w:pPr>
                  <w:r>
                    <w:rPr>
                      <w:rFonts w:hint="default" w:ascii="Times New Roman" w:hAnsi="Times New Roman" w:cs="Times New Roman"/>
                      <w:b/>
                      <w:bCs/>
                      <w:color w:val="000000" w:themeColor="text1"/>
                      <w:sz w:val="21"/>
                      <w:szCs w:val="21"/>
                      <w:u w:val="none"/>
                      <w:vertAlign w:val="baseline"/>
                      <w:lang w:val="en-US" w:eastAsia="zh-CN"/>
                    </w:rPr>
                    <w:t>序号</w:t>
                  </w:r>
                </w:p>
              </w:tc>
              <w:tc>
                <w:tcPr>
                  <w:tcW w:w="3217" w:type="dxa"/>
                  <w:vAlign w:val="center"/>
                </w:tcPr>
                <w:p w14:paraId="3259A02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u w:val="none"/>
                      <w:vertAlign w:val="baseline"/>
                      <w:lang w:val="en-US" w:eastAsia="zh-CN"/>
                    </w:rPr>
                  </w:pPr>
                  <w:r>
                    <w:rPr>
                      <w:rFonts w:hint="default" w:ascii="Times New Roman" w:hAnsi="Times New Roman" w:cs="Times New Roman"/>
                      <w:b/>
                      <w:bCs/>
                      <w:color w:val="000000" w:themeColor="text1"/>
                      <w:sz w:val="21"/>
                      <w:szCs w:val="21"/>
                      <w:u w:val="none"/>
                      <w:vertAlign w:val="baseline"/>
                      <w:lang w:val="en-US" w:eastAsia="zh-CN"/>
                    </w:rPr>
                    <w:t>标准要求</w:t>
                  </w:r>
                </w:p>
              </w:tc>
              <w:tc>
                <w:tcPr>
                  <w:tcW w:w="2716" w:type="dxa"/>
                  <w:vAlign w:val="center"/>
                </w:tcPr>
                <w:p w14:paraId="3A529C0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u w:val="none"/>
                      <w:vertAlign w:val="baseline"/>
                      <w:lang w:val="en-US" w:eastAsia="zh-CN"/>
                    </w:rPr>
                  </w:pPr>
                  <w:r>
                    <w:rPr>
                      <w:rFonts w:hint="default" w:ascii="Times New Roman" w:hAnsi="Times New Roman" w:cs="Times New Roman"/>
                      <w:b/>
                      <w:bCs/>
                      <w:color w:val="000000" w:themeColor="text1"/>
                      <w:sz w:val="21"/>
                      <w:szCs w:val="21"/>
                      <w:u w:val="none"/>
                      <w:vertAlign w:val="baseline"/>
                      <w:lang w:val="en-US" w:eastAsia="zh-CN"/>
                    </w:rPr>
                    <w:t>本项目情况</w:t>
                  </w:r>
                </w:p>
              </w:tc>
              <w:tc>
                <w:tcPr>
                  <w:tcW w:w="698" w:type="dxa"/>
                  <w:vAlign w:val="center"/>
                </w:tcPr>
                <w:p w14:paraId="3359B7C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u w:val="none"/>
                      <w:vertAlign w:val="baseline"/>
                      <w:lang w:val="en-US" w:eastAsia="zh-CN"/>
                    </w:rPr>
                  </w:pPr>
                  <w:r>
                    <w:rPr>
                      <w:rFonts w:hint="default" w:ascii="Times New Roman" w:hAnsi="Times New Roman" w:cs="Times New Roman"/>
                      <w:b/>
                      <w:bCs/>
                      <w:color w:val="000000" w:themeColor="text1"/>
                      <w:sz w:val="21"/>
                      <w:szCs w:val="21"/>
                      <w:u w:val="none"/>
                      <w:vertAlign w:val="baseline"/>
                      <w:lang w:val="en-US" w:eastAsia="zh-CN"/>
                    </w:rPr>
                    <w:t>是否相符</w:t>
                  </w:r>
                </w:p>
              </w:tc>
            </w:tr>
            <w:tr w14:paraId="3F35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3B03F99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1</w:t>
                  </w:r>
                </w:p>
              </w:tc>
              <w:tc>
                <w:tcPr>
                  <w:tcW w:w="3217" w:type="dxa"/>
                  <w:vAlign w:val="center"/>
                </w:tcPr>
                <w:p w14:paraId="5830EBA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医疗机构污水处理工程应采用成熟可靠的技术、工艺和设备，做到运行稳定、安全卫生、管理方便、经济合理</w:t>
                  </w:r>
                </w:p>
              </w:tc>
              <w:tc>
                <w:tcPr>
                  <w:tcW w:w="2716" w:type="dxa"/>
                  <w:vAlign w:val="center"/>
                </w:tcPr>
                <w:p w14:paraId="65DCCE37">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本项目</w:t>
                  </w:r>
                  <w:r>
                    <w:rPr>
                      <w:rFonts w:hint="eastAsia" w:cs="Times New Roman"/>
                      <w:color w:val="000000" w:themeColor="text1"/>
                      <w:sz w:val="21"/>
                      <w:szCs w:val="21"/>
                      <w:u w:val="none"/>
                      <w:vertAlign w:val="baseline"/>
                      <w:lang w:val="en-US" w:eastAsia="zh-CN"/>
                    </w:rPr>
                    <w:t>利用原岳阳市</w:t>
                  </w:r>
                  <w:r>
                    <w:rPr>
                      <w:rFonts w:hint="default" w:ascii="Times New Roman" w:hAnsi="Times New Roman" w:cs="Times New Roman"/>
                      <w:color w:val="000000" w:themeColor="text1"/>
                      <w:sz w:val="21"/>
                      <w:szCs w:val="21"/>
                      <w:u w:val="none"/>
                      <w:vertAlign w:val="baseline"/>
                      <w:lang w:val="en-US" w:eastAsia="zh-CN"/>
                    </w:rPr>
                    <w:t>中心医院金鹗山院区原有污水处理站处理废水，</w:t>
                  </w:r>
                  <w:r>
                    <w:rPr>
                      <w:rFonts w:hint="eastAsia" w:cs="Times New Roman"/>
                      <w:color w:val="000000" w:themeColor="text1"/>
                      <w:sz w:val="21"/>
                      <w:szCs w:val="21"/>
                      <w:u w:val="none"/>
                      <w:vertAlign w:val="baseline"/>
                      <w:lang w:val="en-US" w:eastAsia="zh-CN"/>
                    </w:rPr>
                    <w:t>该污水站采用的工艺为</w:t>
                  </w:r>
                  <w:r>
                    <w:rPr>
                      <w:rFonts w:hint="default" w:ascii="Times New Roman" w:hAnsi="Times New Roman" w:cs="Times New Roman"/>
                      <w:color w:val="000000" w:themeColor="text1"/>
                      <w:sz w:val="21"/>
                      <w:szCs w:val="21"/>
                      <w:lang w:val="en-US" w:eastAsia="zh-CN"/>
                    </w:rPr>
                    <w:t>《医院污水处理工程技术规范》中推荐采用的工艺</w:t>
                  </w:r>
                  <w:r>
                    <w:rPr>
                      <w:rFonts w:hint="eastAsia" w:ascii="Times New Roman" w:hAnsi="Times New Roman" w:cs="Times New Roman"/>
                      <w:color w:val="000000" w:themeColor="text1"/>
                      <w:sz w:val="21"/>
                      <w:szCs w:val="21"/>
                      <w:lang w:val="en-US" w:eastAsia="zh-CN"/>
                    </w:rPr>
                    <w:t>，</w:t>
                  </w:r>
                  <w:r>
                    <w:rPr>
                      <w:rFonts w:hint="default" w:ascii="Times New Roman" w:hAnsi="Times New Roman" w:cs="Times New Roman"/>
                      <w:color w:val="000000" w:themeColor="text1"/>
                      <w:sz w:val="21"/>
                      <w:szCs w:val="21"/>
                      <w:u w:val="none"/>
                      <w:vertAlign w:val="baseline"/>
                      <w:lang w:val="en-US" w:eastAsia="zh-CN"/>
                    </w:rPr>
                    <w:t>该污水处理站</w:t>
                  </w:r>
                  <w:r>
                    <w:rPr>
                      <w:rFonts w:hint="eastAsia" w:cs="Times New Roman"/>
                      <w:color w:val="000000" w:themeColor="text1"/>
                      <w:sz w:val="21"/>
                      <w:szCs w:val="21"/>
                      <w:u w:val="none"/>
                      <w:vertAlign w:val="baseline"/>
                      <w:lang w:val="en-US" w:eastAsia="zh-CN"/>
                    </w:rPr>
                    <w:t>曾</w:t>
                  </w:r>
                  <w:r>
                    <w:rPr>
                      <w:rFonts w:hint="default" w:ascii="Times New Roman" w:hAnsi="Times New Roman" w:cs="Times New Roman"/>
                      <w:color w:val="000000" w:themeColor="text1"/>
                      <w:sz w:val="21"/>
                      <w:szCs w:val="21"/>
                      <w:u w:val="none"/>
                      <w:vertAlign w:val="baseline"/>
                      <w:lang w:val="en-US" w:eastAsia="zh-CN"/>
                    </w:rPr>
                    <w:t>完成验收，运行情况稳定</w:t>
                  </w:r>
                </w:p>
              </w:tc>
              <w:tc>
                <w:tcPr>
                  <w:tcW w:w="698" w:type="dxa"/>
                  <w:vAlign w:val="center"/>
                </w:tcPr>
                <w:p w14:paraId="290A4F8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相符</w:t>
                  </w:r>
                </w:p>
              </w:tc>
            </w:tr>
            <w:tr w14:paraId="45C90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034EB3E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2</w:t>
                  </w:r>
                </w:p>
              </w:tc>
              <w:tc>
                <w:tcPr>
                  <w:tcW w:w="3217" w:type="dxa"/>
                  <w:vAlign w:val="center"/>
                </w:tcPr>
                <w:p w14:paraId="045729E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医疗机构区域内污水宜进行源头控制和分离，病区与非病区污水宜分别收集;特殊医疗污水、传染病医疗机构污水应单独收集</w:t>
                  </w:r>
                </w:p>
              </w:tc>
              <w:tc>
                <w:tcPr>
                  <w:tcW w:w="2716" w:type="dxa"/>
                  <w:vAlign w:val="center"/>
                </w:tcPr>
                <w:p w14:paraId="55C86E8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本项目污水从源头控制和分离，传染病</w:t>
                  </w:r>
                  <w:r>
                    <w:rPr>
                      <w:rFonts w:hint="eastAsia" w:cs="Times New Roman"/>
                      <w:color w:val="000000" w:themeColor="text1"/>
                      <w:sz w:val="21"/>
                      <w:szCs w:val="21"/>
                      <w:u w:val="none"/>
                      <w:vertAlign w:val="baseline"/>
                      <w:lang w:val="en-US" w:eastAsia="zh-CN"/>
                    </w:rPr>
                    <w:t>科产生的废水单独</w:t>
                  </w:r>
                  <w:r>
                    <w:rPr>
                      <w:rFonts w:hint="default" w:ascii="Times New Roman" w:hAnsi="Times New Roman" w:cs="Times New Roman"/>
                      <w:color w:val="000000" w:themeColor="text1"/>
                      <w:sz w:val="21"/>
                      <w:szCs w:val="21"/>
                      <w:u w:val="none"/>
                      <w:vertAlign w:val="baseline"/>
                      <w:lang w:val="en-US" w:eastAsia="zh-CN"/>
                    </w:rPr>
                    <w:t>收集</w:t>
                  </w:r>
                  <w:r>
                    <w:rPr>
                      <w:rFonts w:hint="eastAsia" w:cs="Times New Roman"/>
                      <w:color w:val="000000" w:themeColor="text1"/>
                      <w:sz w:val="21"/>
                      <w:szCs w:val="21"/>
                      <w:u w:val="none"/>
                      <w:vertAlign w:val="baseline"/>
                      <w:lang w:val="en-US" w:eastAsia="zh-CN"/>
                    </w:rPr>
                    <w:t>后进入传染病废水预处理系统（60m</w:t>
                  </w:r>
                  <w:r>
                    <w:rPr>
                      <w:rFonts w:hint="eastAsia" w:cs="Times New Roman"/>
                      <w:color w:val="000000" w:themeColor="text1"/>
                      <w:sz w:val="21"/>
                      <w:szCs w:val="21"/>
                      <w:u w:val="none"/>
                      <w:vertAlign w:val="superscript"/>
                      <w:lang w:val="en-US" w:eastAsia="zh-CN"/>
                    </w:rPr>
                    <w:t>3</w:t>
                  </w:r>
                  <w:r>
                    <w:rPr>
                      <w:rFonts w:hint="eastAsia" w:cs="Times New Roman"/>
                      <w:color w:val="000000" w:themeColor="text1"/>
                      <w:sz w:val="21"/>
                      <w:szCs w:val="21"/>
                      <w:u w:val="none"/>
                      <w:vertAlign w:val="baseline"/>
                      <w:lang w:val="en-US" w:eastAsia="zh-CN"/>
                    </w:rPr>
                    <w:t>/d，二氯异氰尿酸钠消毒）处理</w:t>
                  </w:r>
                </w:p>
              </w:tc>
              <w:tc>
                <w:tcPr>
                  <w:tcW w:w="698" w:type="dxa"/>
                  <w:vAlign w:val="center"/>
                </w:tcPr>
                <w:p w14:paraId="4A31284C">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相符</w:t>
                  </w:r>
                </w:p>
              </w:tc>
            </w:tr>
            <w:tr w14:paraId="1E4A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4A83640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3</w:t>
                  </w:r>
                </w:p>
              </w:tc>
              <w:tc>
                <w:tcPr>
                  <w:tcW w:w="3217" w:type="dxa"/>
                  <w:vAlign w:val="center"/>
                </w:tcPr>
                <w:p w14:paraId="6CBE499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医疗机构污水必须进行消毒处理</w:t>
                  </w:r>
                </w:p>
              </w:tc>
              <w:tc>
                <w:tcPr>
                  <w:tcW w:w="2716" w:type="dxa"/>
                  <w:vAlign w:val="center"/>
                </w:tcPr>
                <w:p w14:paraId="6368966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本项目</w:t>
                  </w:r>
                  <w:r>
                    <w:rPr>
                      <w:rFonts w:hint="eastAsia" w:cs="Times New Roman"/>
                      <w:color w:val="000000" w:themeColor="text1"/>
                      <w:sz w:val="21"/>
                      <w:szCs w:val="21"/>
                      <w:u w:val="none"/>
                      <w:vertAlign w:val="baseline"/>
                      <w:lang w:val="en-US" w:eastAsia="zh-CN"/>
                    </w:rPr>
                    <w:t>传染病废水和医院综合废水均</w:t>
                  </w:r>
                  <w:r>
                    <w:rPr>
                      <w:rFonts w:hint="default" w:ascii="Times New Roman" w:hAnsi="Times New Roman" w:cs="Times New Roman"/>
                      <w:color w:val="000000" w:themeColor="text1"/>
                      <w:sz w:val="21"/>
                      <w:szCs w:val="21"/>
                      <w:u w:val="none"/>
                      <w:vertAlign w:val="baseline"/>
                      <w:lang w:val="en-US" w:eastAsia="zh-CN"/>
                    </w:rPr>
                    <w:t>采用二氯异氰尿酸钠进行消毒</w:t>
                  </w:r>
                </w:p>
              </w:tc>
              <w:tc>
                <w:tcPr>
                  <w:tcW w:w="698" w:type="dxa"/>
                  <w:vAlign w:val="center"/>
                </w:tcPr>
                <w:p w14:paraId="3E08765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相符</w:t>
                  </w:r>
                </w:p>
              </w:tc>
            </w:tr>
            <w:tr w14:paraId="039D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58" w:type="dxa"/>
                  <w:vAlign w:val="center"/>
                </w:tcPr>
                <w:p w14:paraId="640A218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4</w:t>
                  </w:r>
                </w:p>
              </w:tc>
              <w:tc>
                <w:tcPr>
                  <w:tcW w:w="3217" w:type="dxa"/>
                  <w:vAlign w:val="center"/>
                </w:tcPr>
                <w:p w14:paraId="1D7F6B1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特殊医疗污水必须经处理达到相应排放标准和符合进水水质要求后，方可与其他污水合并处理</w:t>
                  </w:r>
                </w:p>
              </w:tc>
              <w:tc>
                <w:tcPr>
                  <w:tcW w:w="2716" w:type="dxa"/>
                  <w:vAlign w:val="center"/>
                </w:tcPr>
                <w:p w14:paraId="1CE58AC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传染病</w:t>
                  </w:r>
                  <w:r>
                    <w:rPr>
                      <w:rFonts w:hint="eastAsia" w:cs="Times New Roman"/>
                      <w:color w:val="000000" w:themeColor="text1"/>
                      <w:sz w:val="21"/>
                      <w:szCs w:val="21"/>
                      <w:u w:val="none"/>
                      <w:vertAlign w:val="baseline"/>
                      <w:lang w:val="en-US" w:eastAsia="zh-CN"/>
                    </w:rPr>
                    <w:t>科产生的废水单独</w:t>
                  </w:r>
                  <w:r>
                    <w:rPr>
                      <w:rFonts w:hint="default" w:ascii="Times New Roman" w:hAnsi="Times New Roman" w:cs="Times New Roman"/>
                      <w:color w:val="000000" w:themeColor="text1"/>
                      <w:sz w:val="21"/>
                      <w:szCs w:val="21"/>
                      <w:u w:val="none"/>
                      <w:vertAlign w:val="baseline"/>
                      <w:lang w:val="en-US" w:eastAsia="zh-CN"/>
                    </w:rPr>
                    <w:t>收集</w:t>
                  </w:r>
                  <w:r>
                    <w:rPr>
                      <w:rFonts w:hint="eastAsia" w:cs="Times New Roman"/>
                      <w:color w:val="000000" w:themeColor="text1"/>
                      <w:sz w:val="21"/>
                      <w:szCs w:val="21"/>
                      <w:u w:val="none"/>
                      <w:vertAlign w:val="baseline"/>
                      <w:lang w:val="en-US" w:eastAsia="zh-CN"/>
                    </w:rPr>
                    <w:t>后进入传染病废水预处理系统（60m</w:t>
                  </w:r>
                  <w:r>
                    <w:rPr>
                      <w:rFonts w:hint="eastAsia" w:cs="Times New Roman"/>
                      <w:color w:val="000000" w:themeColor="text1"/>
                      <w:sz w:val="21"/>
                      <w:szCs w:val="21"/>
                      <w:u w:val="none"/>
                      <w:vertAlign w:val="superscript"/>
                      <w:lang w:val="en-US" w:eastAsia="zh-CN"/>
                    </w:rPr>
                    <w:t>3</w:t>
                  </w:r>
                  <w:r>
                    <w:rPr>
                      <w:rFonts w:hint="eastAsia" w:cs="Times New Roman"/>
                      <w:color w:val="000000" w:themeColor="text1"/>
                      <w:sz w:val="21"/>
                      <w:szCs w:val="21"/>
                      <w:u w:val="none"/>
                      <w:vertAlign w:val="baseline"/>
                      <w:lang w:val="en-US" w:eastAsia="zh-CN"/>
                    </w:rPr>
                    <w:t>/d，二氯异氰尿酸钠消毒）处理</w:t>
                  </w:r>
                  <w:r>
                    <w:rPr>
                      <w:rFonts w:hint="default" w:ascii="Times New Roman" w:hAnsi="Times New Roman" w:cs="Times New Roman"/>
                      <w:color w:val="000000" w:themeColor="text1"/>
                      <w:sz w:val="21"/>
                      <w:szCs w:val="21"/>
                      <w:u w:val="none"/>
                      <w:vertAlign w:val="baseline"/>
                      <w:lang w:val="en-US" w:eastAsia="zh-CN"/>
                    </w:rPr>
                    <w:t>后再排入</w:t>
                  </w:r>
                  <w:r>
                    <w:rPr>
                      <w:rFonts w:hint="eastAsia" w:cs="Times New Roman"/>
                      <w:color w:val="000000" w:themeColor="text1"/>
                      <w:sz w:val="21"/>
                      <w:szCs w:val="21"/>
                      <w:u w:val="none"/>
                      <w:vertAlign w:val="baseline"/>
                      <w:lang w:val="en-US" w:eastAsia="zh-CN"/>
                    </w:rPr>
                    <w:t>本院的综合</w:t>
                  </w:r>
                  <w:r>
                    <w:rPr>
                      <w:rFonts w:hint="default" w:ascii="Times New Roman" w:hAnsi="Times New Roman" w:cs="Times New Roman"/>
                      <w:color w:val="000000" w:themeColor="text1"/>
                      <w:sz w:val="21"/>
                      <w:szCs w:val="21"/>
                      <w:u w:val="none"/>
                      <w:vertAlign w:val="baseline"/>
                      <w:lang w:val="en-US" w:eastAsia="zh-CN"/>
                    </w:rPr>
                    <w:t>污水处理站进一步处理</w:t>
                  </w:r>
                </w:p>
              </w:tc>
              <w:tc>
                <w:tcPr>
                  <w:tcW w:w="698" w:type="dxa"/>
                  <w:vAlign w:val="center"/>
                </w:tcPr>
                <w:p w14:paraId="33E946C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相符</w:t>
                  </w:r>
                </w:p>
              </w:tc>
            </w:tr>
            <w:tr w14:paraId="1B3DB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 w:type="dxa"/>
                  <w:vAlign w:val="center"/>
                </w:tcPr>
                <w:p w14:paraId="42EB168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5</w:t>
                  </w:r>
                </w:p>
              </w:tc>
              <w:tc>
                <w:tcPr>
                  <w:tcW w:w="3217" w:type="dxa"/>
                  <w:vAlign w:val="center"/>
                </w:tcPr>
                <w:p w14:paraId="60885F0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医疗机构污水处理工程应设置污泥及栅渣堆放设施，堆放设施应采取密闭措施</w:t>
                  </w:r>
                </w:p>
              </w:tc>
              <w:tc>
                <w:tcPr>
                  <w:tcW w:w="2716" w:type="dxa"/>
                  <w:vAlign w:val="center"/>
                </w:tcPr>
                <w:p w14:paraId="33D1E5F0">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项目</w:t>
                  </w:r>
                  <w:r>
                    <w:rPr>
                      <w:rFonts w:hint="eastAsia" w:cs="Times New Roman"/>
                      <w:color w:val="000000" w:themeColor="text1"/>
                      <w:sz w:val="21"/>
                      <w:szCs w:val="21"/>
                      <w:u w:val="none"/>
                      <w:vertAlign w:val="baseline"/>
                      <w:lang w:val="en-US" w:eastAsia="zh-CN"/>
                    </w:rPr>
                    <w:t>压滤后的污泥和栅渣密封存放于危废暂存间中，危废暂存间为密闭设施</w:t>
                  </w:r>
                </w:p>
              </w:tc>
              <w:tc>
                <w:tcPr>
                  <w:tcW w:w="698" w:type="dxa"/>
                  <w:vAlign w:val="center"/>
                </w:tcPr>
                <w:p w14:paraId="2370C78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cs="Times New Roman"/>
                      <w:color w:val="000000" w:themeColor="text1"/>
                      <w:sz w:val="21"/>
                      <w:szCs w:val="21"/>
                      <w:u w:val="none"/>
                      <w:vertAlign w:val="baseline"/>
                      <w:lang w:val="en-US" w:eastAsia="zh-CN"/>
                    </w:rPr>
                    <w:t>相符</w:t>
                  </w:r>
                </w:p>
              </w:tc>
            </w:tr>
          </w:tbl>
          <w:p w14:paraId="55F08112">
            <w:pPr>
              <w:autoSpaceDE w:val="0"/>
              <w:autoSpaceDN w:val="0"/>
              <w:adjustRightInd w:val="0"/>
              <w:snapToGrid w:val="0"/>
              <w:spacing w:line="360" w:lineRule="auto"/>
              <w:jc w:val="left"/>
              <w:rPr>
                <w:rFonts w:hint="default" w:ascii="Times New Roman" w:hAnsi="Times New Roman" w:eastAsia="宋体" w:cs="Times New Roman"/>
                <w:b/>
                <w:bCs/>
                <w:kern w:val="0"/>
                <w:sz w:val="24"/>
                <w:szCs w:val="24"/>
                <w:lang w:val="en-US" w:eastAsia="zh-CN"/>
              </w:rPr>
            </w:pPr>
            <w:r>
              <w:rPr>
                <w:rFonts w:hint="default" w:ascii="Times New Roman" w:hAnsi="Times New Roman" w:eastAsia="宋体" w:cs="Times New Roman"/>
                <w:b/>
                <w:bCs/>
                <w:kern w:val="0"/>
                <w:sz w:val="24"/>
                <w:szCs w:val="24"/>
                <w:lang w:val="en-US" w:eastAsia="zh-CN"/>
              </w:rPr>
              <w:t>6、选址符合性分析</w:t>
            </w:r>
          </w:p>
          <w:p w14:paraId="4D18B257">
            <w:pPr>
              <w:autoSpaceDE w:val="0"/>
              <w:autoSpaceDN w:val="0"/>
              <w:adjustRightInd w:val="0"/>
              <w:snapToGrid w:val="0"/>
              <w:spacing w:line="360" w:lineRule="auto"/>
              <w:ind w:firstLine="480" w:firstLineChars="200"/>
              <w:jc w:val="left"/>
              <w:rPr>
                <w:rFonts w:hint="eastAsia" w:ascii="宋体" w:hAnsi="宋体" w:eastAsia="宋体" w:cs="宋体"/>
                <w:kern w:val="0"/>
                <w:sz w:val="21"/>
                <w:szCs w:val="21"/>
                <w:lang w:val="en-US" w:eastAsia="zh-CN"/>
              </w:rPr>
            </w:pPr>
            <w:r>
              <w:rPr>
                <w:rFonts w:hint="default" w:ascii="Times New Roman" w:hAnsi="Times New Roman" w:eastAsia="宋体" w:cs="Times New Roman"/>
                <w:color w:val="000000" w:themeColor="text1"/>
                <w:kern w:val="0"/>
                <w:sz w:val="24"/>
                <w:szCs w:val="24"/>
                <w:lang w:val="en-US" w:eastAsia="zh-CN"/>
              </w:rPr>
              <w:t>本项目为迁建项目，旧址位于岳阳市岳阳楼区巴陵西路与庙前街交叉口西北50米处，拟搬迁至岳阳市南湖大道399号，</w:t>
            </w:r>
            <w:r>
              <w:rPr>
                <w:rFonts w:hint="eastAsia" w:cs="Times New Roman"/>
                <w:color w:val="000000" w:themeColor="text1"/>
                <w:kern w:val="0"/>
                <w:sz w:val="24"/>
                <w:szCs w:val="24"/>
                <w:lang w:val="en-US" w:eastAsia="zh-CN"/>
              </w:rPr>
              <w:t>该址</w:t>
            </w:r>
            <w:r>
              <w:rPr>
                <w:rFonts w:hint="default" w:ascii="Times New Roman" w:hAnsi="Times New Roman" w:eastAsia="宋体" w:cs="Times New Roman"/>
                <w:color w:val="000000" w:themeColor="text1"/>
                <w:kern w:val="0"/>
                <w:sz w:val="24"/>
                <w:szCs w:val="24"/>
                <w:lang w:val="en-US" w:eastAsia="zh-CN"/>
              </w:rPr>
              <w:t>为原岳阳市中心医院金鹗山院区。根据调查，原岳阳市中心医院金鹗山院区已经搬迁至岳阳市中心医院新院区（仅搬迁医疗设备，公用、辅助、环保设施设备均不搬迁）。本院与原岳阳市中心医院金鹗山院同为综合医院</w:t>
            </w:r>
            <w:r>
              <w:rPr>
                <w:rFonts w:hint="default" w:ascii="Times New Roman" w:hAnsi="Times New Roman" w:cs="Times New Roman"/>
                <w:color w:val="000000" w:themeColor="text1"/>
                <w:kern w:val="0"/>
                <w:sz w:val="24"/>
                <w:szCs w:val="24"/>
                <w:lang w:val="en-US" w:eastAsia="zh-CN"/>
              </w:rPr>
              <w:t>，</w:t>
            </w:r>
            <w:r>
              <w:rPr>
                <w:rFonts w:hint="default" w:ascii="Times New Roman" w:hAnsi="Times New Roman" w:cs="Times New Roman"/>
                <w:kern w:val="0"/>
                <w:sz w:val="24"/>
                <w:szCs w:val="24"/>
                <w:lang w:val="en-US" w:eastAsia="zh-CN"/>
              </w:rPr>
              <w:t>在原有构筑物基础上进行简单装修即可投入运营，根据《岳阳市岳阳楼区人民政府常委会议纪要（第45次）</w:t>
            </w:r>
            <w:r>
              <w:rPr>
                <w:rFonts w:hint="default" w:ascii="Times New Roman" w:hAnsi="Times New Roman" w:cs="Times New Roman"/>
                <w:color w:val="auto"/>
                <w:kern w:val="0"/>
                <w:sz w:val="24"/>
                <w:szCs w:val="24"/>
                <w:lang w:val="en-US" w:eastAsia="zh-CN"/>
              </w:rPr>
              <w:t>》（详见附件2），本项</w:t>
            </w:r>
            <w:r>
              <w:rPr>
                <w:rFonts w:hint="default" w:ascii="Times New Roman" w:hAnsi="Times New Roman" w:cs="Times New Roman"/>
                <w:kern w:val="0"/>
                <w:sz w:val="24"/>
                <w:szCs w:val="24"/>
                <w:lang w:val="en-US" w:eastAsia="zh-CN"/>
              </w:rPr>
              <w:t>目搬迁是促进优质医疗资源均匀布局的重要举措，符合岳阳楼区</w:t>
            </w:r>
            <w:r>
              <w:rPr>
                <w:rFonts w:hint="default" w:ascii="Times New Roman" w:hAnsi="Times New Roman" w:eastAsia="宋体" w:cs="Times New Roman"/>
                <w:kern w:val="0"/>
                <w:sz w:val="24"/>
                <w:szCs w:val="24"/>
                <w:lang w:val="en-US" w:eastAsia="zh-CN"/>
              </w:rPr>
              <w:t>城市总体规划。本项目在认真落实环保等相关手续，产生的污染物经采取相应的污染防治措施治理后，可尽可能减少对周边居民住宅的影响，项目产生的污染对周围环境影响轻微，项目选址基本可行。因此，本项目选址合理。</w:t>
            </w:r>
          </w:p>
        </w:tc>
      </w:tr>
    </w:tbl>
    <w:p w14:paraId="7026B1E9">
      <w:pPr>
        <w:spacing w:line="360" w:lineRule="auto"/>
        <w:outlineLvl w:val="0"/>
        <w:rPr>
          <w:rFonts w:eastAsia="黑体"/>
          <w:sz w:val="30"/>
        </w:rPr>
        <w:sectPr>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14:paraId="4B183A1D">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center"/>
        <w:textAlignment w:val="auto"/>
        <w:outlineLvl w:val="0"/>
        <w:rPr>
          <w:rFonts w:ascii="黑体" w:hAnsi="黑体" w:eastAsia="黑体"/>
          <w:snapToGrid w:val="0"/>
          <w:sz w:val="30"/>
          <w:szCs w:val="30"/>
        </w:rPr>
      </w:pPr>
      <w:bookmarkStart w:id="7" w:name="_Toc134611495"/>
      <w:bookmarkStart w:id="8" w:name="_Toc139925579"/>
      <w:r>
        <w:rPr>
          <w:rFonts w:hint="eastAsia" w:ascii="黑体" w:hAnsi="黑体" w:eastAsia="黑体"/>
          <w:snapToGrid w:val="0"/>
          <w:sz w:val="30"/>
          <w:szCs w:val="30"/>
        </w:rPr>
        <w:t>二、建设项目工程分析</w:t>
      </w:r>
      <w:bookmarkEnd w:id="7"/>
      <w:bookmarkEnd w:id="8"/>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01F9B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823" w:type="dxa"/>
            <w:vAlign w:val="center"/>
          </w:tcPr>
          <w:p w14:paraId="573394E4">
            <w:pPr>
              <w:pStyle w:val="21"/>
              <w:adjustRightInd w:val="0"/>
              <w:snapToGrid w:val="0"/>
              <w:spacing w:before="0" w:beforeAutospacing="0" w:after="0" w:afterAutospacing="0" w:line="36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建设内容</w:t>
            </w:r>
          </w:p>
        </w:tc>
        <w:tc>
          <w:tcPr>
            <w:tcW w:w="8161" w:type="dxa"/>
          </w:tcPr>
          <w:p w14:paraId="7F83AE62">
            <w:pPr>
              <w:autoSpaceDE w:val="0"/>
              <w:autoSpaceDN w:val="0"/>
              <w:adjustRightInd w:val="0"/>
              <w:snapToGrid w:val="0"/>
              <w:spacing w:line="360" w:lineRule="auto"/>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1、项目概况</w:t>
            </w:r>
          </w:p>
          <w:p w14:paraId="57252623">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u w:val="none"/>
                <w:lang w:val="en-US" w:eastAsia="zh-CN"/>
              </w:rPr>
            </w:pPr>
            <w:r>
              <w:rPr>
                <w:rFonts w:hint="default" w:ascii="Times New Roman" w:hAnsi="Times New Roman" w:eastAsia="宋体" w:cs="Times New Roman"/>
                <w:kern w:val="0"/>
                <w:sz w:val="24"/>
                <w:szCs w:val="24"/>
                <w:u w:val="none"/>
                <w:lang w:val="en-US" w:eastAsia="zh-CN"/>
              </w:rPr>
              <w:t>岳阳市岳阳楼区人民医院</w:t>
            </w:r>
            <w:r>
              <w:rPr>
                <w:rFonts w:hint="default" w:ascii="Times New Roman" w:hAnsi="Times New Roman" w:cs="Times New Roman"/>
                <w:kern w:val="0"/>
                <w:sz w:val="24"/>
                <w:szCs w:val="24"/>
                <w:u w:val="none"/>
                <w:lang w:val="en-US" w:eastAsia="zh-CN"/>
              </w:rPr>
              <w:t>（岳阳</w:t>
            </w:r>
            <w:r>
              <w:rPr>
                <w:rFonts w:hint="default" w:ascii="Times New Roman" w:hAnsi="Times New Roman" w:cs="Times New Roman"/>
                <w:color w:val="auto"/>
                <w:kern w:val="0"/>
                <w:sz w:val="24"/>
                <w:szCs w:val="24"/>
                <w:u w:val="none"/>
                <w:lang w:val="en-US" w:eastAsia="zh-CN"/>
              </w:rPr>
              <w:t>肛肠病医</w:t>
            </w:r>
            <w:r>
              <w:rPr>
                <w:rFonts w:hint="default" w:ascii="Times New Roman" w:hAnsi="Times New Roman" w:cs="Times New Roman"/>
                <w:color w:val="000000" w:themeColor="text1"/>
                <w:kern w:val="0"/>
                <w:sz w:val="24"/>
                <w:szCs w:val="24"/>
                <w:u w:val="none"/>
                <w:lang w:val="en-US" w:eastAsia="zh-CN"/>
              </w:rPr>
              <w:t>院）旧址</w:t>
            </w:r>
            <w:r>
              <w:rPr>
                <w:rFonts w:hint="default" w:ascii="Times New Roman" w:hAnsi="Times New Roman" w:eastAsia="宋体" w:cs="Times New Roman"/>
                <w:color w:val="000000" w:themeColor="text1"/>
                <w:kern w:val="0"/>
                <w:sz w:val="24"/>
                <w:szCs w:val="24"/>
                <w:u w:val="none"/>
                <w:lang w:val="en-US" w:eastAsia="zh-CN"/>
              </w:rPr>
              <w:t>位于岳阳市岳阳楼区巴陵西路与庙前街交叉口西北50米处，建筑面积12000平方米。岳阳肛肠病医院属于岳阳楼区人民医院科室之一，本环评后续用岳阳楼区人民医院统一称呼，</w:t>
            </w:r>
            <w:r>
              <w:rPr>
                <w:rFonts w:hint="default" w:ascii="Times New Roman" w:hAnsi="Times New Roman" w:cs="Times New Roman"/>
                <w:color w:val="000000" w:themeColor="text1"/>
                <w:kern w:val="0"/>
                <w:sz w:val="24"/>
                <w:szCs w:val="24"/>
                <w:u w:val="none"/>
                <w:lang w:val="en-US" w:eastAsia="zh-CN"/>
              </w:rPr>
              <w:t>医院属性为：综合医院，</w:t>
            </w:r>
            <w:r>
              <w:rPr>
                <w:rFonts w:hint="default" w:ascii="Times New Roman" w:hAnsi="Times New Roman" w:eastAsia="宋体" w:cs="Times New Roman"/>
                <w:color w:val="000000" w:themeColor="text1"/>
                <w:kern w:val="0"/>
                <w:sz w:val="24"/>
                <w:szCs w:val="24"/>
                <w:u w:val="none"/>
                <w:lang w:val="en-US" w:eastAsia="zh-CN"/>
              </w:rPr>
              <w:t>项</w:t>
            </w:r>
            <w:r>
              <w:rPr>
                <w:rFonts w:hint="default" w:ascii="Times New Roman" w:hAnsi="Times New Roman" w:eastAsia="宋体" w:cs="Times New Roman"/>
                <w:kern w:val="0"/>
                <w:sz w:val="24"/>
                <w:szCs w:val="24"/>
                <w:u w:val="none"/>
                <w:lang w:val="en-US" w:eastAsia="zh-CN"/>
              </w:rPr>
              <w:t>目主体建设内容为1栋7层的大楼</w:t>
            </w:r>
            <w:r>
              <w:rPr>
                <w:rFonts w:hint="default" w:ascii="Times New Roman" w:hAnsi="Times New Roman" w:cs="Times New Roman"/>
                <w:kern w:val="0"/>
                <w:sz w:val="24"/>
                <w:szCs w:val="24"/>
                <w:u w:val="none"/>
                <w:lang w:val="en-US" w:eastAsia="zh-CN"/>
              </w:rPr>
              <w:t>；</w:t>
            </w:r>
            <w:r>
              <w:rPr>
                <w:rFonts w:hint="default" w:ascii="Times New Roman" w:hAnsi="Times New Roman" w:eastAsia="宋体" w:cs="Times New Roman"/>
                <w:kern w:val="0"/>
                <w:sz w:val="24"/>
                <w:szCs w:val="24"/>
                <w:u w:val="none"/>
                <w:lang w:val="en-US" w:eastAsia="zh-CN"/>
              </w:rPr>
              <w:t>另有医院厨房、餐厅、污水处理站等配套工程。医院共设置床位206张。开设了内科、神经内科、康复内科、外科、妇产科、儿科、肛肠科、五官科、急诊科、中医科、理疗科、健康管理中心等23个临床医技科室。岳阳楼区人民医院创建于</w:t>
            </w:r>
            <w:r>
              <w:rPr>
                <w:rFonts w:hint="default" w:ascii="Times New Roman" w:hAnsi="Times New Roman" w:cs="Times New Roman"/>
                <w:kern w:val="0"/>
                <w:sz w:val="24"/>
                <w:szCs w:val="24"/>
                <w:u w:val="none"/>
                <w:lang w:val="en-US" w:eastAsia="zh-CN"/>
              </w:rPr>
              <w:t>1956年并投入运营，医院于2018年9月补办了环评手续，于2018年10月18日取得了环评批复，批复文号：岳环楼批[2018]18号（附件3），于2019年4月12日完成了验收备案，备案编号：2019-003（附件4），2020年6月17日申领了排污许可证，证书编号：124306024461733874001R（附件5）。</w:t>
            </w:r>
          </w:p>
          <w:p w14:paraId="422B2D99">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u w:val="none"/>
                <w:lang w:val="en-US" w:eastAsia="zh-CN"/>
              </w:rPr>
            </w:pPr>
            <w:r>
              <w:rPr>
                <w:rFonts w:hint="default" w:ascii="Times New Roman" w:hAnsi="Times New Roman" w:cs="Times New Roman"/>
                <w:color w:val="000000" w:themeColor="text1"/>
                <w:kern w:val="0"/>
                <w:sz w:val="24"/>
                <w:szCs w:val="24"/>
                <w:u w:val="none"/>
                <w:lang w:val="en-US" w:eastAsia="zh-CN"/>
              </w:rPr>
              <w:t>岳阳市中心医院金鹗山院区（原名：岳阳市一人民医院南院）位于岳阳市南湖大道399号，共设有床位481张，该院于2020年5月办理环评手续，于2020年5月25日取得了环评批复，批复文号：岳环楼批[2020]09号（附件8）；于2023年5月11日完成了竣工环保验收，备案编号：430602-2023-006（附件9）；于2023年7月24日办理了排污许可证，证书编号：12430600446158291L001V（附件10）；并设有水质在线监测设备，已与生态环境局完成联网验收，监测因子：pH、COD、氨氮、总磷、总氮。</w:t>
            </w:r>
            <w:r>
              <w:rPr>
                <w:rFonts w:hint="eastAsia" w:cs="Times New Roman"/>
                <w:color w:val="000000" w:themeColor="text1"/>
                <w:kern w:val="0"/>
                <w:sz w:val="24"/>
                <w:szCs w:val="24"/>
                <w:u w:val="none"/>
                <w:lang w:val="en-US" w:eastAsia="zh-CN"/>
              </w:rPr>
              <w:t>在</w:t>
            </w:r>
            <w:r>
              <w:rPr>
                <w:rFonts w:hint="default" w:ascii="Times New Roman" w:hAnsi="Times New Roman" w:cs="Times New Roman"/>
                <w:color w:val="000000" w:themeColor="text1"/>
                <w:kern w:val="0"/>
                <w:sz w:val="24"/>
                <w:szCs w:val="24"/>
                <w:u w:val="none"/>
                <w:lang w:val="en-US" w:eastAsia="zh-CN"/>
              </w:rPr>
              <w:t>岳阳市中心医院金鹗山院区</w:t>
            </w:r>
            <w:r>
              <w:rPr>
                <w:rFonts w:hint="eastAsia" w:cs="Times New Roman"/>
                <w:color w:val="000000" w:themeColor="text1"/>
                <w:kern w:val="0"/>
                <w:sz w:val="24"/>
                <w:szCs w:val="24"/>
                <w:u w:val="none"/>
                <w:lang w:val="en-US" w:eastAsia="zh-CN"/>
              </w:rPr>
              <w:t>2020年的环评设计中，污水站恶臭的处理方式为：集中收集后通过紫外线消毒处理后屋顶排放，后根据主管部门要求，处理系统改为：碱水喷淋+活性炭吸附处理，以确保污水站恶臭能够达标排放。</w:t>
            </w:r>
            <w:r>
              <w:rPr>
                <w:rFonts w:hint="default" w:ascii="Times New Roman" w:hAnsi="Times New Roman" w:cs="Times New Roman"/>
                <w:color w:val="000000" w:themeColor="text1"/>
                <w:kern w:val="0"/>
                <w:sz w:val="24"/>
                <w:szCs w:val="24"/>
                <w:u w:val="none"/>
                <w:lang w:val="en-US" w:eastAsia="zh-CN"/>
              </w:rPr>
              <w:t>2025年10月，岳阳市中心医院新院区建成启用，同时启动了岳阳市中心医院金鹗山院区的搬迁工作，金鹗山院区人员、医疗设备均搬迁至岳阳市中心医院新院区，金鹗山院区已建公用、辅助、环保设施设备均不搬迁，根据调查，金鹗山院区搬迁工作现已完成，原有481张床位已全部拆除。</w:t>
            </w:r>
          </w:p>
          <w:p w14:paraId="16C27EA8">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u w:val="none"/>
                <w:lang w:val="en-US"/>
              </w:rPr>
            </w:pPr>
            <w:r>
              <w:rPr>
                <w:rFonts w:hint="default" w:ascii="Times New Roman" w:hAnsi="Times New Roman" w:cs="Times New Roman"/>
                <w:kern w:val="0"/>
                <w:sz w:val="24"/>
                <w:szCs w:val="24"/>
                <w:u w:val="none"/>
                <w:lang w:val="en-US" w:eastAsia="zh-CN"/>
              </w:rPr>
              <w:t>随着社会的迅速发展，人们的生活质量不断提高，对就医环境及保健就医的要求越来越高，城区越发紧凑，</w:t>
            </w:r>
            <w:r>
              <w:rPr>
                <w:rFonts w:hint="default" w:ascii="Times New Roman" w:hAnsi="Times New Roman" w:eastAsia="宋体" w:cs="Times New Roman"/>
                <w:kern w:val="0"/>
                <w:sz w:val="24"/>
                <w:szCs w:val="24"/>
                <w:u w:val="none"/>
                <w:lang w:val="en-US" w:eastAsia="zh-CN"/>
              </w:rPr>
              <w:t>岳阳市岳阳楼区人民医院</w:t>
            </w:r>
            <w:r>
              <w:rPr>
                <w:rFonts w:hint="default" w:ascii="Times New Roman" w:hAnsi="Times New Roman" w:cs="Times New Roman"/>
                <w:kern w:val="0"/>
                <w:sz w:val="24"/>
                <w:szCs w:val="24"/>
                <w:u w:val="none"/>
                <w:lang w:val="en-US" w:eastAsia="zh-CN"/>
              </w:rPr>
              <w:t>（岳阳肛肠病医院）的诊治能力已经远不能满足患者需求，为满足岳阳市民日益增长的医疗需求，优化医疗资源均衡布局，同时根据</w:t>
            </w:r>
            <w:r>
              <w:rPr>
                <w:rFonts w:hint="default" w:ascii="Times New Roman" w:hAnsi="Times New Roman" w:cs="Times New Roman"/>
                <w:kern w:val="0"/>
                <w:sz w:val="24"/>
                <w:szCs w:val="24"/>
                <w:lang w:val="en-US" w:eastAsia="zh-CN"/>
              </w:rPr>
              <w:t>《岳阳市岳阳楼区人民政府常委会议纪要（第45次）》的指示，</w:t>
            </w:r>
            <w:r>
              <w:rPr>
                <w:rFonts w:hint="default" w:ascii="Times New Roman" w:hAnsi="Times New Roman" w:eastAsia="宋体" w:cs="Times New Roman"/>
                <w:kern w:val="0"/>
                <w:sz w:val="24"/>
                <w:szCs w:val="24"/>
                <w:u w:val="none"/>
                <w:lang w:val="en-US" w:eastAsia="zh-CN"/>
              </w:rPr>
              <w:t>岳阳市岳阳楼区人民医院</w:t>
            </w:r>
            <w:r>
              <w:rPr>
                <w:rFonts w:hint="default" w:ascii="Times New Roman" w:hAnsi="Times New Roman" w:cs="Times New Roman"/>
                <w:kern w:val="0"/>
                <w:sz w:val="24"/>
                <w:szCs w:val="24"/>
                <w:u w:val="none"/>
                <w:lang w:val="en-US" w:eastAsia="zh-CN"/>
              </w:rPr>
              <w:t>（岳阳肛肠病医院）搬迁至岳阳市中心医院金鹗山院区旧址，对原有建筑进行简单装修后投入使用。</w:t>
            </w:r>
            <w:r>
              <w:rPr>
                <w:rFonts w:hint="default" w:ascii="Times New Roman" w:hAnsi="Times New Roman" w:cs="Times New Roman"/>
                <w:color w:val="000000" w:themeColor="text1"/>
                <w:kern w:val="0"/>
                <w:sz w:val="24"/>
                <w:szCs w:val="24"/>
                <w:u w:val="none"/>
                <w:lang w:val="en-US" w:eastAsia="zh-CN"/>
              </w:rPr>
              <w:t>本项目搬迁后计划设360张床位，开设感染科、</w:t>
            </w:r>
            <w:r>
              <w:rPr>
                <w:rFonts w:hint="default" w:ascii="Times New Roman" w:hAnsi="Times New Roman" w:cs="Times New Roman"/>
                <w:color w:val="000000" w:themeColor="text1"/>
                <w:kern w:val="0"/>
                <w:sz w:val="24"/>
                <w:szCs w:val="24"/>
                <w:u w:val="single"/>
                <w:lang w:val="en-US" w:eastAsia="zh-CN"/>
              </w:rPr>
              <w:t>传染病科</w:t>
            </w:r>
            <w:r>
              <w:rPr>
                <w:rFonts w:hint="eastAsia" w:cs="Times New Roman"/>
                <w:color w:val="000000" w:themeColor="text1"/>
                <w:kern w:val="0"/>
                <w:sz w:val="24"/>
                <w:szCs w:val="24"/>
                <w:u w:val="single"/>
                <w:lang w:val="en-US" w:eastAsia="zh-CN"/>
              </w:rPr>
              <w:t>（38张床位）</w:t>
            </w:r>
            <w:r>
              <w:rPr>
                <w:rFonts w:hint="default" w:ascii="Times New Roman" w:hAnsi="Times New Roman" w:cs="Times New Roman"/>
                <w:color w:val="000000" w:themeColor="text1"/>
                <w:kern w:val="0"/>
                <w:sz w:val="24"/>
                <w:szCs w:val="24"/>
                <w:u w:val="none"/>
                <w:lang w:val="en-US" w:eastAsia="zh-CN"/>
              </w:rPr>
              <w:t>、肛肠科、妇科、妇科、产科、检验科、内科、外科、发热门诊，利用原岳阳市中心医院金鹗山院区的公用、辅助、环保设施进行运营</w:t>
            </w:r>
            <w:r>
              <w:rPr>
                <w:rFonts w:hint="default" w:ascii="Times New Roman" w:hAnsi="Times New Roman" w:cs="Times New Roman"/>
                <w:color w:val="000000" w:themeColor="text1"/>
                <w:kern w:val="0"/>
                <w:sz w:val="24"/>
                <w:szCs w:val="24"/>
                <w:highlight w:val="none"/>
                <w:u w:val="none"/>
                <w:lang w:val="en-US" w:eastAsia="zh-CN"/>
              </w:rPr>
              <w:t>，本次搬迁仅搬迁医疗设备，污水处理站等环保设施保持原状，不进行搬迁。根据调查，本院原址旁有岳阳楼街道社区卫生服务中心，共用污水处理站等环保设施，本院搬迁完成后，环保设施由原址旁的岳阳楼街道社区卫生服务中心继续使用</w:t>
            </w:r>
            <w:r>
              <w:rPr>
                <w:rFonts w:hint="default" w:ascii="Times New Roman" w:hAnsi="Times New Roman" w:cs="Times New Roman"/>
                <w:color w:val="000000" w:themeColor="text1"/>
                <w:kern w:val="0"/>
                <w:sz w:val="24"/>
                <w:szCs w:val="24"/>
                <w:u w:val="none"/>
                <w:lang w:val="en-US" w:eastAsia="zh-CN"/>
              </w:rPr>
              <w:t>。</w:t>
            </w:r>
          </w:p>
          <w:p w14:paraId="05DB9B5A">
            <w:pPr>
              <w:autoSpaceDE w:val="0"/>
              <w:autoSpaceDN w:val="0"/>
              <w:adjustRightInd w:val="0"/>
              <w:snapToGrid w:val="0"/>
              <w:spacing w:line="360" w:lineRule="auto"/>
              <w:ind w:firstLine="480" w:firstLineChars="200"/>
              <w:jc w:val="left"/>
              <w:rPr>
                <w:rFonts w:hint="default" w:ascii="Times New Roman" w:hAnsi="Times New Roman" w:cs="Times New Roman"/>
                <w:color w:val="0000FF"/>
                <w:kern w:val="0"/>
                <w:sz w:val="24"/>
                <w:szCs w:val="24"/>
                <w:u w:val="none"/>
                <w:lang w:val="en-US" w:eastAsia="zh-CN"/>
              </w:rPr>
            </w:pPr>
            <w:r>
              <w:rPr>
                <w:rFonts w:hint="eastAsia" w:cs="Times New Roman"/>
                <w:color w:val="000000" w:themeColor="text1"/>
                <w:kern w:val="0"/>
                <w:sz w:val="24"/>
                <w:szCs w:val="24"/>
                <w:u w:val="none"/>
                <w:lang w:val="en-US" w:eastAsia="zh-CN"/>
              </w:rPr>
              <w:t>注：原岳阳市中心医院金鹗山院区范围内还有一栋4层的儿科门急诊楼，该楼交由岳阳市口腔医院使用，口腔医院与本院一同搬迁至原岳阳市中心医院金鹗山院区旧址（详见附件2）。岳阳市口腔医院为独立法人，自行办理相关环保手续，本评价不包含岳阳市口腔医院建设内容</w:t>
            </w:r>
            <w:r>
              <w:rPr>
                <w:rFonts w:hint="eastAsia" w:cs="Times New Roman"/>
                <w:color w:val="0000FF"/>
                <w:kern w:val="0"/>
                <w:sz w:val="24"/>
                <w:szCs w:val="24"/>
                <w:u w:val="none"/>
                <w:lang w:val="en-US" w:eastAsia="zh-CN"/>
              </w:rPr>
              <w:t>。</w:t>
            </w:r>
          </w:p>
          <w:p w14:paraId="375F795B">
            <w:pPr>
              <w:autoSpaceDE w:val="0"/>
              <w:autoSpaceDN w:val="0"/>
              <w:adjustRightInd w:val="0"/>
              <w:snapToGrid w:val="0"/>
              <w:spacing w:line="360" w:lineRule="auto"/>
              <w:ind w:firstLine="480" w:firstLineChars="200"/>
              <w:jc w:val="left"/>
              <w:rPr>
                <w:rFonts w:hint="default" w:ascii="Times New Roman" w:hAnsi="Times New Roman" w:cs="Times New Roman"/>
                <w:kern w:val="0"/>
                <w:sz w:val="24"/>
                <w:szCs w:val="24"/>
                <w:u w:val="single"/>
                <w:lang w:val="en-US" w:eastAsia="zh-CN"/>
              </w:rPr>
            </w:pPr>
            <w:r>
              <w:rPr>
                <w:rFonts w:hint="eastAsia" w:cs="Times New Roman"/>
                <w:kern w:val="0"/>
                <w:sz w:val="24"/>
                <w:szCs w:val="24"/>
                <w:u w:val="single"/>
                <w:lang w:val="en-US" w:eastAsia="zh-CN"/>
              </w:rPr>
              <w:t>本评价不包含</w:t>
            </w:r>
            <w:r>
              <w:rPr>
                <w:rFonts w:hint="default" w:ascii="Times New Roman" w:hAnsi="Times New Roman" w:cs="Times New Roman"/>
                <w:kern w:val="0"/>
                <w:sz w:val="24"/>
                <w:szCs w:val="24"/>
                <w:u w:val="single"/>
                <w:lang w:val="en-US" w:eastAsia="zh-CN"/>
              </w:rPr>
              <w:t>原岳阳楼区人民医院（肛肠病医院）搬迁过程及场地恢复</w:t>
            </w:r>
            <w:r>
              <w:rPr>
                <w:rFonts w:hint="eastAsia" w:cs="Times New Roman"/>
                <w:kern w:val="0"/>
                <w:sz w:val="24"/>
                <w:szCs w:val="24"/>
                <w:u w:val="single"/>
                <w:lang w:val="en-US" w:eastAsia="zh-CN"/>
              </w:rPr>
              <w:t>内容。</w:t>
            </w:r>
          </w:p>
          <w:p w14:paraId="07050FB9">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u w:val="none"/>
                <w:lang w:val="en-US" w:eastAsia="zh-CN"/>
              </w:rPr>
            </w:pPr>
            <w:r>
              <w:rPr>
                <w:rFonts w:hint="default" w:ascii="Times New Roman" w:hAnsi="Times New Roman" w:cs="Times New Roman"/>
                <w:kern w:val="0"/>
                <w:sz w:val="24"/>
                <w:szCs w:val="24"/>
                <w:u w:val="none"/>
                <w:lang w:val="en-US" w:eastAsia="zh-CN"/>
              </w:rPr>
              <w:t>根据《中华人民共和国环境影响评价法》和国务院第682号令《建设项目环境保护管理条例》的有关规定，本项目应进行环境影响评价。根据《建设项目环境影响评价分</w:t>
            </w:r>
            <w:r>
              <w:rPr>
                <w:rFonts w:hint="default" w:ascii="Times New Roman" w:hAnsi="Times New Roman" w:eastAsia="宋体" w:cs="Times New Roman"/>
                <w:kern w:val="0"/>
                <w:sz w:val="24"/>
                <w:szCs w:val="24"/>
                <w:u w:val="none"/>
              </w:rPr>
              <w:t>类管理名录》(2021年版)，本项目属于“四十九、卫生 84—108 医院 841”，其中“其他（住院床位20张以下的除外)”需编制报告表，本项目属于“其他”类项目，应编制环境影响报告表。</w:t>
            </w:r>
            <w:r>
              <w:rPr>
                <w:rFonts w:hint="default" w:ascii="Times New Roman" w:hAnsi="Times New Roman" w:eastAsia="宋体" w:cs="Times New Roman"/>
                <w:kern w:val="0"/>
                <w:sz w:val="24"/>
                <w:szCs w:val="24"/>
                <w:u w:val="none"/>
                <w:lang w:val="en-US" w:eastAsia="zh-CN"/>
              </w:rPr>
              <w:t>本次评</w:t>
            </w:r>
            <w:r>
              <w:rPr>
                <w:rFonts w:hint="default" w:ascii="Times New Roman" w:hAnsi="Times New Roman" w:eastAsia="宋体" w:cs="Times New Roman"/>
                <w:kern w:val="0"/>
                <w:sz w:val="24"/>
                <w:szCs w:val="24"/>
                <w:highlight w:val="none"/>
                <w:u w:val="none"/>
                <w:lang w:val="en-US" w:eastAsia="zh-CN"/>
              </w:rPr>
              <w:t>价不涉及辐射类环评内容，</w:t>
            </w:r>
            <w:r>
              <w:rPr>
                <w:rFonts w:hint="default" w:ascii="Times New Roman" w:hAnsi="Times New Roman" w:cs="Times New Roman"/>
                <w:kern w:val="0"/>
                <w:sz w:val="24"/>
                <w:szCs w:val="24"/>
                <w:highlight w:val="none"/>
                <w:u w:val="none"/>
                <w:lang w:val="en-US" w:eastAsia="zh-CN"/>
              </w:rPr>
              <w:t>本院</w:t>
            </w:r>
            <w:r>
              <w:rPr>
                <w:rFonts w:hint="default" w:ascii="Times New Roman" w:hAnsi="Times New Roman" w:eastAsia="宋体" w:cs="Times New Roman"/>
                <w:kern w:val="0"/>
                <w:sz w:val="24"/>
                <w:szCs w:val="24"/>
                <w:highlight w:val="none"/>
                <w:u w:val="none"/>
                <w:lang w:val="en-US" w:eastAsia="zh-CN"/>
              </w:rPr>
              <w:t>涉及与辐射性有关的内容，不在本次评价范围内，需按照《建设项目环境影响评价分类管理名录》另行</w:t>
            </w:r>
            <w:r>
              <w:rPr>
                <w:rFonts w:hint="default" w:ascii="Times New Roman" w:hAnsi="Times New Roman" w:eastAsia="宋体" w:cs="Times New Roman"/>
                <w:kern w:val="0"/>
                <w:sz w:val="24"/>
                <w:szCs w:val="24"/>
                <w:u w:val="none"/>
                <w:lang w:val="en-US" w:eastAsia="zh-CN"/>
              </w:rPr>
              <w:t>环评。</w:t>
            </w:r>
          </w:p>
          <w:p w14:paraId="22DC6A67">
            <w:pPr>
              <w:autoSpaceDE w:val="0"/>
              <w:autoSpaceDN w:val="0"/>
              <w:adjustRightInd w:val="0"/>
              <w:snapToGrid w:val="0"/>
              <w:spacing w:line="360" w:lineRule="auto"/>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2、主要建设内容</w:t>
            </w:r>
          </w:p>
          <w:p w14:paraId="218811E5">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color w:val="000000" w:themeColor="text1"/>
                <w:kern w:val="0"/>
                <w:sz w:val="24"/>
                <w:szCs w:val="24"/>
                <w:u w:val="single"/>
              </w:rPr>
              <w:t>本项目病人和医生的被服由医院外委至相关洗涤机构进行清洗</w:t>
            </w:r>
            <w:r>
              <w:rPr>
                <w:rFonts w:hint="eastAsia" w:ascii="Times New Roman" w:hAnsi="Times New Roman" w:cs="Times New Roman"/>
                <w:color w:val="000000" w:themeColor="text1"/>
                <w:kern w:val="0"/>
                <w:sz w:val="24"/>
                <w:szCs w:val="24"/>
                <w:u w:val="single"/>
                <w:lang w:eastAsia="zh-CN"/>
              </w:rPr>
              <w:t>，</w:t>
            </w:r>
            <w:r>
              <w:rPr>
                <w:rFonts w:hint="eastAsia" w:ascii="Times New Roman" w:hAnsi="Times New Roman" w:cs="Times New Roman"/>
                <w:color w:val="000000" w:themeColor="text1"/>
                <w:kern w:val="0"/>
                <w:sz w:val="24"/>
                <w:szCs w:val="24"/>
                <w:u w:val="single"/>
                <w:lang w:val="en-US" w:eastAsia="zh-CN"/>
              </w:rPr>
              <w:t>本院不设洗衣房</w:t>
            </w:r>
            <w:r>
              <w:rPr>
                <w:rFonts w:hint="eastAsia" w:ascii="Times New Roman" w:hAnsi="Times New Roman" w:cs="Times New Roman"/>
                <w:color w:val="000000" w:themeColor="text1"/>
                <w:kern w:val="0"/>
                <w:sz w:val="24"/>
                <w:szCs w:val="24"/>
                <w:lang w:eastAsia="zh-CN"/>
              </w:rPr>
              <w:t>。</w:t>
            </w:r>
            <w:r>
              <w:rPr>
                <w:rFonts w:hint="default" w:ascii="Times New Roman" w:hAnsi="Times New Roman" w:eastAsia="宋体" w:cs="Times New Roman"/>
                <w:kern w:val="0"/>
                <w:sz w:val="24"/>
                <w:szCs w:val="24"/>
              </w:rPr>
              <w:t>本项目主要建设内容见表2-1。</w:t>
            </w:r>
          </w:p>
          <w:p w14:paraId="4BBCB06E">
            <w:pPr>
              <w:autoSpaceDE w:val="0"/>
              <w:autoSpaceDN w:val="0"/>
              <w:adjustRightInd w:val="0"/>
              <w:snapToGrid w:val="0"/>
              <w:spacing w:line="360" w:lineRule="auto"/>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表2-1</w:t>
            </w:r>
            <w:r>
              <w:rPr>
                <w:rFonts w:hint="default" w:ascii="Times New Roman" w:hAnsi="Times New Roman" w:cs="Times New Roman"/>
                <w:b/>
                <w:bCs/>
                <w:kern w:val="0"/>
                <w:sz w:val="21"/>
                <w:szCs w:val="21"/>
                <w:lang w:val="en-US" w:eastAsia="zh-CN"/>
              </w:rPr>
              <w:t xml:space="preserve"> </w:t>
            </w:r>
            <w:r>
              <w:rPr>
                <w:rFonts w:hint="default" w:ascii="Times New Roman" w:hAnsi="Times New Roman" w:eastAsia="宋体" w:cs="Times New Roman"/>
                <w:b/>
                <w:bCs/>
                <w:kern w:val="0"/>
                <w:sz w:val="21"/>
                <w:szCs w:val="21"/>
              </w:rPr>
              <w:t>本项目主要构筑物一览表</w:t>
            </w:r>
          </w:p>
          <w:tbl>
            <w:tblPr>
              <w:tblStyle w:val="24"/>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920"/>
              <w:gridCol w:w="741"/>
              <w:gridCol w:w="4418"/>
              <w:gridCol w:w="1272"/>
            </w:tblGrid>
            <w:tr w14:paraId="4413E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shd w:val="clear" w:color="auto" w:fill="auto"/>
                  <w:vAlign w:val="center"/>
                </w:tcPr>
                <w:p w14:paraId="0F4F0F7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类别</w:t>
                  </w:r>
                </w:p>
              </w:tc>
              <w:tc>
                <w:tcPr>
                  <w:tcW w:w="1661" w:type="dxa"/>
                  <w:gridSpan w:val="2"/>
                  <w:shd w:val="clear" w:color="auto" w:fill="auto"/>
                  <w:vAlign w:val="center"/>
                </w:tcPr>
                <w:p w14:paraId="0908075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项目名称</w:t>
                  </w:r>
                </w:p>
              </w:tc>
              <w:tc>
                <w:tcPr>
                  <w:tcW w:w="4418" w:type="dxa"/>
                  <w:shd w:val="clear" w:color="auto" w:fill="auto"/>
                  <w:vAlign w:val="center"/>
                </w:tcPr>
                <w:p w14:paraId="1CF2A4F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项目内容</w:t>
                  </w:r>
                </w:p>
              </w:tc>
              <w:tc>
                <w:tcPr>
                  <w:tcW w:w="1272" w:type="dxa"/>
                  <w:shd w:val="clear" w:color="auto" w:fill="auto"/>
                  <w:vAlign w:val="center"/>
                </w:tcPr>
                <w:p w14:paraId="7ABA520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备注</w:t>
                  </w:r>
                </w:p>
              </w:tc>
            </w:tr>
            <w:tr w14:paraId="2730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6" w:type="dxa"/>
                  <w:vMerge w:val="restart"/>
                  <w:shd w:val="clear" w:color="auto" w:fill="auto"/>
                  <w:vAlign w:val="center"/>
                </w:tcPr>
                <w:p w14:paraId="3A7ABC3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主体工程</w:t>
                  </w:r>
                </w:p>
              </w:tc>
              <w:tc>
                <w:tcPr>
                  <w:tcW w:w="920" w:type="dxa"/>
                  <w:vMerge w:val="restart"/>
                  <w:shd w:val="clear" w:color="auto" w:fill="auto"/>
                  <w:vAlign w:val="center"/>
                </w:tcPr>
                <w:p w14:paraId="5E54766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传染病楼，共6层</w:t>
                  </w:r>
                </w:p>
              </w:tc>
              <w:tc>
                <w:tcPr>
                  <w:tcW w:w="741" w:type="dxa"/>
                  <w:shd w:val="clear" w:color="auto" w:fill="auto"/>
                  <w:vAlign w:val="center"/>
                </w:tcPr>
                <w:p w14:paraId="06DA941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1F</w:t>
                  </w:r>
                </w:p>
              </w:tc>
              <w:tc>
                <w:tcPr>
                  <w:tcW w:w="4418" w:type="dxa"/>
                  <w:shd w:val="clear" w:color="auto" w:fill="auto"/>
                  <w:vAlign w:val="center"/>
                </w:tcPr>
                <w:p w14:paraId="39FB4CF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传染科门诊、后勤维修中心(主要包括中央空调机房、发电机房、配电房、制氧房等)</w:t>
                  </w:r>
                </w:p>
              </w:tc>
              <w:tc>
                <w:tcPr>
                  <w:tcW w:w="1272" w:type="dxa"/>
                  <w:vMerge w:val="restart"/>
                  <w:shd w:val="clear" w:color="auto" w:fill="auto"/>
                  <w:vAlign w:val="center"/>
                </w:tcPr>
                <w:p w14:paraId="7D12045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利用原有建筑建设，建筑面积5783m</w:t>
                  </w:r>
                  <w:r>
                    <w:rPr>
                      <w:rFonts w:hint="default" w:ascii="Times New Roman" w:hAnsi="Times New Roman" w:cs="Times New Roman"/>
                      <w:kern w:val="0"/>
                      <w:sz w:val="21"/>
                      <w:szCs w:val="21"/>
                      <w:vertAlign w:val="superscript"/>
                      <w:lang w:val="en-US" w:eastAsia="zh-CN"/>
                    </w:rPr>
                    <w:t>2</w:t>
                  </w:r>
                </w:p>
              </w:tc>
            </w:tr>
            <w:tr w14:paraId="6DD30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5F204C5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2F99EA3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1D93561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2F</w:t>
                  </w:r>
                </w:p>
              </w:tc>
              <w:tc>
                <w:tcPr>
                  <w:tcW w:w="4418" w:type="dxa"/>
                  <w:shd w:val="clear" w:color="auto" w:fill="auto"/>
                  <w:vAlign w:val="center"/>
                </w:tcPr>
                <w:p w14:paraId="6E97461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传染科门诊</w:t>
                  </w:r>
                </w:p>
              </w:tc>
              <w:tc>
                <w:tcPr>
                  <w:tcW w:w="1272" w:type="dxa"/>
                  <w:vMerge w:val="continue"/>
                  <w:shd w:val="clear" w:color="auto" w:fill="auto"/>
                  <w:vAlign w:val="center"/>
                </w:tcPr>
                <w:p w14:paraId="6C8FE54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66F4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39FFDCD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2E2EF41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0606DF8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3F</w:t>
                  </w:r>
                </w:p>
              </w:tc>
              <w:tc>
                <w:tcPr>
                  <w:tcW w:w="4418" w:type="dxa"/>
                  <w:vMerge w:val="restart"/>
                  <w:shd w:val="clear" w:color="auto" w:fill="auto"/>
                  <w:vAlign w:val="center"/>
                </w:tcPr>
                <w:p w14:paraId="3C552B9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传染科住院部</w:t>
                  </w:r>
                </w:p>
              </w:tc>
              <w:tc>
                <w:tcPr>
                  <w:tcW w:w="1272" w:type="dxa"/>
                  <w:vMerge w:val="continue"/>
                  <w:shd w:val="clear" w:color="auto" w:fill="auto"/>
                  <w:vAlign w:val="center"/>
                </w:tcPr>
                <w:p w14:paraId="20F39BA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56FE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2D92F6B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11D7847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7B707B7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4F</w:t>
                  </w:r>
                </w:p>
              </w:tc>
              <w:tc>
                <w:tcPr>
                  <w:tcW w:w="4418" w:type="dxa"/>
                  <w:vMerge w:val="continue"/>
                  <w:shd w:val="clear" w:color="auto" w:fill="auto"/>
                  <w:vAlign w:val="center"/>
                </w:tcPr>
                <w:p w14:paraId="5C7EF86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272" w:type="dxa"/>
                  <w:vMerge w:val="continue"/>
                  <w:shd w:val="clear" w:color="auto" w:fill="auto"/>
                  <w:vAlign w:val="center"/>
                </w:tcPr>
                <w:p w14:paraId="68BFD6E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7059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5852A3F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7A42834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647277B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5F</w:t>
                  </w:r>
                </w:p>
              </w:tc>
              <w:tc>
                <w:tcPr>
                  <w:tcW w:w="4418" w:type="dxa"/>
                  <w:vMerge w:val="continue"/>
                  <w:shd w:val="clear" w:color="auto" w:fill="auto"/>
                  <w:vAlign w:val="center"/>
                </w:tcPr>
                <w:p w14:paraId="573236E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272" w:type="dxa"/>
                  <w:vMerge w:val="continue"/>
                  <w:shd w:val="clear" w:color="auto" w:fill="auto"/>
                  <w:vAlign w:val="center"/>
                </w:tcPr>
                <w:p w14:paraId="2FA66C3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1AE9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478A74A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5FAB0C0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3549489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6F</w:t>
                  </w:r>
                </w:p>
              </w:tc>
              <w:tc>
                <w:tcPr>
                  <w:tcW w:w="4418" w:type="dxa"/>
                  <w:shd w:val="clear" w:color="auto" w:fill="auto"/>
                  <w:vAlign w:val="center"/>
                </w:tcPr>
                <w:p w14:paraId="3FC3966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会议室</w:t>
                  </w:r>
                </w:p>
              </w:tc>
              <w:tc>
                <w:tcPr>
                  <w:tcW w:w="1272" w:type="dxa"/>
                  <w:vMerge w:val="continue"/>
                  <w:shd w:val="clear" w:color="auto" w:fill="auto"/>
                  <w:vAlign w:val="center"/>
                </w:tcPr>
                <w:p w14:paraId="7961CC4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576C1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753B5CE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restart"/>
                  <w:shd w:val="clear" w:color="auto" w:fill="auto"/>
                  <w:vAlign w:val="center"/>
                </w:tcPr>
                <w:p w14:paraId="77A3530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cs="Times New Roman"/>
                      <w:color w:val="000000" w:themeColor="text1"/>
                      <w:kern w:val="0"/>
                      <w:sz w:val="21"/>
                      <w:szCs w:val="21"/>
                      <w:lang w:val="en-US" w:eastAsia="zh-CN"/>
                    </w:rPr>
                    <w:t>综合楼，地上14层，地下1层</w:t>
                  </w:r>
                </w:p>
              </w:tc>
              <w:tc>
                <w:tcPr>
                  <w:tcW w:w="741" w:type="dxa"/>
                  <w:shd w:val="clear" w:color="auto" w:fill="auto"/>
                  <w:vAlign w:val="center"/>
                </w:tcPr>
                <w:p w14:paraId="721F4F2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-1F</w:t>
                  </w:r>
                </w:p>
              </w:tc>
              <w:tc>
                <w:tcPr>
                  <w:tcW w:w="4418" w:type="dxa"/>
                  <w:shd w:val="clear" w:color="auto" w:fill="auto"/>
                  <w:vAlign w:val="center"/>
                </w:tcPr>
                <w:p w14:paraId="209D67D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采购科、病案统计、药库、放射科</w:t>
                  </w:r>
                </w:p>
              </w:tc>
              <w:tc>
                <w:tcPr>
                  <w:tcW w:w="1272" w:type="dxa"/>
                  <w:vMerge w:val="restart"/>
                  <w:shd w:val="clear" w:color="auto" w:fill="auto"/>
                  <w:vAlign w:val="center"/>
                </w:tcPr>
                <w:p w14:paraId="49F08E9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利用原有建筑建设，建筑面积24409m</w:t>
                  </w:r>
                  <w:r>
                    <w:rPr>
                      <w:rFonts w:hint="default" w:ascii="Times New Roman" w:hAnsi="Times New Roman" w:cs="Times New Roman"/>
                      <w:kern w:val="0"/>
                      <w:sz w:val="21"/>
                      <w:szCs w:val="21"/>
                      <w:vertAlign w:val="superscript"/>
                      <w:lang w:val="en-US" w:eastAsia="zh-CN"/>
                    </w:rPr>
                    <w:t>2</w:t>
                  </w:r>
                </w:p>
              </w:tc>
            </w:tr>
            <w:tr w14:paraId="332A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2BEFE19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5F50938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413B7B9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1F</w:t>
                  </w:r>
                </w:p>
              </w:tc>
              <w:tc>
                <w:tcPr>
                  <w:tcW w:w="4418" w:type="dxa"/>
                  <w:shd w:val="clear" w:color="auto" w:fill="auto"/>
                  <w:vAlign w:val="center"/>
                </w:tcPr>
                <w:p w14:paraId="1262BF8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保安监控室、导诊台、挂号室(医保办)、急诊科、儿科急诊室、外科急诊室、内科急诊室、门诊护士站、门诊输液室、诊疗室、处置室、急诊检验室、门诊与住院药房</w:t>
                  </w:r>
                </w:p>
              </w:tc>
              <w:tc>
                <w:tcPr>
                  <w:tcW w:w="1272" w:type="dxa"/>
                  <w:vMerge w:val="continue"/>
                  <w:shd w:val="clear" w:color="auto" w:fill="auto"/>
                  <w:vAlign w:val="center"/>
                </w:tcPr>
                <w:p w14:paraId="199EF19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3AC5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39F0D3B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504C74E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220BEEC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2F</w:t>
                  </w:r>
                </w:p>
              </w:tc>
              <w:tc>
                <w:tcPr>
                  <w:tcW w:w="4418" w:type="dxa"/>
                  <w:shd w:val="clear" w:color="auto" w:fill="auto"/>
                  <w:vAlign w:val="center"/>
                </w:tcPr>
                <w:p w14:paraId="000981C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肛肠科门诊、妇科门诊、产检门诊、中医门诊、内科门诊、外科门诊</w:t>
                  </w:r>
                </w:p>
              </w:tc>
              <w:tc>
                <w:tcPr>
                  <w:tcW w:w="1272" w:type="dxa"/>
                  <w:vMerge w:val="continue"/>
                  <w:shd w:val="clear" w:color="auto" w:fill="auto"/>
                  <w:vAlign w:val="center"/>
                </w:tcPr>
                <w:p w14:paraId="7A0ED1B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328B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709A260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5AAFB43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45B7A40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3F</w:t>
                  </w:r>
                </w:p>
              </w:tc>
              <w:tc>
                <w:tcPr>
                  <w:tcW w:w="4418" w:type="dxa"/>
                  <w:shd w:val="clear" w:color="auto" w:fill="auto"/>
                  <w:vAlign w:val="center"/>
                </w:tcPr>
                <w:p w14:paraId="525AD97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检验科、B超室、心电图室、内镜中心</w:t>
                  </w:r>
                </w:p>
              </w:tc>
              <w:tc>
                <w:tcPr>
                  <w:tcW w:w="1272" w:type="dxa"/>
                  <w:vMerge w:val="continue"/>
                  <w:shd w:val="clear" w:color="auto" w:fill="auto"/>
                  <w:vAlign w:val="center"/>
                </w:tcPr>
                <w:p w14:paraId="5439933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181EB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71A65D7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4431074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579B88A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4F</w:t>
                  </w:r>
                </w:p>
              </w:tc>
              <w:tc>
                <w:tcPr>
                  <w:tcW w:w="4418" w:type="dxa"/>
                  <w:shd w:val="clear" w:color="auto" w:fill="auto"/>
                  <w:vAlign w:val="center"/>
                </w:tcPr>
                <w:p w14:paraId="2E6CCBE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体检中心前台、体检档案室、体检中心</w:t>
                  </w:r>
                </w:p>
              </w:tc>
              <w:tc>
                <w:tcPr>
                  <w:tcW w:w="1272" w:type="dxa"/>
                  <w:vMerge w:val="continue"/>
                  <w:shd w:val="clear" w:color="auto" w:fill="auto"/>
                  <w:vAlign w:val="center"/>
                </w:tcPr>
                <w:p w14:paraId="765CF81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0EB9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705D5C6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920" w:type="dxa"/>
                  <w:vMerge w:val="continue"/>
                  <w:shd w:val="clear" w:color="auto" w:fill="auto"/>
                  <w:vAlign w:val="center"/>
                </w:tcPr>
                <w:p w14:paraId="21BB3BD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p>
              </w:tc>
              <w:tc>
                <w:tcPr>
                  <w:tcW w:w="741" w:type="dxa"/>
                  <w:shd w:val="clear" w:color="auto" w:fill="auto"/>
                  <w:vAlign w:val="center"/>
                </w:tcPr>
                <w:p w14:paraId="537DBC0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5-14F</w:t>
                  </w:r>
                </w:p>
              </w:tc>
              <w:tc>
                <w:tcPr>
                  <w:tcW w:w="4418" w:type="dxa"/>
                  <w:shd w:val="clear" w:color="auto" w:fill="auto"/>
                  <w:vAlign w:val="center"/>
                </w:tcPr>
                <w:p w14:paraId="47A2D56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内一科住院部、内二科住院部、妇产科住院部、外科住院部、透析中心、肛肠一科住院部、肛肠二科住院部、信息科、手术室</w:t>
                  </w:r>
                </w:p>
              </w:tc>
              <w:tc>
                <w:tcPr>
                  <w:tcW w:w="1272" w:type="dxa"/>
                  <w:vMerge w:val="continue"/>
                  <w:shd w:val="clear" w:color="auto" w:fill="auto"/>
                  <w:vAlign w:val="center"/>
                </w:tcPr>
                <w:p w14:paraId="20D8511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r>
            <w:tr w14:paraId="60B4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7496E3A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160DEC7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eastAsia" w:cs="Times New Roman"/>
                      <w:color w:val="000000" w:themeColor="text1"/>
                      <w:kern w:val="0"/>
                      <w:sz w:val="21"/>
                      <w:szCs w:val="21"/>
                      <w:lang w:val="en-US" w:eastAsia="zh-CN"/>
                    </w:rPr>
                    <w:t>辅助用房</w:t>
                  </w:r>
                </w:p>
              </w:tc>
              <w:tc>
                <w:tcPr>
                  <w:tcW w:w="4418" w:type="dxa"/>
                  <w:shd w:val="clear" w:color="auto" w:fill="auto"/>
                  <w:vAlign w:val="center"/>
                </w:tcPr>
                <w:p w14:paraId="3168B83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2层面积500m</w:t>
                  </w:r>
                  <w:r>
                    <w:rPr>
                      <w:rFonts w:hint="default" w:ascii="Times New Roman" w:hAnsi="Times New Roman" w:cs="Times New Roman"/>
                      <w:kern w:val="0"/>
                      <w:sz w:val="21"/>
                      <w:szCs w:val="21"/>
                      <w:vertAlign w:val="superscript"/>
                      <w:lang w:val="en-US" w:eastAsia="zh-CN"/>
                    </w:rPr>
                    <w:t>2</w:t>
                  </w:r>
                </w:p>
              </w:tc>
              <w:tc>
                <w:tcPr>
                  <w:tcW w:w="1272" w:type="dxa"/>
                  <w:shd w:val="clear" w:color="auto" w:fill="auto"/>
                  <w:vAlign w:val="center"/>
                </w:tcPr>
                <w:p w14:paraId="000A178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利用原有</w:t>
                  </w:r>
                </w:p>
              </w:tc>
            </w:tr>
            <w:tr w14:paraId="3487E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jc w:val="center"/>
              </w:trPr>
              <w:tc>
                <w:tcPr>
                  <w:tcW w:w="686" w:type="dxa"/>
                  <w:vMerge w:val="continue"/>
                  <w:shd w:val="clear" w:color="auto" w:fill="auto"/>
                  <w:vAlign w:val="center"/>
                </w:tcPr>
                <w:p w14:paraId="31F0D98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02DC735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行政办公楼</w:t>
                  </w:r>
                </w:p>
              </w:tc>
              <w:tc>
                <w:tcPr>
                  <w:tcW w:w="4418" w:type="dxa"/>
                  <w:shd w:val="clear" w:color="auto" w:fill="auto"/>
                  <w:vAlign w:val="center"/>
                </w:tcPr>
                <w:p w14:paraId="2FAFB9C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共6层，1-2层为食堂，3-6层为办公室</w:t>
                  </w:r>
                </w:p>
              </w:tc>
              <w:tc>
                <w:tcPr>
                  <w:tcW w:w="1272" w:type="dxa"/>
                  <w:shd w:val="clear" w:color="auto" w:fill="auto"/>
                  <w:vAlign w:val="center"/>
                </w:tcPr>
                <w:p w14:paraId="5AB3A8E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利用原有建筑建设，建筑面积5000m</w:t>
                  </w:r>
                  <w:r>
                    <w:rPr>
                      <w:rFonts w:hint="default" w:ascii="Times New Roman" w:hAnsi="Times New Roman" w:cs="Times New Roman"/>
                      <w:kern w:val="0"/>
                      <w:sz w:val="21"/>
                      <w:szCs w:val="21"/>
                      <w:vertAlign w:val="superscript"/>
                      <w:lang w:val="en-US" w:eastAsia="zh-CN"/>
                    </w:rPr>
                    <w:t>2</w:t>
                  </w:r>
                </w:p>
              </w:tc>
            </w:tr>
            <w:tr w14:paraId="02B3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restart"/>
                  <w:shd w:val="clear" w:color="auto" w:fill="auto"/>
                  <w:vAlign w:val="center"/>
                </w:tcPr>
                <w:p w14:paraId="602E10E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辅助工程</w:t>
                  </w:r>
                </w:p>
              </w:tc>
              <w:tc>
                <w:tcPr>
                  <w:tcW w:w="1661" w:type="dxa"/>
                  <w:gridSpan w:val="2"/>
                  <w:shd w:val="clear" w:color="auto" w:fill="auto"/>
                  <w:vAlign w:val="center"/>
                </w:tcPr>
                <w:p w14:paraId="23D23B4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锅炉房</w:t>
                  </w:r>
                </w:p>
              </w:tc>
              <w:tc>
                <w:tcPr>
                  <w:tcW w:w="4418" w:type="dxa"/>
                  <w:shd w:val="clear" w:color="auto" w:fill="auto"/>
                  <w:vAlign w:val="center"/>
                </w:tcPr>
                <w:p w14:paraId="2BCDC7C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lang w:val="en-US" w:eastAsia="zh-CN"/>
                    </w:rPr>
                  </w:pPr>
                  <w:r>
                    <w:rPr>
                      <w:rFonts w:hint="eastAsia" w:cs="Times New Roman"/>
                      <w:color w:val="auto"/>
                      <w:kern w:val="0"/>
                      <w:sz w:val="21"/>
                      <w:szCs w:val="21"/>
                      <w:lang w:val="en-US" w:eastAsia="zh-CN"/>
                    </w:rPr>
                    <w:t>位于</w:t>
                  </w:r>
                  <w:r>
                    <w:rPr>
                      <w:rFonts w:hint="eastAsia" w:ascii="Times New Roman" w:hAnsi="Times New Roman" w:cs="Times New Roman"/>
                      <w:color w:val="auto"/>
                      <w:kern w:val="0"/>
                      <w:sz w:val="21"/>
                      <w:szCs w:val="21"/>
                      <w:lang w:val="en-US" w:eastAsia="zh-CN"/>
                    </w:rPr>
                    <w:t>传染病楼东</w:t>
                  </w:r>
                  <w:r>
                    <w:rPr>
                      <w:rFonts w:hint="default" w:ascii="Times New Roman" w:hAnsi="Times New Roman" w:cs="Times New Roman"/>
                      <w:color w:val="auto"/>
                      <w:kern w:val="0"/>
                      <w:sz w:val="21"/>
                      <w:szCs w:val="21"/>
                      <w:lang w:val="en-US" w:eastAsia="zh-CN"/>
                    </w:rPr>
                    <w:t>北侧</w:t>
                  </w:r>
                  <w:r>
                    <w:rPr>
                      <w:rFonts w:hint="eastAsia" w:cs="Times New Roman"/>
                      <w:color w:val="auto"/>
                      <w:kern w:val="0"/>
                      <w:sz w:val="21"/>
                      <w:szCs w:val="21"/>
                      <w:lang w:val="en-US" w:eastAsia="zh-CN"/>
                    </w:rPr>
                    <w:t>，</w:t>
                  </w:r>
                  <w:r>
                    <w:rPr>
                      <w:rFonts w:hint="default" w:ascii="Times New Roman" w:hAnsi="Times New Roman" w:cs="Times New Roman"/>
                      <w:kern w:val="0"/>
                      <w:sz w:val="21"/>
                      <w:szCs w:val="21"/>
                      <w:lang w:val="en-US" w:eastAsia="zh-CN"/>
                    </w:rPr>
                    <w:t>1层面积30m</w:t>
                  </w:r>
                  <w:r>
                    <w:rPr>
                      <w:rFonts w:hint="default" w:ascii="Times New Roman" w:hAnsi="Times New Roman" w:cs="Times New Roman"/>
                      <w:kern w:val="0"/>
                      <w:sz w:val="21"/>
                      <w:szCs w:val="21"/>
                      <w:vertAlign w:val="superscript"/>
                      <w:lang w:val="en-US" w:eastAsia="zh-CN"/>
                    </w:rPr>
                    <w:t>2</w:t>
                  </w:r>
                  <w:r>
                    <w:rPr>
                      <w:rFonts w:hint="default" w:ascii="Times New Roman" w:hAnsi="Times New Roman" w:cs="Times New Roman"/>
                      <w:kern w:val="0"/>
                      <w:sz w:val="21"/>
                      <w:szCs w:val="21"/>
                      <w:lang w:val="en-US" w:eastAsia="zh-CN"/>
                    </w:rPr>
                    <w:t>，内设1台2t/h的燃气锅炉</w:t>
                  </w:r>
                </w:p>
              </w:tc>
              <w:tc>
                <w:tcPr>
                  <w:tcW w:w="1272" w:type="dxa"/>
                  <w:shd w:val="clear" w:color="auto" w:fill="auto"/>
                  <w:vAlign w:val="center"/>
                </w:tcPr>
                <w:p w14:paraId="3EBF5FB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利用原有</w:t>
                  </w:r>
                </w:p>
              </w:tc>
            </w:tr>
            <w:tr w14:paraId="3E5F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362B11C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6AB82E2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危废暂存间</w:t>
                  </w:r>
                </w:p>
              </w:tc>
              <w:tc>
                <w:tcPr>
                  <w:tcW w:w="4418" w:type="dxa"/>
                  <w:shd w:val="clear" w:color="auto" w:fill="auto"/>
                  <w:vAlign w:val="center"/>
                </w:tcPr>
                <w:p w14:paraId="081352D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位于</w:t>
                  </w:r>
                  <w:r>
                    <w:rPr>
                      <w:rFonts w:hint="eastAsia" w:ascii="Times New Roman" w:hAnsi="Times New Roman" w:cs="Times New Roman"/>
                      <w:color w:val="auto"/>
                      <w:kern w:val="0"/>
                      <w:sz w:val="21"/>
                      <w:szCs w:val="21"/>
                      <w:lang w:val="en-US" w:eastAsia="zh-CN"/>
                    </w:rPr>
                    <w:t>传染病楼东</w:t>
                  </w:r>
                  <w:r>
                    <w:rPr>
                      <w:rFonts w:hint="default" w:ascii="Times New Roman" w:hAnsi="Times New Roman" w:cs="Times New Roman"/>
                      <w:color w:val="auto"/>
                      <w:kern w:val="0"/>
                      <w:sz w:val="21"/>
                      <w:szCs w:val="21"/>
                      <w:lang w:val="en-US" w:eastAsia="zh-CN"/>
                    </w:rPr>
                    <w:t>北侧</w:t>
                  </w:r>
                  <w:r>
                    <w:rPr>
                      <w:rFonts w:hint="default" w:ascii="Times New Roman" w:hAnsi="Times New Roman" w:cs="Times New Roman"/>
                      <w:kern w:val="0"/>
                      <w:sz w:val="21"/>
                      <w:szCs w:val="21"/>
                      <w:lang w:val="en-US" w:eastAsia="zh-CN"/>
                    </w:rPr>
                    <w:t>，1层30m</w:t>
                  </w:r>
                  <w:r>
                    <w:rPr>
                      <w:rFonts w:hint="default" w:ascii="Times New Roman" w:hAnsi="Times New Roman" w:cs="Times New Roman"/>
                      <w:kern w:val="0"/>
                      <w:sz w:val="21"/>
                      <w:szCs w:val="21"/>
                      <w:vertAlign w:val="superscript"/>
                      <w:lang w:val="en-US" w:eastAsia="zh-CN"/>
                    </w:rPr>
                    <w:t>2</w:t>
                  </w:r>
                </w:p>
              </w:tc>
              <w:tc>
                <w:tcPr>
                  <w:tcW w:w="1272" w:type="dxa"/>
                  <w:shd w:val="clear" w:color="auto" w:fill="auto"/>
                  <w:vAlign w:val="center"/>
                </w:tcPr>
                <w:p w14:paraId="4D0387B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利用原有</w:t>
                  </w:r>
                </w:p>
              </w:tc>
            </w:tr>
            <w:tr w14:paraId="7266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4A281E6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0A56841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化粪池</w:t>
                  </w:r>
                </w:p>
              </w:tc>
              <w:tc>
                <w:tcPr>
                  <w:tcW w:w="4418" w:type="dxa"/>
                  <w:shd w:val="clear" w:color="auto" w:fill="auto"/>
                  <w:vAlign w:val="center"/>
                </w:tcPr>
                <w:p w14:paraId="7F0B8C4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位于办公楼东侧，处理办公楼产生的生活污水，处理后的污水进入综合污水处理站进一步处理</w:t>
                  </w:r>
                </w:p>
              </w:tc>
              <w:tc>
                <w:tcPr>
                  <w:tcW w:w="1272" w:type="dxa"/>
                  <w:shd w:val="clear" w:color="auto" w:fill="auto"/>
                  <w:vAlign w:val="center"/>
                </w:tcPr>
                <w:p w14:paraId="3AC5E73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default" w:ascii="Times New Roman" w:hAnsi="Times New Roman" w:cs="Times New Roman"/>
                      <w:kern w:val="0"/>
                      <w:sz w:val="21"/>
                      <w:szCs w:val="21"/>
                      <w:u w:val="single"/>
                      <w:lang w:val="en-US" w:eastAsia="zh-CN"/>
                    </w:rPr>
                    <w:t>利用原有</w:t>
                  </w:r>
                </w:p>
              </w:tc>
            </w:tr>
            <w:tr w14:paraId="1B19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0662B75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375C426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隔油池</w:t>
                  </w:r>
                </w:p>
              </w:tc>
              <w:tc>
                <w:tcPr>
                  <w:tcW w:w="4418" w:type="dxa"/>
                  <w:shd w:val="clear" w:color="auto" w:fill="auto"/>
                  <w:vAlign w:val="center"/>
                </w:tcPr>
                <w:p w14:paraId="664DB4A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位于办公楼东侧，处理食堂废水，处理后的废水进入综合污水处理站进一步处理</w:t>
                  </w:r>
                </w:p>
              </w:tc>
              <w:tc>
                <w:tcPr>
                  <w:tcW w:w="1272" w:type="dxa"/>
                  <w:shd w:val="clear" w:color="auto" w:fill="auto"/>
                  <w:vAlign w:val="center"/>
                </w:tcPr>
                <w:p w14:paraId="2D152B6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default" w:ascii="Times New Roman" w:hAnsi="Times New Roman" w:cs="Times New Roman"/>
                      <w:kern w:val="0"/>
                      <w:sz w:val="21"/>
                      <w:szCs w:val="21"/>
                      <w:u w:val="single"/>
                      <w:lang w:val="en-US" w:eastAsia="zh-CN"/>
                    </w:rPr>
                    <w:t>利用原有</w:t>
                  </w:r>
                </w:p>
              </w:tc>
            </w:tr>
            <w:tr w14:paraId="566D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5A81C0F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4F8955C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default" w:ascii="Times New Roman" w:hAnsi="Times New Roman" w:cs="Times New Roman"/>
                      <w:kern w:val="0"/>
                      <w:sz w:val="21"/>
                      <w:szCs w:val="21"/>
                      <w:u w:val="single"/>
                      <w:lang w:val="en-US" w:eastAsia="zh-CN"/>
                    </w:rPr>
                    <w:t>传染科废水预处理间</w:t>
                  </w:r>
                </w:p>
              </w:tc>
              <w:tc>
                <w:tcPr>
                  <w:tcW w:w="4418" w:type="dxa"/>
                  <w:shd w:val="clear" w:color="auto" w:fill="auto"/>
                  <w:vAlign w:val="center"/>
                </w:tcPr>
                <w:p w14:paraId="5EBD7FD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default" w:ascii="Times New Roman" w:hAnsi="Times New Roman" w:cs="Times New Roman"/>
                      <w:color w:val="auto"/>
                      <w:kern w:val="0"/>
                      <w:sz w:val="21"/>
                      <w:szCs w:val="21"/>
                      <w:u w:val="single"/>
                      <w:lang w:val="en-US" w:eastAsia="zh-CN"/>
                    </w:rPr>
                    <w:t>位于</w:t>
                  </w:r>
                  <w:r>
                    <w:rPr>
                      <w:rFonts w:hint="eastAsia" w:ascii="Times New Roman" w:hAnsi="Times New Roman" w:cs="Times New Roman"/>
                      <w:color w:val="auto"/>
                      <w:kern w:val="0"/>
                      <w:sz w:val="21"/>
                      <w:szCs w:val="21"/>
                      <w:u w:val="single"/>
                      <w:lang w:val="en-US" w:eastAsia="zh-CN"/>
                    </w:rPr>
                    <w:t>传染病楼东</w:t>
                  </w:r>
                  <w:r>
                    <w:rPr>
                      <w:rFonts w:hint="default" w:ascii="Times New Roman" w:hAnsi="Times New Roman" w:cs="Times New Roman"/>
                      <w:color w:val="auto"/>
                      <w:kern w:val="0"/>
                      <w:sz w:val="21"/>
                      <w:szCs w:val="21"/>
                      <w:u w:val="single"/>
                      <w:lang w:val="en-US" w:eastAsia="zh-CN"/>
                    </w:rPr>
                    <w:t>北侧</w:t>
                  </w:r>
                  <w:r>
                    <w:rPr>
                      <w:rFonts w:hint="default" w:ascii="Times New Roman" w:hAnsi="Times New Roman" w:cs="Times New Roman"/>
                      <w:kern w:val="0"/>
                      <w:sz w:val="21"/>
                      <w:szCs w:val="21"/>
                      <w:u w:val="single"/>
                      <w:lang w:val="en-US" w:eastAsia="zh-CN"/>
                    </w:rPr>
                    <w:t>，1层20m</w:t>
                  </w:r>
                  <w:r>
                    <w:rPr>
                      <w:rFonts w:hint="default" w:ascii="Times New Roman" w:hAnsi="Times New Roman" w:cs="Times New Roman"/>
                      <w:kern w:val="0"/>
                      <w:sz w:val="21"/>
                      <w:szCs w:val="21"/>
                      <w:u w:val="single"/>
                      <w:vertAlign w:val="superscript"/>
                      <w:lang w:val="en-US" w:eastAsia="zh-CN"/>
                    </w:rPr>
                    <w:t>2</w:t>
                  </w:r>
                  <w:r>
                    <w:rPr>
                      <w:rFonts w:hint="default" w:ascii="Times New Roman" w:hAnsi="Times New Roman" w:cs="Times New Roman"/>
                      <w:kern w:val="0"/>
                      <w:sz w:val="21"/>
                      <w:szCs w:val="21"/>
                      <w:u w:val="single"/>
                      <w:lang w:val="en-US" w:eastAsia="zh-CN"/>
                    </w:rPr>
                    <w:t>，采用消毒工艺，处理能力60t/d</w:t>
                  </w:r>
                </w:p>
              </w:tc>
              <w:tc>
                <w:tcPr>
                  <w:tcW w:w="1272" w:type="dxa"/>
                  <w:shd w:val="clear" w:color="auto" w:fill="auto"/>
                  <w:vAlign w:val="center"/>
                </w:tcPr>
                <w:p w14:paraId="0DFFFAE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default" w:ascii="Times New Roman" w:hAnsi="Times New Roman" w:cs="Times New Roman"/>
                      <w:kern w:val="0"/>
                      <w:sz w:val="21"/>
                      <w:szCs w:val="21"/>
                      <w:u w:val="single"/>
                      <w:lang w:val="en-US" w:eastAsia="zh-CN"/>
                    </w:rPr>
                    <w:t>利用原有</w:t>
                  </w:r>
                </w:p>
              </w:tc>
            </w:tr>
            <w:tr w14:paraId="4F462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5C070FA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0CFCB6F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u w:val="single"/>
                      <w:lang w:eastAsia="zh-CN"/>
                    </w:rPr>
                  </w:pPr>
                  <w:r>
                    <w:rPr>
                      <w:rFonts w:hint="eastAsia" w:cs="Times New Roman"/>
                      <w:color w:val="000000" w:themeColor="text1"/>
                      <w:kern w:val="0"/>
                      <w:sz w:val="21"/>
                      <w:szCs w:val="21"/>
                      <w:u w:val="single"/>
                      <w:lang w:val="en-US" w:eastAsia="zh-CN"/>
                    </w:rPr>
                    <w:t>综合</w:t>
                  </w:r>
                  <w:r>
                    <w:rPr>
                      <w:rFonts w:hint="default" w:ascii="Times New Roman" w:hAnsi="Times New Roman" w:cs="Times New Roman"/>
                      <w:color w:val="000000" w:themeColor="text1"/>
                      <w:kern w:val="0"/>
                      <w:sz w:val="21"/>
                      <w:szCs w:val="21"/>
                      <w:u w:val="single"/>
                      <w:lang w:val="en-US" w:eastAsia="zh-CN"/>
                    </w:rPr>
                    <w:t>污水处理站</w:t>
                  </w:r>
                </w:p>
              </w:tc>
              <w:tc>
                <w:tcPr>
                  <w:tcW w:w="4418" w:type="dxa"/>
                  <w:shd w:val="clear" w:color="auto" w:fill="auto"/>
                  <w:vAlign w:val="center"/>
                </w:tcPr>
                <w:p w14:paraId="4A8A357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val="en-US" w:eastAsia="zh-CN"/>
                    </w:rPr>
                    <w:t>位于</w:t>
                  </w:r>
                  <w:r>
                    <w:rPr>
                      <w:rFonts w:hint="eastAsia" w:ascii="Times New Roman" w:hAnsi="Times New Roman" w:cs="Times New Roman"/>
                      <w:color w:val="000000" w:themeColor="text1"/>
                      <w:kern w:val="0"/>
                      <w:sz w:val="21"/>
                      <w:szCs w:val="21"/>
                      <w:u w:val="single"/>
                      <w:lang w:val="en-US" w:eastAsia="zh-CN"/>
                    </w:rPr>
                    <w:t>综合楼</w:t>
                  </w:r>
                  <w:r>
                    <w:rPr>
                      <w:rFonts w:hint="default" w:ascii="Times New Roman" w:hAnsi="Times New Roman" w:cs="Times New Roman"/>
                      <w:color w:val="000000" w:themeColor="text1"/>
                      <w:kern w:val="0"/>
                      <w:sz w:val="21"/>
                      <w:szCs w:val="21"/>
                      <w:u w:val="single"/>
                      <w:lang w:val="en-US" w:eastAsia="zh-CN"/>
                    </w:rPr>
                    <w:t>北侧，1层108m</w:t>
                  </w:r>
                  <w:r>
                    <w:rPr>
                      <w:rFonts w:hint="default" w:ascii="Times New Roman" w:hAnsi="Times New Roman" w:cs="Times New Roman"/>
                      <w:color w:val="000000" w:themeColor="text1"/>
                      <w:kern w:val="0"/>
                      <w:sz w:val="21"/>
                      <w:szCs w:val="21"/>
                      <w:u w:val="single"/>
                      <w:vertAlign w:val="superscript"/>
                      <w:lang w:val="en-US" w:eastAsia="zh-CN"/>
                    </w:rPr>
                    <w:t>2</w:t>
                  </w:r>
                  <w:r>
                    <w:rPr>
                      <w:rFonts w:hint="default" w:ascii="Times New Roman" w:hAnsi="Times New Roman" w:cs="Times New Roman"/>
                      <w:color w:val="000000" w:themeColor="text1"/>
                      <w:kern w:val="0"/>
                      <w:sz w:val="21"/>
                      <w:szCs w:val="21"/>
                      <w:u w:val="single"/>
                      <w:lang w:val="en-US" w:eastAsia="zh-CN"/>
                    </w:rPr>
                    <w:t>，采用格栅+A/O工艺+氯系消毒处理工艺，处理能力300t/d</w:t>
                  </w:r>
                </w:p>
              </w:tc>
              <w:tc>
                <w:tcPr>
                  <w:tcW w:w="1272" w:type="dxa"/>
                  <w:shd w:val="clear" w:color="auto" w:fill="auto"/>
                  <w:vAlign w:val="center"/>
                </w:tcPr>
                <w:p w14:paraId="3F72ABB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rPr>
                  </w:pPr>
                  <w:r>
                    <w:rPr>
                      <w:rFonts w:hint="default" w:ascii="Times New Roman" w:hAnsi="Times New Roman" w:cs="Times New Roman"/>
                      <w:kern w:val="0"/>
                      <w:sz w:val="21"/>
                      <w:szCs w:val="21"/>
                      <w:u w:val="single"/>
                      <w:lang w:val="en-US" w:eastAsia="zh-CN"/>
                    </w:rPr>
                    <w:t>利用原有</w:t>
                  </w:r>
                </w:p>
              </w:tc>
            </w:tr>
            <w:tr w14:paraId="3A99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6DEDB71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072F973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color w:val="000000" w:themeColor="text1"/>
                      <w:kern w:val="0"/>
                      <w:sz w:val="21"/>
                      <w:szCs w:val="21"/>
                      <w:u w:val="single"/>
                      <w:lang w:val="en-US" w:eastAsia="zh-CN"/>
                    </w:rPr>
                  </w:pPr>
                  <w:r>
                    <w:rPr>
                      <w:rFonts w:hint="eastAsia" w:cs="Times New Roman"/>
                      <w:color w:val="000000" w:themeColor="text1"/>
                      <w:kern w:val="0"/>
                      <w:sz w:val="21"/>
                      <w:szCs w:val="21"/>
                      <w:u w:val="single"/>
                      <w:lang w:val="en-US" w:eastAsia="zh-CN"/>
                    </w:rPr>
                    <w:t>应急池</w:t>
                  </w:r>
                </w:p>
              </w:tc>
              <w:tc>
                <w:tcPr>
                  <w:tcW w:w="4418" w:type="dxa"/>
                  <w:shd w:val="clear" w:color="auto" w:fill="auto"/>
                  <w:vAlign w:val="center"/>
                </w:tcPr>
                <w:p w14:paraId="65FC7B8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u w:val="single"/>
                      <w:vertAlign w:val="baseline"/>
                      <w:lang w:val="en-US" w:eastAsia="zh-CN"/>
                    </w:rPr>
                  </w:pPr>
                  <w:r>
                    <w:rPr>
                      <w:rFonts w:hint="eastAsia" w:cs="Times New Roman"/>
                      <w:color w:val="000000" w:themeColor="text1"/>
                      <w:kern w:val="0"/>
                      <w:sz w:val="21"/>
                      <w:szCs w:val="21"/>
                      <w:u w:val="single"/>
                      <w:lang w:val="en-US" w:eastAsia="zh-CN"/>
                    </w:rPr>
                    <w:t>位于综合楼北侧，综合污水处理站西侧，容积90m</w:t>
                  </w:r>
                  <w:r>
                    <w:rPr>
                      <w:rFonts w:hint="eastAsia" w:cs="Times New Roman"/>
                      <w:color w:val="000000" w:themeColor="text1"/>
                      <w:kern w:val="0"/>
                      <w:sz w:val="21"/>
                      <w:szCs w:val="21"/>
                      <w:u w:val="single"/>
                      <w:vertAlign w:val="superscript"/>
                      <w:lang w:val="en-US" w:eastAsia="zh-CN"/>
                    </w:rPr>
                    <w:t>3</w:t>
                  </w:r>
                  <w:r>
                    <w:rPr>
                      <w:rFonts w:hint="eastAsia" w:cs="Times New Roman"/>
                      <w:color w:val="000000" w:themeColor="text1"/>
                      <w:kern w:val="0"/>
                      <w:sz w:val="21"/>
                      <w:szCs w:val="21"/>
                      <w:u w:val="single"/>
                      <w:vertAlign w:val="baseline"/>
                      <w:lang w:val="en-US" w:eastAsia="zh-CN"/>
                    </w:rPr>
                    <w:t>（现为30</w:t>
                  </w:r>
                  <w:r>
                    <w:rPr>
                      <w:rFonts w:hint="eastAsia" w:cs="Times New Roman"/>
                      <w:color w:val="000000" w:themeColor="text1"/>
                      <w:kern w:val="0"/>
                      <w:sz w:val="21"/>
                      <w:szCs w:val="21"/>
                      <w:u w:val="single"/>
                      <w:lang w:val="en-US" w:eastAsia="zh-CN"/>
                    </w:rPr>
                    <w:t>m</w:t>
                  </w:r>
                  <w:r>
                    <w:rPr>
                      <w:rFonts w:hint="eastAsia" w:cs="Times New Roman"/>
                      <w:color w:val="000000" w:themeColor="text1"/>
                      <w:kern w:val="0"/>
                      <w:sz w:val="21"/>
                      <w:szCs w:val="21"/>
                      <w:u w:val="single"/>
                      <w:vertAlign w:val="superscript"/>
                      <w:lang w:val="en-US" w:eastAsia="zh-CN"/>
                    </w:rPr>
                    <w:t>3</w:t>
                  </w:r>
                  <w:r>
                    <w:rPr>
                      <w:rFonts w:hint="eastAsia" w:cs="Times New Roman"/>
                      <w:color w:val="000000" w:themeColor="text1"/>
                      <w:kern w:val="0"/>
                      <w:sz w:val="21"/>
                      <w:szCs w:val="21"/>
                      <w:u w:val="single"/>
                      <w:vertAlign w:val="baseline"/>
                      <w:lang w:val="en-US" w:eastAsia="zh-CN"/>
                    </w:rPr>
                    <w:t>）</w:t>
                  </w:r>
                </w:p>
              </w:tc>
              <w:tc>
                <w:tcPr>
                  <w:tcW w:w="1272" w:type="dxa"/>
                  <w:shd w:val="clear" w:color="auto" w:fill="auto"/>
                  <w:vAlign w:val="center"/>
                </w:tcPr>
                <w:p w14:paraId="6D48D3B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在原有基础上进行扩建</w:t>
                  </w:r>
                </w:p>
              </w:tc>
            </w:tr>
            <w:tr w14:paraId="379A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restart"/>
                  <w:shd w:val="clear" w:color="auto" w:fill="auto"/>
                  <w:vAlign w:val="center"/>
                </w:tcPr>
                <w:p w14:paraId="2966000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公用工程</w:t>
                  </w:r>
                </w:p>
              </w:tc>
              <w:tc>
                <w:tcPr>
                  <w:tcW w:w="1661" w:type="dxa"/>
                  <w:gridSpan w:val="2"/>
                  <w:shd w:val="clear" w:color="auto" w:fill="auto"/>
                  <w:vAlign w:val="center"/>
                </w:tcPr>
                <w:p w14:paraId="23832CD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rPr>
                    <w:t>供水</w:t>
                  </w:r>
                </w:p>
              </w:tc>
              <w:tc>
                <w:tcPr>
                  <w:tcW w:w="4418" w:type="dxa"/>
                  <w:shd w:val="clear" w:color="auto" w:fill="auto"/>
                  <w:vAlign w:val="center"/>
                </w:tcPr>
                <w:p w14:paraId="4811011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rPr>
                    <w:t>市政自来水管网</w:t>
                  </w:r>
                </w:p>
              </w:tc>
              <w:tc>
                <w:tcPr>
                  <w:tcW w:w="1272" w:type="dxa"/>
                  <w:shd w:val="clear" w:color="auto" w:fill="auto"/>
                  <w:vAlign w:val="center"/>
                </w:tcPr>
                <w:p w14:paraId="6498802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p>
              </w:tc>
            </w:tr>
            <w:tr w14:paraId="2A461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229A704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4A82221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rPr>
                    <w:t>排水（雨水）</w:t>
                  </w:r>
                </w:p>
              </w:tc>
              <w:tc>
                <w:tcPr>
                  <w:tcW w:w="4418" w:type="dxa"/>
                  <w:shd w:val="clear" w:color="auto" w:fill="auto"/>
                  <w:vAlign w:val="center"/>
                </w:tcPr>
                <w:p w14:paraId="18D2955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cs="Times New Roman"/>
                      <w:color w:val="000000" w:themeColor="text1"/>
                      <w:kern w:val="0"/>
                      <w:sz w:val="21"/>
                      <w:szCs w:val="21"/>
                      <w:lang w:val="en-US" w:eastAsia="zh-CN"/>
                    </w:rPr>
                    <w:t>雨污分流，</w:t>
                  </w:r>
                  <w:r>
                    <w:rPr>
                      <w:rFonts w:hint="default" w:ascii="Times New Roman" w:hAnsi="Times New Roman" w:eastAsia="宋体" w:cs="Times New Roman"/>
                      <w:color w:val="000000" w:themeColor="text1"/>
                      <w:kern w:val="0"/>
                      <w:sz w:val="21"/>
                      <w:szCs w:val="21"/>
                    </w:rPr>
                    <w:t>雨水管排至雨水管网</w:t>
                  </w:r>
                </w:p>
              </w:tc>
              <w:tc>
                <w:tcPr>
                  <w:tcW w:w="1272" w:type="dxa"/>
                  <w:shd w:val="clear" w:color="auto" w:fill="auto"/>
                  <w:vAlign w:val="center"/>
                </w:tcPr>
                <w:p w14:paraId="5061707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w:t>
                  </w:r>
                </w:p>
              </w:tc>
            </w:tr>
            <w:tr w14:paraId="77CC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78DF899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28ACF75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u w:val="single"/>
                    </w:rPr>
                    <w:t>供电</w:t>
                  </w:r>
                </w:p>
              </w:tc>
              <w:tc>
                <w:tcPr>
                  <w:tcW w:w="4418" w:type="dxa"/>
                  <w:shd w:val="clear" w:color="auto" w:fill="auto"/>
                  <w:vAlign w:val="center"/>
                </w:tcPr>
                <w:p w14:paraId="5E7D355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rPr>
                    <w:t>市政供电网供给</w:t>
                  </w:r>
                  <w:r>
                    <w:rPr>
                      <w:rFonts w:hint="default" w:ascii="Times New Roman" w:hAnsi="Times New Roman" w:cs="Times New Roman"/>
                      <w:color w:val="000000" w:themeColor="text1"/>
                      <w:kern w:val="0"/>
                      <w:sz w:val="21"/>
                      <w:szCs w:val="21"/>
                      <w:lang w:eastAsia="zh-CN"/>
                    </w:rPr>
                    <w:t>；</w:t>
                  </w:r>
                  <w:r>
                    <w:rPr>
                      <w:rFonts w:hint="default" w:ascii="Times New Roman" w:hAnsi="Times New Roman" w:cs="Times New Roman"/>
                      <w:color w:val="000000" w:themeColor="text1"/>
                      <w:kern w:val="0"/>
                      <w:sz w:val="21"/>
                      <w:szCs w:val="21"/>
                      <w:u w:val="single"/>
                      <w:lang w:val="en-US" w:eastAsia="zh-CN"/>
                    </w:rPr>
                    <w:t>另设一台250kw柴油发电机组</w:t>
                  </w:r>
                  <w:r>
                    <w:rPr>
                      <w:rFonts w:hint="eastAsia" w:ascii="Times New Roman" w:hAnsi="Times New Roman" w:cs="Times New Roman"/>
                      <w:color w:val="000000" w:themeColor="text1"/>
                      <w:kern w:val="0"/>
                      <w:sz w:val="21"/>
                      <w:szCs w:val="21"/>
                      <w:u w:val="single"/>
                      <w:lang w:val="en-US" w:eastAsia="zh-CN"/>
                    </w:rPr>
                    <w:t>，位于传染病楼1层发电机房内</w:t>
                  </w:r>
                </w:p>
              </w:tc>
              <w:tc>
                <w:tcPr>
                  <w:tcW w:w="1272" w:type="dxa"/>
                  <w:shd w:val="clear" w:color="auto" w:fill="auto"/>
                  <w:vAlign w:val="center"/>
                </w:tcPr>
                <w:p w14:paraId="48456D2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u w:val="single"/>
                      <w:lang w:val="en-US" w:eastAsia="zh-CN"/>
                    </w:rPr>
                    <w:t>利用原有</w:t>
                  </w:r>
                </w:p>
              </w:tc>
            </w:tr>
            <w:tr w14:paraId="2B0E9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6" w:type="dxa"/>
                  <w:vMerge w:val="continue"/>
                  <w:shd w:val="clear" w:color="auto" w:fill="auto"/>
                  <w:vAlign w:val="center"/>
                </w:tcPr>
                <w:p w14:paraId="61BBF14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64532DB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供热</w:t>
                  </w:r>
                  <w:r>
                    <w:rPr>
                      <w:rFonts w:hint="eastAsia" w:ascii="Times New Roman" w:hAnsi="Times New Roman" w:cs="Times New Roman"/>
                      <w:color w:val="000000" w:themeColor="text1"/>
                      <w:kern w:val="0"/>
                      <w:sz w:val="21"/>
                      <w:szCs w:val="21"/>
                      <w:lang w:val="en-US" w:eastAsia="zh-CN"/>
                    </w:rPr>
                    <w:t>水</w:t>
                  </w:r>
                </w:p>
              </w:tc>
              <w:tc>
                <w:tcPr>
                  <w:tcW w:w="4418" w:type="dxa"/>
                  <w:shd w:val="clear" w:color="auto" w:fill="auto"/>
                  <w:vAlign w:val="center"/>
                </w:tcPr>
                <w:p w14:paraId="2B43E51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冬季由锅炉提供，其余时间由太阳能提供</w:t>
                  </w:r>
                </w:p>
              </w:tc>
              <w:tc>
                <w:tcPr>
                  <w:tcW w:w="1272" w:type="dxa"/>
                  <w:shd w:val="clear" w:color="auto" w:fill="auto"/>
                  <w:vAlign w:val="center"/>
                </w:tcPr>
                <w:p w14:paraId="4B9E445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利用原有</w:t>
                  </w:r>
                </w:p>
              </w:tc>
            </w:tr>
            <w:tr w14:paraId="7B8A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6" w:type="dxa"/>
                  <w:vMerge w:val="continue"/>
                  <w:shd w:val="clear" w:color="auto" w:fill="auto"/>
                  <w:vAlign w:val="center"/>
                </w:tcPr>
                <w:p w14:paraId="332E4C7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078090F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eastAsia" w:ascii="Times New Roman" w:hAnsi="Times New Roman" w:cs="Times New Roman"/>
                      <w:color w:val="000000" w:themeColor="text1"/>
                      <w:kern w:val="0"/>
                      <w:sz w:val="21"/>
                      <w:szCs w:val="21"/>
                      <w:lang w:val="en-US" w:eastAsia="zh-CN"/>
                    </w:rPr>
                    <w:t>供暖</w:t>
                  </w:r>
                </w:p>
              </w:tc>
              <w:tc>
                <w:tcPr>
                  <w:tcW w:w="4418" w:type="dxa"/>
                  <w:shd w:val="clear" w:color="auto" w:fill="auto"/>
                  <w:vAlign w:val="center"/>
                </w:tcPr>
                <w:p w14:paraId="3BB3BDB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eastAsia" w:ascii="Times New Roman" w:hAnsi="Times New Roman" w:cs="Times New Roman"/>
                      <w:color w:val="000000" w:themeColor="text1"/>
                      <w:kern w:val="0"/>
                      <w:sz w:val="21"/>
                      <w:szCs w:val="21"/>
                      <w:lang w:val="en-US" w:eastAsia="zh-CN"/>
                    </w:rPr>
                    <w:t>中央空调供暖</w:t>
                  </w:r>
                </w:p>
              </w:tc>
              <w:tc>
                <w:tcPr>
                  <w:tcW w:w="1272" w:type="dxa"/>
                  <w:shd w:val="clear" w:color="auto" w:fill="auto"/>
                  <w:vAlign w:val="center"/>
                </w:tcPr>
                <w:p w14:paraId="016ADDC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利用原有</w:t>
                  </w:r>
                </w:p>
              </w:tc>
            </w:tr>
            <w:tr w14:paraId="45E8C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686" w:type="dxa"/>
                  <w:vMerge w:val="continue"/>
                  <w:shd w:val="clear" w:color="auto" w:fill="auto"/>
                  <w:vAlign w:val="center"/>
                </w:tcPr>
                <w:p w14:paraId="1EDC32D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2E4D1B6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供氧</w:t>
                  </w:r>
                </w:p>
              </w:tc>
              <w:tc>
                <w:tcPr>
                  <w:tcW w:w="4418" w:type="dxa"/>
                  <w:shd w:val="clear" w:color="auto" w:fill="auto"/>
                  <w:vAlign w:val="center"/>
                </w:tcPr>
                <w:p w14:paraId="718C62E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由供氧站提供，位于</w:t>
                  </w:r>
                  <w:r>
                    <w:rPr>
                      <w:rFonts w:hint="eastAsia" w:ascii="Times New Roman" w:hAnsi="Times New Roman" w:cs="Times New Roman"/>
                      <w:color w:val="000000" w:themeColor="text1"/>
                      <w:kern w:val="0"/>
                      <w:sz w:val="21"/>
                      <w:szCs w:val="21"/>
                      <w:lang w:val="en-US" w:eastAsia="zh-CN"/>
                    </w:rPr>
                    <w:t>传染病楼</w:t>
                  </w:r>
                  <w:r>
                    <w:rPr>
                      <w:rFonts w:hint="default" w:ascii="Times New Roman" w:hAnsi="Times New Roman" w:cs="Times New Roman"/>
                      <w:color w:val="000000" w:themeColor="text1"/>
                      <w:kern w:val="0"/>
                      <w:sz w:val="21"/>
                      <w:szCs w:val="21"/>
                      <w:lang w:val="en-US" w:eastAsia="zh-CN"/>
                    </w:rPr>
                    <w:t>1楼制氧房，2台制氧能力为10m</w:t>
                  </w:r>
                  <w:r>
                    <w:rPr>
                      <w:rFonts w:hint="default" w:ascii="Times New Roman" w:hAnsi="Times New Roman" w:cs="Times New Roman"/>
                      <w:color w:val="000000" w:themeColor="text1"/>
                      <w:kern w:val="0"/>
                      <w:sz w:val="21"/>
                      <w:szCs w:val="21"/>
                      <w:vertAlign w:val="superscript"/>
                      <w:lang w:val="en-US" w:eastAsia="zh-CN"/>
                    </w:rPr>
                    <w:t>3</w:t>
                  </w:r>
                  <w:r>
                    <w:rPr>
                      <w:rFonts w:hint="default" w:ascii="Times New Roman" w:hAnsi="Times New Roman" w:cs="Times New Roman"/>
                      <w:color w:val="000000" w:themeColor="text1"/>
                      <w:kern w:val="0"/>
                      <w:sz w:val="21"/>
                      <w:szCs w:val="21"/>
                      <w:lang w:val="en-US" w:eastAsia="zh-CN"/>
                    </w:rPr>
                    <w:t>的制氧机组</w:t>
                  </w:r>
                </w:p>
              </w:tc>
              <w:tc>
                <w:tcPr>
                  <w:tcW w:w="1272" w:type="dxa"/>
                  <w:shd w:val="clear" w:color="auto" w:fill="auto"/>
                  <w:vAlign w:val="center"/>
                </w:tcPr>
                <w:p w14:paraId="4F6820E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利用原有</w:t>
                  </w:r>
                </w:p>
              </w:tc>
            </w:tr>
            <w:tr w14:paraId="0CD1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restart"/>
                  <w:shd w:val="clear" w:color="auto" w:fill="auto"/>
                  <w:vAlign w:val="center"/>
                </w:tcPr>
                <w:p w14:paraId="748DA50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环保工程</w:t>
                  </w:r>
                </w:p>
              </w:tc>
              <w:tc>
                <w:tcPr>
                  <w:tcW w:w="1661" w:type="dxa"/>
                  <w:gridSpan w:val="2"/>
                  <w:shd w:val="clear" w:color="auto" w:fill="auto"/>
                  <w:vAlign w:val="center"/>
                </w:tcPr>
                <w:p w14:paraId="2CEF696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u w:val="single"/>
                    </w:rPr>
                  </w:pPr>
                  <w:r>
                    <w:rPr>
                      <w:rFonts w:hint="default" w:ascii="Times New Roman" w:hAnsi="Times New Roman" w:eastAsia="宋体" w:cs="Times New Roman"/>
                      <w:color w:val="000000" w:themeColor="text1"/>
                      <w:kern w:val="0"/>
                      <w:sz w:val="21"/>
                      <w:szCs w:val="21"/>
                      <w:u w:val="single"/>
                    </w:rPr>
                    <w:t>废水</w:t>
                  </w:r>
                </w:p>
              </w:tc>
              <w:tc>
                <w:tcPr>
                  <w:tcW w:w="4418" w:type="dxa"/>
                  <w:shd w:val="clear" w:color="auto" w:fill="auto"/>
                  <w:vAlign w:val="center"/>
                </w:tcPr>
                <w:p w14:paraId="38F440E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u w:val="single"/>
                      <w:lang w:val="en-US"/>
                    </w:rPr>
                  </w:pPr>
                  <w:r>
                    <w:rPr>
                      <w:rFonts w:hint="eastAsia" w:cs="Times New Roman"/>
                      <w:color w:val="000000" w:themeColor="text1"/>
                      <w:kern w:val="0"/>
                      <w:sz w:val="21"/>
                      <w:szCs w:val="21"/>
                      <w:u w:val="single"/>
                      <w:lang w:val="en-US" w:eastAsia="zh-CN"/>
                    </w:rPr>
                    <w:t>办公楼生活污水和食堂废水分别经化粪池、隔油池预处理后进入综合污水处理站，</w:t>
                  </w:r>
                  <w:r>
                    <w:rPr>
                      <w:rFonts w:hint="default" w:ascii="Times New Roman" w:hAnsi="Times New Roman" w:cs="Times New Roman"/>
                      <w:color w:val="000000" w:themeColor="text1"/>
                      <w:kern w:val="0"/>
                      <w:sz w:val="21"/>
                      <w:szCs w:val="21"/>
                      <w:u w:val="single"/>
                      <w:lang w:val="en-US" w:eastAsia="zh-CN"/>
                    </w:rPr>
                    <w:t>传染病废水经预处理（氯系消毒工艺，60t/d）后和其他医疗废水一同进入</w:t>
                  </w:r>
                  <w:r>
                    <w:rPr>
                      <w:rFonts w:hint="eastAsia" w:cs="Times New Roman"/>
                      <w:color w:val="000000" w:themeColor="text1"/>
                      <w:kern w:val="0"/>
                      <w:sz w:val="21"/>
                      <w:szCs w:val="21"/>
                      <w:u w:val="single"/>
                      <w:lang w:val="en-US" w:eastAsia="zh-CN"/>
                    </w:rPr>
                    <w:t>综合</w:t>
                  </w:r>
                  <w:r>
                    <w:rPr>
                      <w:rFonts w:hint="default" w:ascii="Times New Roman" w:hAnsi="Times New Roman" w:cs="Times New Roman"/>
                      <w:color w:val="000000" w:themeColor="text1"/>
                      <w:kern w:val="0"/>
                      <w:sz w:val="21"/>
                      <w:szCs w:val="21"/>
                      <w:u w:val="single"/>
                      <w:lang w:val="en-US" w:eastAsia="zh-CN"/>
                    </w:rPr>
                    <w:t>污水处理站处理（格栅+A/O工艺+氯系消毒工艺，300t/d，全封闭设计）达标后排入市政管网</w:t>
                  </w:r>
                </w:p>
              </w:tc>
              <w:tc>
                <w:tcPr>
                  <w:tcW w:w="1272" w:type="dxa"/>
                  <w:shd w:val="clear" w:color="auto" w:fill="auto"/>
                  <w:vAlign w:val="center"/>
                </w:tcPr>
                <w:p w14:paraId="569EE23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u w:val="single"/>
                    </w:rPr>
                  </w:pPr>
                  <w:r>
                    <w:rPr>
                      <w:rFonts w:hint="default" w:ascii="Times New Roman" w:hAnsi="Times New Roman" w:cs="Times New Roman"/>
                      <w:kern w:val="0"/>
                      <w:sz w:val="21"/>
                      <w:szCs w:val="21"/>
                      <w:u w:val="single"/>
                      <w:lang w:val="en-US" w:eastAsia="zh-CN"/>
                    </w:rPr>
                    <w:t>利用原有</w:t>
                  </w:r>
                </w:p>
              </w:tc>
            </w:tr>
            <w:tr w14:paraId="09B3E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48729D3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65F2DAB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废气</w:t>
                  </w:r>
                </w:p>
              </w:tc>
              <w:tc>
                <w:tcPr>
                  <w:tcW w:w="4418" w:type="dxa"/>
                  <w:shd w:val="clear" w:color="auto" w:fill="auto"/>
                  <w:vAlign w:val="center"/>
                </w:tcPr>
                <w:p w14:paraId="0CFD4C0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锅炉采用天然气作为燃料，燃烧废气通过8m高排气筒排放；食堂油烟经油烟净化器处理后引至楼顶高空排放；</w:t>
                  </w:r>
                  <w:r>
                    <w:rPr>
                      <w:rFonts w:hint="default" w:ascii="Times New Roman" w:hAnsi="Times New Roman" w:cs="Times New Roman"/>
                      <w:color w:val="000000" w:themeColor="text1"/>
                      <w:kern w:val="0"/>
                      <w:sz w:val="21"/>
                      <w:szCs w:val="21"/>
                      <w:u w:val="single"/>
                      <w:lang w:val="en-US" w:eastAsia="zh-CN"/>
                    </w:rPr>
                    <w:t>污水站恶臭废气经</w:t>
                  </w:r>
                  <w:r>
                    <w:rPr>
                      <w:rFonts w:hint="eastAsia" w:cs="Times New Roman"/>
                      <w:color w:val="000000" w:themeColor="text1"/>
                      <w:kern w:val="0"/>
                      <w:sz w:val="21"/>
                      <w:szCs w:val="21"/>
                      <w:u w:val="single"/>
                      <w:lang w:val="en-US" w:eastAsia="zh-CN"/>
                    </w:rPr>
                    <w:t>负压收集+</w:t>
                  </w:r>
                  <w:r>
                    <w:rPr>
                      <w:rFonts w:hint="eastAsia" w:ascii="Times New Roman" w:hAnsi="Times New Roman" w:cs="Times New Roman"/>
                      <w:color w:val="000000" w:themeColor="text1"/>
                      <w:kern w:val="0"/>
                      <w:sz w:val="21"/>
                      <w:szCs w:val="21"/>
                      <w:u w:val="single"/>
                      <w:lang w:val="en-US" w:eastAsia="zh-CN"/>
                    </w:rPr>
                    <w:t>碱水</w:t>
                  </w:r>
                  <w:r>
                    <w:rPr>
                      <w:rFonts w:hint="default" w:ascii="Times New Roman" w:hAnsi="Times New Roman" w:cs="Times New Roman"/>
                      <w:color w:val="000000" w:themeColor="text1"/>
                      <w:kern w:val="0"/>
                      <w:sz w:val="21"/>
                      <w:szCs w:val="21"/>
                      <w:u w:val="single"/>
                      <w:lang w:val="en-US" w:eastAsia="zh-CN"/>
                    </w:rPr>
                    <w:t>喷淋+活性炭吸附后</w:t>
                  </w:r>
                  <w:r>
                    <w:rPr>
                      <w:rFonts w:hint="eastAsia" w:cs="Times New Roman"/>
                      <w:color w:val="000000" w:themeColor="text1"/>
                      <w:kern w:val="0"/>
                      <w:sz w:val="21"/>
                      <w:szCs w:val="21"/>
                      <w:u w:val="single"/>
                      <w:lang w:val="en-US" w:eastAsia="zh-CN"/>
                    </w:rPr>
                    <w:t>通过专用管道</w:t>
                  </w:r>
                  <w:r>
                    <w:rPr>
                      <w:rFonts w:hint="default" w:ascii="Times New Roman" w:hAnsi="Times New Roman" w:cs="Times New Roman"/>
                      <w:color w:val="000000" w:themeColor="text1"/>
                      <w:kern w:val="0"/>
                      <w:sz w:val="21"/>
                      <w:szCs w:val="21"/>
                      <w:u w:val="single"/>
                      <w:lang w:val="en-US" w:eastAsia="zh-CN"/>
                    </w:rPr>
                    <w:t>引至</w:t>
                  </w:r>
                  <w:r>
                    <w:rPr>
                      <w:rFonts w:hint="eastAsia" w:cs="Times New Roman"/>
                      <w:color w:val="000000" w:themeColor="text1"/>
                      <w:kern w:val="0"/>
                      <w:sz w:val="21"/>
                      <w:szCs w:val="21"/>
                      <w:u w:val="single"/>
                      <w:lang w:val="en-US" w:eastAsia="zh-CN"/>
                    </w:rPr>
                    <w:t>综合楼</w:t>
                  </w:r>
                  <w:r>
                    <w:rPr>
                      <w:rFonts w:hint="default" w:ascii="Times New Roman" w:hAnsi="Times New Roman" w:cs="Times New Roman"/>
                      <w:color w:val="000000" w:themeColor="text1"/>
                      <w:kern w:val="0"/>
                      <w:sz w:val="21"/>
                      <w:szCs w:val="21"/>
                      <w:u w:val="single"/>
                      <w:lang w:val="en-US" w:eastAsia="zh-CN"/>
                    </w:rPr>
                    <w:t>楼顶</w:t>
                  </w:r>
                  <w:r>
                    <w:rPr>
                      <w:rFonts w:hint="eastAsia" w:cs="Times New Roman"/>
                      <w:color w:val="000000" w:themeColor="text1"/>
                      <w:kern w:val="0"/>
                      <w:sz w:val="21"/>
                      <w:szCs w:val="21"/>
                      <w:u w:val="single"/>
                      <w:lang w:val="en-US" w:eastAsia="zh-CN"/>
                    </w:rPr>
                    <w:t>（63m）有组织</w:t>
                  </w:r>
                  <w:r>
                    <w:rPr>
                      <w:rFonts w:hint="default" w:ascii="Times New Roman" w:hAnsi="Times New Roman" w:cs="Times New Roman"/>
                      <w:color w:val="000000" w:themeColor="text1"/>
                      <w:kern w:val="0"/>
                      <w:sz w:val="21"/>
                      <w:szCs w:val="21"/>
                      <w:u w:val="single"/>
                      <w:lang w:val="en-US" w:eastAsia="zh-CN"/>
                    </w:rPr>
                    <w:t>排放</w:t>
                  </w:r>
                </w:p>
              </w:tc>
              <w:tc>
                <w:tcPr>
                  <w:tcW w:w="1272" w:type="dxa"/>
                  <w:shd w:val="clear" w:color="auto" w:fill="auto"/>
                  <w:vAlign w:val="center"/>
                </w:tcPr>
                <w:p w14:paraId="545BDC6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rPr>
                  </w:pPr>
                  <w:r>
                    <w:rPr>
                      <w:rFonts w:hint="default" w:ascii="Times New Roman" w:hAnsi="Times New Roman" w:cs="Times New Roman"/>
                      <w:kern w:val="0"/>
                      <w:sz w:val="21"/>
                      <w:szCs w:val="21"/>
                      <w:lang w:val="en-US" w:eastAsia="zh-CN"/>
                    </w:rPr>
                    <w:t>利用原有</w:t>
                  </w:r>
                </w:p>
              </w:tc>
            </w:tr>
            <w:tr w14:paraId="51B7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71CEED1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5FF6BA6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噪声</w:t>
                  </w:r>
                </w:p>
              </w:tc>
              <w:tc>
                <w:tcPr>
                  <w:tcW w:w="4418" w:type="dxa"/>
                  <w:shd w:val="clear" w:color="auto" w:fill="auto"/>
                  <w:vAlign w:val="center"/>
                </w:tcPr>
                <w:p w14:paraId="1D7276D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cs="Times New Roman"/>
                      <w:color w:val="000000" w:themeColor="text1"/>
                      <w:kern w:val="0"/>
                      <w:sz w:val="21"/>
                      <w:szCs w:val="21"/>
                      <w:lang w:val="en-US" w:eastAsia="zh-CN"/>
                    </w:rPr>
                    <w:t>污水处理站水泵、风机和</w:t>
                  </w:r>
                  <w:r>
                    <w:rPr>
                      <w:rFonts w:hint="default" w:ascii="Times New Roman" w:hAnsi="Times New Roman" w:eastAsia="宋体" w:cs="Times New Roman"/>
                      <w:color w:val="000000" w:themeColor="text1"/>
                      <w:kern w:val="0"/>
                      <w:sz w:val="21"/>
                      <w:szCs w:val="21"/>
                    </w:rPr>
                    <w:t>空调</w:t>
                  </w:r>
                  <w:r>
                    <w:rPr>
                      <w:rFonts w:hint="default" w:ascii="Times New Roman" w:hAnsi="Times New Roman" w:cs="Times New Roman"/>
                      <w:color w:val="000000" w:themeColor="text1"/>
                      <w:kern w:val="0"/>
                      <w:sz w:val="21"/>
                      <w:szCs w:val="21"/>
                      <w:lang w:val="en-US" w:eastAsia="zh-CN"/>
                    </w:rPr>
                    <w:t>主</w:t>
                  </w:r>
                  <w:r>
                    <w:rPr>
                      <w:rFonts w:hint="default" w:ascii="Times New Roman" w:hAnsi="Times New Roman" w:eastAsia="宋体" w:cs="Times New Roman"/>
                      <w:color w:val="000000" w:themeColor="text1"/>
                      <w:kern w:val="0"/>
                      <w:sz w:val="21"/>
                      <w:szCs w:val="21"/>
                    </w:rPr>
                    <w:t>机采取</w:t>
                  </w:r>
                  <w:r>
                    <w:rPr>
                      <w:rFonts w:hint="default" w:ascii="Times New Roman" w:hAnsi="Times New Roman" w:cs="Times New Roman"/>
                      <w:color w:val="000000" w:themeColor="text1"/>
                      <w:kern w:val="0"/>
                      <w:sz w:val="21"/>
                      <w:szCs w:val="21"/>
                      <w:lang w:val="en-US" w:eastAsia="zh-CN"/>
                    </w:rPr>
                    <w:t>减振及</w:t>
                  </w:r>
                  <w:r>
                    <w:rPr>
                      <w:rFonts w:hint="default" w:ascii="Times New Roman" w:hAnsi="Times New Roman" w:eastAsia="宋体" w:cs="Times New Roman"/>
                      <w:color w:val="000000" w:themeColor="text1"/>
                      <w:kern w:val="0"/>
                      <w:sz w:val="21"/>
                      <w:szCs w:val="21"/>
                    </w:rPr>
                    <w:t>距离衰减措施</w:t>
                  </w:r>
                </w:p>
              </w:tc>
              <w:tc>
                <w:tcPr>
                  <w:tcW w:w="1272" w:type="dxa"/>
                  <w:shd w:val="clear" w:color="auto" w:fill="auto"/>
                  <w:vAlign w:val="center"/>
                </w:tcPr>
                <w:p w14:paraId="0723D56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利用原有</w:t>
                  </w:r>
                </w:p>
              </w:tc>
            </w:tr>
            <w:tr w14:paraId="04D00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dxa"/>
                  <w:vMerge w:val="continue"/>
                  <w:shd w:val="clear" w:color="auto" w:fill="auto"/>
                  <w:vAlign w:val="center"/>
                </w:tcPr>
                <w:p w14:paraId="3538AF9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661" w:type="dxa"/>
                  <w:gridSpan w:val="2"/>
                  <w:shd w:val="clear" w:color="auto" w:fill="auto"/>
                  <w:vAlign w:val="center"/>
                </w:tcPr>
                <w:p w14:paraId="4EC2C18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固体废物</w:t>
                  </w:r>
                </w:p>
              </w:tc>
              <w:tc>
                <w:tcPr>
                  <w:tcW w:w="4418" w:type="dxa"/>
                  <w:shd w:val="clear" w:color="auto" w:fill="auto"/>
                  <w:vAlign w:val="center"/>
                </w:tcPr>
                <w:p w14:paraId="6FB8646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rPr>
                  </w:pPr>
                  <w:r>
                    <w:rPr>
                      <w:rFonts w:hint="default" w:ascii="Times New Roman" w:hAnsi="Times New Roman" w:cs="Times New Roman"/>
                      <w:color w:val="000000" w:themeColor="text1"/>
                      <w:kern w:val="0"/>
                      <w:sz w:val="21"/>
                      <w:szCs w:val="21"/>
                      <w:lang w:val="en-US" w:eastAsia="zh-CN"/>
                    </w:rPr>
                    <w:t>生活垃圾统一收集后由环卫部门清运</w:t>
                  </w:r>
                  <w:r>
                    <w:rPr>
                      <w:rFonts w:hint="eastAsia" w:cs="Times New Roman"/>
                      <w:color w:val="000000" w:themeColor="text1"/>
                      <w:kern w:val="0"/>
                      <w:sz w:val="21"/>
                      <w:szCs w:val="21"/>
                      <w:lang w:val="en-US" w:eastAsia="zh-CN"/>
                    </w:rPr>
                    <w:t>；一般固废集中收集后外售，一般固废暂存间（</w:t>
                  </w:r>
                  <w:r>
                    <w:rPr>
                      <w:rFonts w:hint="default" w:ascii="Times New Roman" w:hAnsi="Times New Roman" w:cs="Times New Roman"/>
                      <w:color w:val="000000" w:themeColor="text1"/>
                      <w:kern w:val="0"/>
                      <w:sz w:val="21"/>
                      <w:szCs w:val="21"/>
                      <w:lang w:val="en-US" w:eastAsia="zh-CN"/>
                    </w:rPr>
                    <w:t>面积</w:t>
                  </w:r>
                  <w:r>
                    <w:rPr>
                      <w:rFonts w:hint="eastAsia" w:cs="Times New Roman"/>
                      <w:color w:val="000000" w:themeColor="text1"/>
                      <w:kern w:val="0"/>
                      <w:sz w:val="21"/>
                      <w:szCs w:val="21"/>
                      <w:lang w:val="en-US" w:eastAsia="zh-CN"/>
                    </w:rPr>
                    <w:t>1</w:t>
                  </w:r>
                  <w:r>
                    <w:rPr>
                      <w:rFonts w:hint="default" w:ascii="Times New Roman" w:hAnsi="Times New Roman" w:cs="Times New Roman"/>
                      <w:color w:val="000000" w:themeColor="text1"/>
                      <w:kern w:val="0"/>
                      <w:sz w:val="21"/>
                      <w:szCs w:val="21"/>
                      <w:lang w:val="en-US" w:eastAsia="zh-CN"/>
                    </w:rPr>
                    <w:t>0m</w:t>
                  </w:r>
                  <w:r>
                    <w:rPr>
                      <w:rFonts w:hint="default" w:ascii="Times New Roman" w:hAnsi="Times New Roman" w:cs="Times New Roman"/>
                      <w:color w:val="000000" w:themeColor="text1"/>
                      <w:kern w:val="0"/>
                      <w:sz w:val="21"/>
                      <w:szCs w:val="21"/>
                      <w:vertAlign w:val="superscript"/>
                      <w:lang w:val="en-US" w:eastAsia="zh-CN"/>
                    </w:rPr>
                    <w:t>2</w:t>
                  </w:r>
                  <w:r>
                    <w:rPr>
                      <w:rFonts w:hint="eastAsia" w:cs="Times New Roman"/>
                      <w:color w:val="000000" w:themeColor="text1"/>
                      <w:kern w:val="0"/>
                      <w:sz w:val="21"/>
                      <w:szCs w:val="21"/>
                      <w:lang w:val="en-US" w:eastAsia="zh-CN"/>
                    </w:rPr>
                    <w:t>）位于辅助用房区；</w:t>
                  </w:r>
                  <w:r>
                    <w:rPr>
                      <w:rFonts w:hint="default" w:ascii="Times New Roman" w:hAnsi="Times New Roman" w:cs="Times New Roman"/>
                      <w:color w:val="000000" w:themeColor="text1"/>
                      <w:kern w:val="0"/>
                      <w:sz w:val="21"/>
                      <w:szCs w:val="21"/>
                      <w:lang w:val="en-US" w:eastAsia="zh-CN"/>
                    </w:rPr>
                    <w:t>危废暂存间（面积30m</w:t>
                  </w:r>
                  <w:r>
                    <w:rPr>
                      <w:rFonts w:hint="default" w:ascii="Times New Roman" w:hAnsi="Times New Roman" w:cs="Times New Roman"/>
                      <w:color w:val="000000" w:themeColor="text1"/>
                      <w:kern w:val="0"/>
                      <w:sz w:val="21"/>
                      <w:szCs w:val="21"/>
                      <w:vertAlign w:val="superscript"/>
                      <w:lang w:val="en-US" w:eastAsia="zh-CN"/>
                    </w:rPr>
                    <w:t>2</w:t>
                  </w:r>
                  <w:r>
                    <w:rPr>
                      <w:rFonts w:hint="default" w:ascii="Times New Roman" w:hAnsi="Times New Roman" w:cs="Times New Roman"/>
                      <w:color w:val="000000" w:themeColor="text1"/>
                      <w:kern w:val="0"/>
                      <w:sz w:val="21"/>
                      <w:szCs w:val="21"/>
                      <w:lang w:val="en-US" w:eastAsia="zh-CN"/>
                    </w:rPr>
                    <w:t>）</w:t>
                  </w:r>
                  <w:r>
                    <w:rPr>
                      <w:rFonts w:hint="eastAsia" w:ascii="Times New Roman" w:hAnsi="Times New Roman" w:cs="Times New Roman"/>
                      <w:color w:val="000000" w:themeColor="text1"/>
                      <w:kern w:val="0"/>
                      <w:sz w:val="21"/>
                      <w:szCs w:val="21"/>
                      <w:lang w:val="en-US" w:eastAsia="zh-CN"/>
                    </w:rPr>
                    <w:t>位于传染病楼东</w:t>
                  </w:r>
                  <w:r>
                    <w:rPr>
                      <w:rFonts w:hint="default" w:ascii="Times New Roman" w:hAnsi="Times New Roman" w:cs="Times New Roman"/>
                      <w:color w:val="000000" w:themeColor="text1"/>
                      <w:kern w:val="0"/>
                      <w:sz w:val="21"/>
                      <w:szCs w:val="21"/>
                      <w:lang w:val="en-US" w:eastAsia="zh-CN"/>
                    </w:rPr>
                    <w:t>北侧，医疗固废、污水站污泥</w:t>
                  </w:r>
                  <w:r>
                    <w:rPr>
                      <w:rFonts w:hint="eastAsia" w:cs="Times New Roman"/>
                      <w:color w:val="000000" w:themeColor="text1"/>
                      <w:kern w:val="0"/>
                      <w:sz w:val="21"/>
                      <w:szCs w:val="21"/>
                      <w:lang w:val="en-US" w:eastAsia="zh-CN"/>
                    </w:rPr>
                    <w:t>、栅渣及废紫外灯管等危废</w:t>
                  </w:r>
                  <w:r>
                    <w:rPr>
                      <w:rFonts w:hint="default" w:ascii="Times New Roman" w:hAnsi="Times New Roman" w:cs="Times New Roman"/>
                      <w:color w:val="000000" w:themeColor="text1"/>
                      <w:kern w:val="0"/>
                      <w:sz w:val="21"/>
                      <w:szCs w:val="21"/>
                      <w:lang w:val="en-US" w:eastAsia="zh-CN"/>
                    </w:rPr>
                    <w:t>集中暂存于危废暂存间中，定期委托资质</w:t>
                  </w:r>
                  <w:r>
                    <w:rPr>
                      <w:rFonts w:hint="eastAsia" w:ascii="Times New Roman" w:hAnsi="Times New Roman" w:cs="Times New Roman"/>
                      <w:color w:val="000000" w:themeColor="text1"/>
                      <w:kern w:val="0"/>
                      <w:sz w:val="21"/>
                      <w:szCs w:val="21"/>
                      <w:lang w:val="en-US" w:eastAsia="zh-CN"/>
                    </w:rPr>
                    <w:t>机构</w:t>
                  </w:r>
                  <w:r>
                    <w:rPr>
                      <w:rFonts w:hint="default" w:ascii="Times New Roman" w:hAnsi="Times New Roman" w:cs="Times New Roman"/>
                      <w:color w:val="000000" w:themeColor="text1"/>
                      <w:kern w:val="0"/>
                      <w:sz w:val="21"/>
                      <w:szCs w:val="21"/>
                      <w:lang w:val="en-US" w:eastAsia="zh-CN"/>
                    </w:rPr>
                    <w:t>处置</w:t>
                  </w:r>
                </w:p>
              </w:tc>
              <w:tc>
                <w:tcPr>
                  <w:tcW w:w="1272" w:type="dxa"/>
                  <w:shd w:val="clear" w:color="auto" w:fill="auto"/>
                  <w:vAlign w:val="center"/>
                </w:tcPr>
                <w:p w14:paraId="61CA647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利用原有</w:t>
                  </w:r>
                </w:p>
              </w:tc>
            </w:tr>
          </w:tbl>
          <w:p w14:paraId="7A1B9AAD">
            <w:pPr>
              <w:numPr>
                <w:ilvl w:val="0"/>
                <w:numId w:val="0"/>
              </w:numPr>
              <w:autoSpaceDE w:val="0"/>
              <w:autoSpaceDN w:val="0"/>
              <w:adjustRightInd w:val="0"/>
              <w:snapToGrid w:val="0"/>
              <w:spacing w:line="360" w:lineRule="auto"/>
              <w:ind w:leftChars="0"/>
              <w:jc w:val="left"/>
              <w:rPr>
                <w:rFonts w:hint="default" w:ascii="Times New Roman" w:hAnsi="Times New Roman" w:eastAsia="宋体" w:cs="Times New Roman"/>
                <w:b/>
                <w:bCs/>
                <w:kern w:val="0"/>
                <w:sz w:val="24"/>
                <w:szCs w:val="24"/>
                <w:u w:val="single"/>
                <w:lang w:val="en-US" w:eastAsia="zh-CN"/>
              </w:rPr>
            </w:pPr>
            <w:r>
              <w:rPr>
                <w:rFonts w:hint="eastAsia" w:cs="Times New Roman"/>
                <w:b/>
                <w:bCs/>
                <w:kern w:val="0"/>
                <w:sz w:val="24"/>
                <w:szCs w:val="24"/>
                <w:u w:val="single"/>
                <w:lang w:val="en-US" w:eastAsia="zh-CN"/>
              </w:rPr>
              <w:t>3、依托工程</w:t>
            </w:r>
          </w:p>
          <w:p w14:paraId="419A4073">
            <w:pPr>
              <w:numPr>
                <w:ilvl w:val="0"/>
                <w:numId w:val="0"/>
              </w:numPr>
              <w:autoSpaceDE w:val="0"/>
              <w:autoSpaceDN w:val="0"/>
              <w:adjustRightInd w:val="0"/>
              <w:snapToGrid w:val="0"/>
              <w:spacing w:line="360" w:lineRule="auto"/>
              <w:ind w:leftChars="0"/>
              <w:jc w:val="left"/>
              <w:rPr>
                <w:rFonts w:hint="default" w:ascii="Times New Roman" w:hAnsi="Times New Roman" w:eastAsia="宋体" w:cs="Times New Roman"/>
                <w:b w:val="0"/>
                <w:bCs w:val="0"/>
                <w:kern w:val="0"/>
                <w:sz w:val="24"/>
                <w:szCs w:val="24"/>
                <w:u w:val="single"/>
                <w:lang w:val="en-US" w:eastAsia="zh-CN"/>
              </w:rPr>
            </w:pPr>
            <w:r>
              <w:rPr>
                <w:rFonts w:hint="eastAsia" w:cs="Times New Roman"/>
                <w:b w:val="0"/>
                <w:bCs w:val="0"/>
                <w:kern w:val="0"/>
                <w:sz w:val="24"/>
                <w:szCs w:val="24"/>
                <w:lang w:val="en-US" w:eastAsia="zh-CN"/>
              </w:rPr>
              <w:t xml:space="preserve">    </w:t>
            </w:r>
            <w:r>
              <w:rPr>
                <w:rFonts w:hint="eastAsia" w:cs="Times New Roman"/>
                <w:b w:val="0"/>
                <w:bCs w:val="0"/>
                <w:kern w:val="0"/>
                <w:sz w:val="24"/>
                <w:szCs w:val="24"/>
                <w:u w:val="single"/>
                <w:lang w:val="en-US" w:eastAsia="zh-CN"/>
              </w:rPr>
              <w:t>本项目主要依托院区原有环保设备，依托情况及依托可行性见下表。</w:t>
            </w:r>
          </w:p>
          <w:p w14:paraId="6EDA8520">
            <w:pPr>
              <w:numPr>
                <w:ilvl w:val="0"/>
                <w:numId w:val="0"/>
              </w:numPr>
              <w:autoSpaceDE w:val="0"/>
              <w:autoSpaceDN w:val="0"/>
              <w:adjustRightInd w:val="0"/>
              <w:snapToGrid w:val="0"/>
              <w:spacing w:line="360" w:lineRule="auto"/>
              <w:ind w:leftChars="0"/>
              <w:jc w:val="center"/>
              <w:rPr>
                <w:rFonts w:hint="default" w:ascii="Times New Roman" w:hAnsi="Times New Roman" w:eastAsia="宋体" w:cs="Times New Roman"/>
                <w:b/>
                <w:bCs/>
                <w:kern w:val="0"/>
                <w:sz w:val="21"/>
                <w:szCs w:val="21"/>
                <w:u w:val="single"/>
                <w:lang w:val="en-US" w:eastAsia="zh-CN"/>
              </w:rPr>
            </w:pPr>
            <w:r>
              <w:rPr>
                <w:rFonts w:hint="eastAsia" w:cs="Times New Roman"/>
                <w:b/>
                <w:bCs/>
                <w:kern w:val="0"/>
                <w:sz w:val="21"/>
                <w:szCs w:val="21"/>
                <w:u w:val="single"/>
                <w:lang w:val="en-US" w:eastAsia="zh-CN"/>
              </w:rPr>
              <w:t>表2-2 本项目与院区原有环保设备的依托情况一览表</w:t>
            </w:r>
          </w:p>
          <w:tbl>
            <w:tblPr>
              <w:tblStyle w:val="25"/>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1185"/>
              <w:gridCol w:w="1500"/>
              <w:gridCol w:w="1230"/>
              <w:gridCol w:w="2715"/>
              <w:gridCol w:w="916"/>
            </w:tblGrid>
            <w:tr w14:paraId="4E5F8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dxa"/>
                  <w:vAlign w:val="center"/>
                </w:tcPr>
                <w:p w14:paraId="129893A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bCs/>
                      <w:kern w:val="0"/>
                      <w:sz w:val="21"/>
                      <w:szCs w:val="21"/>
                      <w:u w:val="single"/>
                      <w:vertAlign w:val="baseline"/>
                      <w:lang w:val="en-US" w:eastAsia="zh-CN"/>
                    </w:rPr>
                  </w:pPr>
                  <w:r>
                    <w:rPr>
                      <w:rFonts w:hint="eastAsia" w:cs="Times New Roman"/>
                      <w:b/>
                      <w:bCs/>
                      <w:kern w:val="0"/>
                      <w:sz w:val="21"/>
                      <w:szCs w:val="21"/>
                      <w:u w:val="single"/>
                      <w:vertAlign w:val="baseline"/>
                      <w:lang w:val="en-US" w:eastAsia="zh-CN"/>
                    </w:rPr>
                    <w:t>序号</w:t>
                  </w:r>
                </w:p>
              </w:tc>
              <w:tc>
                <w:tcPr>
                  <w:tcW w:w="1185" w:type="dxa"/>
                  <w:vAlign w:val="center"/>
                </w:tcPr>
                <w:p w14:paraId="05755FA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bCs/>
                      <w:kern w:val="0"/>
                      <w:sz w:val="21"/>
                      <w:szCs w:val="21"/>
                      <w:u w:val="single"/>
                      <w:vertAlign w:val="baseline"/>
                      <w:lang w:val="en-US" w:eastAsia="zh-CN"/>
                    </w:rPr>
                  </w:pPr>
                  <w:r>
                    <w:rPr>
                      <w:rFonts w:hint="eastAsia" w:cs="Times New Roman"/>
                      <w:b/>
                      <w:bCs/>
                      <w:kern w:val="0"/>
                      <w:sz w:val="21"/>
                      <w:szCs w:val="21"/>
                      <w:u w:val="single"/>
                      <w:vertAlign w:val="baseline"/>
                      <w:lang w:val="en-US" w:eastAsia="zh-CN"/>
                    </w:rPr>
                    <w:t>项目</w:t>
                  </w:r>
                </w:p>
              </w:tc>
              <w:tc>
                <w:tcPr>
                  <w:tcW w:w="1500" w:type="dxa"/>
                  <w:vAlign w:val="center"/>
                </w:tcPr>
                <w:p w14:paraId="755A4F8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bCs/>
                      <w:kern w:val="0"/>
                      <w:sz w:val="21"/>
                      <w:szCs w:val="21"/>
                      <w:u w:val="single"/>
                      <w:vertAlign w:val="baseline"/>
                      <w:lang w:val="en-US" w:eastAsia="zh-CN"/>
                    </w:rPr>
                  </w:pPr>
                  <w:r>
                    <w:rPr>
                      <w:rFonts w:hint="eastAsia" w:cs="Times New Roman"/>
                      <w:b/>
                      <w:bCs/>
                      <w:kern w:val="0"/>
                      <w:sz w:val="21"/>
                      <w:szCs w:val="21"/>
                      <w:u w:val="single"/>
                      <w:vertAlign w:val="baseline"/>
                      <w:lang w:val="en-US" w:eastAsia="zh-CN"/>
                    </w:rPr>
                    <w:t>规模</w:t>
                  </w:r>
                </w:p>
              </w:tc>
              <w:tc>
                <w:tcPr>
                  <w:tcW w:w="1230" w:type="dxa"/>
                  <w:vAlign w:val="center"/>
                </w:tcPr>
                <w:p w14:paraId="2263748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u w:val="single"/>
                      <w:vertAlign w:val="baseline"/>
                      <w:lang w:val="en-US" w:eastAsia="zh-CN"/>
                    </w:rPr>
                  </w:pPr>
                  <w:r>
                    <w:rPr>
                      <w:rFonts w:hint="eastAsia" w:cs="Times New Roman"/>
                      <w:b/>
                      <w:bCs/>
                      <w:kern w:val="0"/>
                      <w:sz w:val="21"/>
                      <w:szCs w:val="21"/>
                      <w:u w:val="single"/>
                      <w:vertAlign w:val="baseline"/>
                      <w:lang w:val="en-US" w:eastAsia="zh-CN"/>
                    </w:rPr>
                    <w:t>富余能力</w:t>
                  </w:r>
                </w:p>
              </w:tc>
              <w:tc>
                <w:tcPr>
                  <w:tcW w:w="2715" w:type="dxa"/>
                  <w:vAlign w:val="center"/>
                </w:tcPr>
                <w:p w14:paraId="0FA2C4D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u w:val="single"/>
                      <w:vertAlign w:val="baseline"/>
                      <w:lang w:val="en-US" w:eastAsia="zh-CN"/>
                    </w:rPr>
                  </w:pPr>
                  <w:r>
                    <w:rPr>
                      <w:rFonts w:hint="eastAsia" w:cs="Times New Roman"/>
                      <w:b/>
                      <w:bCs/>
                      <w:kern w:val="0"/>
                      <w:sz w:val="21"/>
                      <w:szCs w:val="21"/>
                      <w:u w:val="single"/>
                      <w:vertAlign w:val="baseline"/>
                      <w:lang w:val="en-US" w:eastAsia="zh-CN"/>
                    </w:rPr>
                    <w:t>本项目使用情况</w:t>
                  </w:r>
                </w:p>
              </w:tc>
              <w:tc>
                <w:tcPr>
                  <w:tcW w:w="916" w:type="dxa"/>
                  <w:vAlign w:val="center"/>
                </w:tcPr>
                <w:p w14:paraId="3EC4ECD7">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u w:val="single"/>
                      <w:vertAlign w:val="baseline"/>
                      <w:lang w:val="en-US" w:eastAsia="zh-CN"/>
                    </w:rPr>
                  </w:pPr>
                  <w:r>
                    <w:rPr>
                      <w:rFonts w:hint="eastAsia" w:cs="Times New Roman"/>
                      <w:b/>
                      <w:bCs/>
                      <w:kern w:val="0"/>
                      <w:sz w:val="21"/>
                      <w:szCs w:val="21"/>
                      <w:u w:val="single"/>
                      <w:vertAlign w:val="baseline"/>
                      <w:lang w:val="en-US" w:eastAsia="zh-CN"/>
                    </w:rPr>
                    <w:t>依托可行性</w:t>
                  </w:r>
                </w:p>
              </w:tc>
            </w:tr>
            <w:tr w14:paraId="7718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dxa"/>
                  <w:vAlign w:val="center"/>
                </w:tcPr>
                <w:p w14:paraId="5D51FA3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1</w:t>
                  </w:r>
                </w:p>
              </w:tc>
              <w:tc>
                <w:tcPr>
                  <w:tcW w:w="1185" w:type="dxa"/>
                  <w:vAlign w:val="center"/>
                </w:tcPr>
                <w:p w14:paraId="7BF65AE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综合污水处理站</w:t>
                  </w:r>
                </w:p>
              </w:tc>
              <w:tc>
                <w:tcPr>
                  <w:tcW w:w="1500" w:type="dxa"/>
                  <w:vAlign w:val="center"/>
                </w:tcPr>
                <w:p w14:paraId="70386DB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rPr>
                  </w:pPr>
                  <w:r>
                    <w:rPr>
                      <w:rFonts w:hint="default" w:ascii="Times New Roman" w:hAnsi="Times New Roman" w:cs="Times New Roman"/>
                      <w:color w:val="000000" w:themeColor="text1"/>
                      <w:kern w:val="0"/>
                      <w:sz w:val="21"/>
                      <w:szCs w:val="21"/>
                      <w:u w:val="single"/>
                      <w:lang w:val="en-US" w:eastAsia="zh-CN"/>
                    </w:rPr>
                    <w:t>（格栅+A/O工艺+氯系消毒工艺，300t/d</w:t>
                  </w:r>
                </w:p>
              </w:tc>
              <w:tc>
                <w:tcPr>
                  <w:tcW w:w="1230" w:type="dxa"/>
                  <w:vAlign w:val="center"/>
                </w:tcPr>
                <w:p w14:paraId="4909AC4E">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300t/d</w:t>
                  </w:r>
                </w:p>
              </w:tc>
              <w:tc>
                <w:tcPr>
                  <w:tcW w:w="2715" w:type="dxa"/>
                  <w:vAlign w:val="center"/>
                </w:tcPr>
                <w:p w14:paraId="3533AD0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本项目综合污水排放量161.6t/d，满足本项目使用需求</w:t>
                  </w:r>
                </w:p>
              </w:tc>
              <w:tc>
                <w:tcPr>
                  <w:tcW w:w="916" w:type="dxa"/>
                  <w:vAlign w:val="center"/>
                </w:tcPr>
                <w:p w14:paraId="261C740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可依托</w:t>
                  </w:r>
                </w:p>
              </w:tc>
            </w:tr>
            <w:tr w14:paraId="79AE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dxa"/>
                  <w:vAlign w:val="center"/>
                </w:tcPr>
                <w:p w14:paraId="5BEC813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2</w:t>
                  </w:r>
                </w:p>
              </w:tc>
              <w:tc>
                <w:tcPr>
                  <w:tcW w:w="1185" w:type="dxa"/>
                  <w:vAlign w:val="center"/>
                </w:tcPr>
                <w:p w14:paraId="5DA986B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传染科废水预处理系统</w:t>
                  </w:r>
                </w:p>
              </w:tc>
              <w:tc>
                <w:tcPr>
                  <w:tcW w:w="1500" w:type="dxa"/>
                  <w:vAlign w:val="center"/>
                </w:tcPr>
                <w:p w14:paraId="7ED061E1">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rPr>
                  </w:pPr>
                  <w:r>
                    <w:rPr>
                      <w:rFonts w:hint="default" w:ascii="Times New Roman" w:hAnsi="Times New Roman" w:cs="Times New Roman"/>
                      <w:color w:val="000000" w:themeColor="text1"/>
                      <w:kern w:val="0"/>
                      <w:sz w:val="21"/>
                      <w:szCs w:val="21"/>
                      <w:u w:val="single"/>
                      <w:lang w:val="en-US" w:eastAsia="zh-CN"/>
                    </w:rPr>
                    <w:t>氯系消毒工艺，60t/d</w:t>
                  </w:r>
                </w:p>
              </w:tc>
              <w:tc>
                <w:tcPr>
                  <w:tcW w:w="1230" w:type="dxa"/>
                  <w:vAlign w:val="center"/>
                </w:tcPr>
                <w:p w14:paraId="59312F5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60t/d</w:t>
                  </w:r>
                </w:p>
              </w:tc>
              <w:tc>
                <w:tcPr>
                  <w:tcW w:w="2715" w:type="dxa"/>
                  <w:vAlign w:val="center"/>
                </w:tcPr>
                <w:p w14:paraId="4B7B24A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本项目传染科废水排放量12.2t/d，满足本项目使用需求</w:t>
                  </w:r>
                </w:p>
              </w:tc>
              <w:tc>
                <w:tcPr>
                  <w:tcW w:w="916" w:type="dxa"/>
                  <w:vAlign w:val="center"/>
                </w:tcPr>
                <w:p w14:paraId="0827854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可依托</w:t>
                  </w:r>
                </w:p>
              </w:tc>
            </w:tr>
            <w:tr w14:paraId="0B329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dxa"/>
                  <w:vAlign w:val="center"/>
                </w:tcPr>
                <w:p w14:paraId="57FFF26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3</w:t>
                  </w:r>
                </w:p>
              </w:tc>
              <w:tc>
                <w:tcPr>
                  <w:tcW w:w="1185" w:type="dxa"/>
                  <w:vAlign w:val="center"/>
                </w:tcPr>
                <w:p w14:paraId="3120A17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危险废物暂存间</w:t>
                  </w:r>
                </w:p>
              </w:tc>
              <w:tc>
                <w:tcPr>
                  <w:tcW w:w="1500" w:type="dxa"/>
                  <w:vAlign w:val="center"/>
                </w:tcPr>
                <w:p w14:paraId="4CE616B5">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面积</w:t>
                  </w:r>
                  <w:r>
                    <w:rPr>
                      <w:rFonts w:hint="default" w:ascii="Times New Roman" w:hAnsi="Times New Roman" w:cs="Times New Roman"/>
                      <w:color w:val="000000" w:themeColor="text1"/>
                      <w:kern w:val="0"/>
                      <w:sz w:val="21"/>
                      <w:szCs w:val="21"/>
                      <w:u w:val="single"/>
                      <w:lang w:val="en-US" w:eastAsia="zh-CN"/>
                    </w:rPr>
                    <w:t>30m</w:t>
                  </w:r>
                  <w:r>
                    <w:rPr>
                      <w:rFonts w:hint="default" w:ascii="Times New Roman" w:hAnsi="Times New Roman" w:cs="Times New Roman"/>
                      <w:color w:val="000000" w:themeColor="text1"/>
                      <w:kern w:val="0"/>
                      <w:sz w:val="21"/>
                      <w:szCs w:val="21"/>
                      <w:u w:val="single"/>
                      <w:vertAlign w:val="superscript"/>
                      <w:lang w:val="en-US" w:eastAsia="zh-CN"/>
                    </w:rPr>
                    <w:t>2</w:t>
                  </w:r>
                </w:p>
              </w:tc>
              <w:tc>
                <w:tcPr>
                  <w:tcW w:w="1230" w:type="dxa"/>
                  <w:vAlign w:val="center"/>
                </w:tcPr>
                <w:p w14:paraId="55A88957">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原有危废已全部合理处置</w:t>
                  </w:r>
                </w:p>
              </w:tc>
              <w:tc>
                <w:tcPr>
                  <w:tcW w:w="2715" w:type="dxa"/>
                  <w:vAlign w:val="center"/>
                </w:tcPr>
                <w:p w14:paraId="26ED2489">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本项目危废为医疗废物84.242t/a、污泥、栅渣5.02t/a，废活性炭1.0t/a，废紫外灯管0.002t/a，可依托原有危废暂存间</w:t>
                  </w:r>
                </w:p>
              </w:tc>
              <w:tc>
                <w:tcPr>
                  <w:tcW w:w="916" w:type="dxa"/>
                  <w:vAlign w:val="center"/>
                </w:tcPr>
                <w:p w14:paraId="1C5890D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可依托</w:t>
                  </w:r>
                </w:p>
              </w:tc>
            </w:tr>
            <w:tr w14:paraId="760C3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dxa"/>
                  <w:vAlign w:val="center"/>
                </w:tcPr>
                <w:p w14:paraId="66C936C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4</w:t>
                  </w:r>
                </w:p>
              </w:tc>
              <w:tc>
                <w:tcPr>
                  <w:tcW w:w="1185" w:type="dxa"/>
                  <w:vAlign w:val="center"/>
                </w:tcPr>
                <w:p w14:paraId="6080C47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一般固废暂存间</w:t>
                  </w:r>
                </w:p>
              </w:tc>
              <w:tc>
                <w:tcPr>
                  <w:tcW w:w="1500" w:type="dxa"/>
                  <w:vAlign w:val="center"/>
                </w:tcPr>
                <w:p w14:paraId="10948796">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面积1</w:t>
                  </w:r>
                  <w:r>
                    <w:rPr>
                      <w:rFonts w:hint="default" w:ascii="Times New Roman" w:hAnsi="Times New Roman" w:cs="Times New Roman"/>
                      <w:color w:val="000000" w:themeColor="text1"/>
                      <w:kern w:val="0"/>
                      <w:sz w:val="21"/>
                      <w:szCs w:val="21"/>
                      <w:u w:val="single"/>
                      <w:lang w:val="en-US" w:eastAsia="zh-CN"/>
                    </w:rPr>
                    <w:t>0m</w:t>
                  </w:r>
                  <w:r>
                    <w:rPr>
                      <w:rFonts w:hint="default" w:ascii="Times New Roman" w:hAnsi="Times New Roman" w:cs="Times New Roman"/>
                      <w:color w:val="000000" w:themeColor="text1"/>
                      <w:kern w:val="0"/>
                      <w:sz w:val="21"/>
                      <w:szCs w:val="21"/>
                      <w:u w:val="single"/>
                      <w:vertAlign w:val="superscript"/>
                      <w:lang w:val="en-US" w:eastAsia="zh-CN"/>
                    </w:rPr>
                    <w:t>2</w:t>
                  </w:r>
                </w:p>
              </w:tc>
              <w:tc>
                <w:tcPr>
                  <w:tcW w:w="1230" w:type="dxa"/>
                  <w:vAlign w:val="center"/>
                </w:tcPr>
                <w:p w14:paraId="3DCDF79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原有固废已全部合理处理</w:t>
                  </w:r>
                </w:p>
              </w:tc>
              <w:tc>
                <w:tcPr>
                  <w:tcW w:w="2715" w:type="dxa"/>
                  <w:vAlign w:val="center"/>
                </w:tcPr>
                <w:p w14:paraId="7462DBA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本项目一般固废为未被污染的医用一次性医用玻璃、输液瓶（袋）16.2t/a，废包装材料0.2t/a，可依托原有一般固废暂存间</w:t>
                  </w:r>
                </w:p>
              </w:tc>
              <w:tc>
                <w:tcPr>
                  <w:tcW w:w="916" w:type="dxa"/>
                  <w:vAlign w:val="center"/>
                </w:tcPr>
                <w:p w14:paraId="0E40C334">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val="0"/>
                      <w:bCs w:val="0"/>
                      <w:kern w:val="0"/>
                      <w:sz w:val="21"/>
                      <w:szCs w:val="21"/>
                      <w:u w:val="single"/>
                      <w:vertAlign w:val="baseline"/>
                    </w:rPr>
                  </w:pPr>
                  <w:r>
                    <w:rPr>
                      <w:rFonts w:hint="eastAsia" w:cs="Times New Roman"/>
                      <w:b w:val="0"/>
                      <w:bCs w:val="0"/>
                      <w:kern w:val="0"/>
                      <w:sz w:val="21"/>
                      <w:szCs w:val="21"/>
                      <w:u w:val="single"/>
                      <w:vertAlign w:val="baseline"/>
                      <w:lang w:val="en-US" w:eastAsia="zh-CN"/>
                    </w:rPr>
                    <w:t>可依托</w:t>
                  </w:r>
                </w:p>
              </w:tc>
            </w:tr>
            <w:tr w14:paraId="0DA79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dxa"/>
                  <w:vAlign w:val="center"/>
                </w:tcPr>
                <w:p w14:paraId="5959C40A">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5</w:t>
                  </w:r>
                </w:p>
              </w:tc>
              <w:tc>
                <w:tcPr>
                  <w:tcW w:w="1185" w:type="dxa"/>
                  <w:vAlign w:val="center"/>
                </w:tcPr>
                <w:p w14:paraId="424173F3">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应急池</w:t>
                  </w:r>
                </w:p>
              </w:tc>
              <w:tc>
                <w:tcPr>
                  <w:tcW w:w="1500" w:type="dxa"/>
                  <w:vAlign w:val="center"/>
                </w:tcPr>
                <w:p w14:paraId="46085DB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容积90m</w:t>
                  </w:r>
                  <w:r>
                    <w:rPr>
                      <w:rFonts w:hint="eastAsia" w:cs="Times New Roman"/>
                      <w:b w:val="0"/>
                      <w:bCs w:val="0"/>
                      <w:kern w:val="0"/>
                      <w:sz w:val="21"/>
                      <w:szCs w:val="21"/>
                      <w:u w:val="single"/>
                      <w:vertAlign w:val="superscript"/>
                      <w:lang w:val="en-US" w:eastAsia="zh-CN"/>
                    </w:rPr>
                    <w:t>3</w:t>
                  </w:r>
                </w:p>
              </w:tc>
              <w:tc>
                <w:tcPr>
                  <w:tcW w:w="1230" w:type="dxa"/>
                  <w:vAlign w:val="center"/>
                </w:tcPr>
                <w:p w14:paraId="182F96AD">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原有容积30m</w:t>
                  </w:r>
                  <w:r>
                    <w:rPr>
                      <w:rFonts w:hint="eastAsia" w:cs="Times New Roman"/>
                      <w:b w:val="0"/>
                      <w:bCs w:val="0"/>
                      <w:kern w:val="0"/>
                      <w:sz w:val="21"/>
                      <w:szCs w:val="21"/>
                      <w:u w:val="single"/>
                      <w:vertAlign w:val="superscript"/>
                      <w:lang w:val="en-US" w:eastAsia="zh-CN"/>
                    </w:rPr>
                    <w:t>3</w:t>
                  </w:r>
                </w:p>
              </w:tc>
              <w:tc>
                <w:tcPr>
                  <w:tcW w:w="2715" w:type="dxa"/>
                  <w:vAlign w:val="center"/>
                </w:tcPr>
                <w:p w14:paraId="5D63C0A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本项目在原有基础上将容积扩建至90m</w:t>
                  </w:r>
                  <w:r>
                    <w:rPr>
                      <w:rFonts w:hint="eastAsia" w:cs="Times New Roman"/>
                      <w:b w:val="0"/>
                      <w:bCs w:val="0"/>
                      <w:kern w:val="0"/>
                      <w:sz w:val="21"/>
                      <w:szCs w:val="21"/>
                      <w:u w:val="single"/>
                      <w:vertAlign w:val="superscript"/>
                      <w:lang w:val="en-US" w:eastAsia="zh-CN"/>
                    </w:rPr>
                    <w:t>3</w:t>
                  </w:r>
                  <w:r>
                    <w:rPr>
                      <w:rFonts w:hint="eastAsia" w:cs="Times New Roman"/>
                      <w:b w:val="0"/>
                      <w:bCs w:val="0"/>
                      <w:kern w:val="0"/>
                      <w:sz w:val="21"/>
                      <w:szCs w:val="21"/>
                      <w:u w:val="single"/>
                      <w:vertAlign w:val="baseline"/>
                      <w:lang w:val="en-US" w:eastAsia="zh-CN"/>
                    </w:rPr>
                    <w:t>，以达到HJ2029-2013标准要求</w:t>
                  </w:r>
                </w:p>
              </w:tc>
              <w:tc>
                <w:tcPr>
                  <w:tcW w:w="916" w:type="dxa"/>
                  <w:vAlign w:val="center"/>
                </w:tcPr>
                <w:p w14:paraId="173C9222">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60" w:after="60" w:line="240" w:lineRule="auto"/>
                    <w:jc w:val="center"/>
                    <w:textAlignment w:val="auto"/>
                    <w:rPr>
                      <w:rFonts w:hint="default" w:cs="Times New Roman"/>
                      <w:b w:val="0"/>
                      <w:bCs w:val="0"/>
                      <w:kern w:val="0"/>
                      <w:sz w:val="21"/>
                      <w:szCs w:val="21"/>
                      <w:u w:val="single"/>
                      <w:vertAlign w:val="baseline"/>
                      <w:lang w:val="en-US" w:eastAsia="zh-CN"/>
                    </w:rPr>
                  </w:pPr>
                  <w:r>
                    <w:rPr>
                      <w:rFonts w:hint="eastAsia" w:cs="Times New Roman"/>
                      <w:b w:val="0"/>
                      <w:bCs w:val="0"/>
                      <w:kern w:val="0"/>
                      <w:sz w:val="21"/>
                      <w:szCs w:val="21"/>
                      <w:u w:val="single"/>
                      <w:vertAlign w:val="baseline"/>
                      <w:lang w:val="en-US" w:eastAsia="zh-CN"/>
                    </w:rPr>
                    <w:t>可依托</w:t>
                  </w:r>
                </w:p>
              </w:tc>
            </w:tr>
          </w:tbl>
          <w:p w14:paraId="348D1CD2">
            <w:pPr>
              <w:numPr>
                <w:ilvl w:val="0"/>
                <w:numId w:val="0"/>
              </w:numPr>
              <w:autoSpaceDE w:val="0"/>
              <w:autoSpaceDN w:val="0"/>
              <w:adjustRightInd w:val="0"/>
              <w:snapToGrid w:val="0"/>
              <w:spacing w:line="360" w:lineRule="auto"/>
              <w:ind w:leftChars="0"/>
              <w:jc w:val="left"/>
              <w:rPr>
                <w:rFonts w:hint="default" w:ascii="Times New Roman" w:hAnsi="Times New Roman" w:eastAsia="宋体" w:cs="Times New Roman"/>
                <w:b/>
                <w:bCs/>
                <w:kern w:val="0"/>
                <w:sz w:val="24"/>
                <w:szCs w:val="24"/>
              </w:rPr>
            </w:pPr>
            <w:r>
              <w:rPr>
                <w:rFonts w:hint="eastAsia" w:cs="Times New Roman"/>
                <w:b/>
                <w:bCs/>
                <w:kern w:val="0"/>
                <w:sz w:val="24"/>
                <w:szCs w:val="24"/>
                <w:lang w:val="en-US" w:eastAsia="zh-CN"/>
              </w:rPr>
              <w:t>4、</w:t>
            </w:r>
            <w:r>
              <w:rPr>
                <w:rFonts w:hint="default" w:ascii="Times New Roman" w:hAnsi="Times New Roman" w:eastAsia="宋体" w:cs="Times New Roman"/>
                <w:b/>
                <w:bCs/>
                <w:kern w:val="0"/>
                <w:sz w:val="24"/>
                <w:szCs w:val="24"/>
              </w:rPr>
              <w:t>主要经济技术指标</w:t>
            </w:r>
          </w:p>
          <w:p w14:paraId="71F36C8C">
            <w:pPr>
              <w:autoSpaceDE w:val="0"/>
              <w:autoSpaceDN w:val="0"/>
              <w:adjustRightInd w:val="0"/>
              <w:snapToGrid w:val="0"/>
              <w:spacing w:line="360" w:lineRule="auto"/>
              <w:ind w:left="36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本项目主要经济技术指标见下表。</w:t>
            </w:r>
          </w:p>
          <w:p w14:paraId="4D1D6433">
            <w:pPr>
              <w:autoSpaceDE w:val="0"/>
              <w:autoSpaceDN w:val="0"/>
              <w:adjustRightInd w:val="0"/>
              <w:snapToGrid w:val="0"/>
              <w:spacing w:line="360" w:lineRule="auto"/>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表2-</w:t>
            </w:r>
            <w:r>
              <w:rPr>
                <w:rFonts w:hint="eastAsia" w:cs="Times New Roman"/>
                <w:b/>
                <w:bCs/>
                <w:kern w:val="0"/>
                <w:sz w:val="21"/>
                <w:szCs w:val="21"/>
                <w:lang w:val="en-US" w:eastAsia="zh-CN"/>
              </w:rPr>
              <w:t>3</w:t>
            </w:r>
            <w:r>
              <w:rPr>
                <w:rFonts w:hint="default" w:ascii="Times New Roman" w:hAnsi="Times New Roman" w:eastAsia="宋体" w:cs="Times New Roman"/>
                <w:b/>
                <w:bCs/>
                <w:kern w:val="0"/>
                <w:sz w:val="21"/>
                <w:szCs w:val="21"/>
              </w:rPr>
              <w:t xml:space="preserve"> 主要经济技术指标一览表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902"/>
              <w:gridCol w:w="690"/>
              <w:gridCol w:w="1050"/>
              <w:gridCol w:w="3629"/>
            </w:tblGrid>
            <w:tr w14:paraId="6EF2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dxa"/>
                  <w:shd w:val="clear" w:color="auto" w:fill="auto"/>
                  <w:vAlign w:val="center"/>
                </w:tcPr>
                <w:p w14:paraId="5178BBD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序号</w:t>
                  </w:r>
                </w:p>
              </w:tc>
              <w:tc>
                <w:tcPr>
                  <w:tcW w:w="1902" w:type="dxa"/>
                  <w:shd w:val="clear" w:color="auto" w:fill="auto"/>
                  <w:vAlign w:val="center"/>
                </w:tcPr>
                <w:p w14:paraId="5232FE9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项目</w:t>
                  </w:r>
                </w:p>
              </w:tc>
              <w:tc>
                <w:tcPr>
                  <w:tcW w:w="690" w:type="dxa"/>
                  <w:shd w:val="clear" w:color="auto" w:fill="auto"/>
                  <w:vAlign w:val="center"/>
                </w:tcPr>
                <w:p w14:paraId="410AD8C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单位</w:t>
                  </w:r>
                </w:p>
              </w:tc>
              <w:tc>
                <w:tcPr>
                  <w:tcW w:w="1050" w:type="dxa"/>
                  <w:shd w:val="clear" w:color="auto" w:fill="auto"/>
                  <w:vAlign w:val="center"/>
                </w:tcPr>
                <w:p w14:paraId="1150A50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数值</w:t>
                  </w:r>
                </w:p>
              </w:tc>
              <w:tc>
                <w:tcPr>
                  <w:tcW w:w="3629" w:type="dxa"/>
                  <w:shd w:val="clear" w:color="auto" w:fill="auto"/>
                  <w:vAlign w:val="center"/>
                </w:tcPr>
                <w:p w14:paraId="7E91764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备注</w:t>
                  </w:r>
                </w:p>
              </w:tc>
            </w:tr>
            <w:tr w14:paraId="2301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13F8CF6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1</w:t>
                  </w:r>
                </w:p>
              </w:tc>
              <w:tc>
                <w:tcPr>
                  <w:tcW w:w="1902" w:type="dxa"/>
                  <w:shd w:val="clear" w:color="auto" w:fill="auto"/>
                  <w:vAlign w:val="center"/>
                </w:tcPr>
                <w:p w14:paraId="0923A43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rPr>
                    <w:t>总</w:t>
                  </w:r>
                  <w:r>
                    <w:rPr>
                      <w:rFonts w:hint="default" w:ascii="Times New Roman" w:hAnsi="Times New Roman" w:cs="Times New Roman"/>
                      <w:kern w:val="0"/>
                      <w:sz w:val="21"/>
                      <w:szCs w:val="21"/>
                      <w:lang w:val="en-US" w:eastAsia="zh-CN"/>
                    </w:rPr>
                    <w:t>用地面积</w:t>
                  </w:r>
                </w:p>
              </w:tc>
              <w:tc>
                <w:tcPr>
                  <w:tcW w:w="690" w:type="dxa"/>
                  <w:shd w:val="clear" w:color="auto" w:fill="auto"/>
                  <w:vAlign w:val="center"/>
                </w:tcPr>
                <w:p w14:paraId="0997AA9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c>
                <w:tcPr>
                  <w:tcW w:w="1050" w:type="dxa"/>
                  <w:shd w:val="clear" w:color="auto" w:fill="auto"/>
                  <w:vAlign w:val="center"/>
                </w:tcPr>
                <w:p w14:paraId="010FD70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23432.31</w:t>
                  </w:r>
                </w:p>
              </w:tc>
              <w:tc>
                <w:tcPr>
                  <w:tcW w:w="3629" w:type="dxa"/>
                  <w:shd w:val="clear" w:color="auto" w:fill="auto"/>
                  <w:vAlign w:val="center"/>
                </w:tcPr>
                <w:p w14:paraId="70528F1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w:t>
                  </w:r>
                </w:p>
              </w:tc>
            </w:tr>
            <w:tr w14:paraId="60C3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7EDE2C4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w:t>
                  </w:r>
                </w:p>
              </w:tc>
              <w:tc>
                <w:tcPr>
                  <w:tcW w:w="1902" w:type="dxa"/>
                  <w:shd w:val="clear" w:color="auto" w:fill="auto"/>
                  <w:vAlign w:val="center"/>
                </w:tcPr>
                <w:p w14:paraId="36249A0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rPr>
                    <w:t>总建筑面积</w:t>
                  </w:r>
                </w:p>
              </w:tc>
              <w:tc>
                <w:tcPr>
                  <w:tcW w:w="690" w:type="dxa"/>
                  <w:shd w:val="clear" w:color="auto" w:fill="auto"/>
                  <w:vAlign w:val="center"/>
                </w:tcPr>
                <w:p w14:paraId="4927298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lang w:val="en-US" w:eastAsia="zh-CN"/>
                    </w:rPr>
                    <w:t>m</w:t>
                  </w:r>
                  <w:r>
                    <w:rPr>
                      <w:rFonts w:hint="default" w:ascii="Times New Roman" w:hAnsi="Times New Roman" w:eastAsia="宋体" w:cs="Times New Roman"/>
                      <w:color w:val="000000" w:themeColor="text1"/>
                      <w:kern w:val="0"/>
                      <w:sz w:val="21"/>
                      <w:szCs w:val="21"/>
                      <w:vertAlign w:val="superscript"/>
                      <w:lang w:val="en-US" w:eastAsia="zh-CN"/>
                    </w:rPr>
                    <w:t>2</w:t>
                  </w:r>
                </w:p>
              </w:tc>
              <w:tc>
                <w:tcPr>
                  <w:tcW w:w="1050" w:type="dxa"/>
                  <w:shd w:val="clear" w:color="auto" w:fill="auto"/>
                  <w:vAlign w:val="center"/>
                </w:tcPr>
                <w:p w14:paraId="27BD503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35692</w:t>
                  </w:r>
                </w:p>
              </w:tc>
              <w:tc>
                <w:tcPr>
                  <w:tcW w:w="3629" w:type="dxa"/>
                  <w:shd w:val="clear" w:color="auto" w:fill="auto"/>
                  <w:vAlign w:val="center"/>
                </w:tcPr>
                <w:p w14:paraId="0577ADB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w:t>
                  </w:r>
                </w:p>
              </w:tc>
            </w:tr>
            <w:tr w14:paraId="25A5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2510051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2.1</w:t>
                  </w:r>
                </w:p>
              </w:tc>
              <w:tc>
                <w:tcPr>
                  <w:tcW w:w="1902" w:type="dxa"/>
                  <w:shd w:val="clear" w:color="auto" w:fill="auto"/>
                  <w:vAlign w:val="center"/>
                </w:tcPr>
                <w:p w14:paraId="235C073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传染病楼</w:t>
                  </w:r>
                </w:p>
              </w:tc>
              <w:tc>
                <w:tcPr>
                  <w:tcW w:w="690" w:type="dxa"/>
                  <w:shd w:val="clear" w:color="auto" w:fill="auto"/>
                  <w:vAlign w:val="center"/>
                </w:tcPr>
                <w:p w14:paraId="6A34CF7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lang w:val="en-US" w:eastAsia="zh-CN"/>
                    </w:rPr>
                    <w:t>m</w:t>
                  </w:r>
                  <w:r>
                    <w:rPr>
                      <w:rFonts w:hint="default" w:ascii="Times New Roman" w:hAnsi="Times New Roman" w:eastAsia="宋体" w:cs="Times New Roman"/>
                      <w:color w:val="000000" w:themeColor="text1"/>
                      <w:kern w:val="0"/>
                      <w:sz w:val="21"/>
                      <w:szCs w:val="21"/>
                      <w:vertAlign w:val="superscript"/>
                      <w:lang w:val="en-US" w:eastAsia="zh-CN"/>
                    </w:rPr>
                    <w:t>2</w:t>
                  </w:r>
                </w:p>
              </w:tc>
              <w:tc>
                <w:tcPr>
                  <w:tcW w:w="1050" w:type="dxa"/>
                  <w:shd w:val="clear" w:color="auto" w:fill="auto"/>
                  <w:vAlign w:val="center"/>
                </w:tcPr>
                <w:p w14:paraId="468BCC1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5783</w:t>
                  </w:r>
                </w:p>
              </w:tc>
              <w:tc>
                <w:tcPr>
                  <w:tcW w:w="3629" w:type="dxa"/>
                  <w:shd w:val="clear" w:color="auto" w:fill="auto"/>
                  <w:vAlign w:val="center"/>
                </w:tcPr>
                <w:p w14:paraId="793FEA4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6层</w:t>
                  </w:r>
                </w:p>
              </w:tc>
            </w:tr>
            <w:tr w14:paraId="62EA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6E3984F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2.2</w:t>
                  </w:r>
                </w:p>
              </w:tc>
              <w:tc>
                <w:tcPr>
                  <w:tcW w:w="1902" w:type="dxa"/>
                  <w:shd w:val="clear" w:color="auto" w:fill="auto"/>
                  <w:vAlign w:val="center"/>
                </w:tcPr>
                <w:p w14:paraId="27C79E3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综合楼</w:t>
                  </w:r>
                </w:p>
              </w:tc>
              <w:tc>
                <w:tcPr>
                  <w:tcW w:w="690" w:type="dxa"/>
                  <w:shd w:val="clear" w:color="auto" w:fill="auto"/>
                  <w:vAlign w:val="center"/>
                </w:tcPr>
                <w:p w14:paraId="3D5EF8A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lang w:val="en-US" w:eastAsia="zh-CN"/>
                    </w:rPr>
                    <w:t>m</w:t>
                  </w:r>
                  <w:r>
                    <w:rPr>
                      <w:rFonts w:hint="default" w:ascii="Times New Roman" w:hAnsi="Times New Roman" w:eastAsia="宋体" w:cs="Times New Roman"/>
                      <w:color w:val="000000" w:themeColor="text1"/>
                      <w:kern w:val="0"/>
                      <w:sz w:val="21"/>
                      <w:szCs w:val="21"/>
                      <w:vertAlign w:val="superscript"/>
                      <w:lang w:val="en-US" w:eastAsia="zh-CN"/>
                    </w:rPr>
                    <w:t>2</w:t>
                  </w:r>
                </w:p>
              </w:tc>
              <w:tc>
                <w:tcPr>
                  <w:tcW w:w="1050" w:type="dxa"/>
                  <w:shd w:val="clear" w:color="auto" w:fill="auto"/>
                  <w:vAlign w:val="center"/>
                </w:tcPr>
                <w:p w14:paraId="60C64E4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24409</w:t>
                  </w:r>
                </w:p>
              </w:tc>
              <w:tc>
                <w:tcPr>
                  <w:tcW w:w="3629" w:type="dxa"/>
                  <w:shd w:val="clear" w:color="auto" w:fill="auto"/>
                  <w:vAlign w:val="center"/>
                </w:tcPr>
                <w:p w14:paraId="4C01E25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15层（地上14层，地下1层）</w:t>
                  </w:r>
                </w:p>
              </w:tc>
            </w:tr>
            <w:tr w14:paraId="54EB5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69385BE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2.3</w:t>
                  </w:r>
                </w:p>
              </w:tc>
              <w:tc>
                <w:tcPr>
                  <w:tcW w:w="1902" w:type="dxa"/>
                  <w:shd w:val="clear" w:color="auto" w:fill="auto"/>
                  <w:vAlign w:val="center"/>
                </w:tcPr>
                <w:p w14:paraId="05441A1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行政办公楼</w:t>
                  </w:r>
                </w:p>
              </w:tc>
              <w:tc>
                <w:tcPr>
                  <w:tcW w:w="690" w:type="dxa"/>
                  <w:shd w:val="clear" w:color="auto" w:fill="auto"/>
                  <w:vAlign w:val="center"/>
                </w:tcPr>
                <w:p w14:paraId="1F51E8B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c>
                <w:tcPr>
                  <w:tcW w:w="1050" w:type="dxa"/>
                  <w:shd w:val="clear" w:color="auto" w:fill="auto"/>
                  <w:vAlign w:val="center"/>
                </w:tcPr>
                <w:p w14:paraId="0877504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5000</w:t>
                  </w:r>
                </w:p>
              </w:tc>
              <w:tc>
                <w:tcPr>
                  <w:tcW w:w="3629" w:type="dxa"/>
                  <w:shd w:val="clear" w:color="auto" w:fill="auto"/>
                  <w:vAlign w:val="center"/>
                </w:tcPr>
                <w:p w14:paraId="54CFBF7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6层</w:t>
                  </w:r>
                </w:p>
              </w:tc>
            </w:tr>
            <w:tr w14:paraId="4586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2A7EBE5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2.4</w:t>
                  </w:r>
                </w:p>
              </w:tc>
              <w:tc>
                <w:tcPr>
                  <w:tcW w:w="1902" w:type="dxa"/>
                  <w:shd w:val="clear" w:color="auto" w:fill="auto"/>
                  <w:vAlign w:val="center"/>
                </w:tcPr>
                <w:p w14:paraId="24CBDD6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辅助用房</w:t>
                  </w:r>
                </w:p>
              </w:tc>
              <w:tc>
                <w:tcPr>
                  <w:tcW w:w="690" w:type="dxa"/>
                  <w:shd w:val="clear" w:color="auto" w:fill="auto"/>
                  <w:vAlign w:val="center"/>
                </w:tcPr>
                <w:p w14:paraId="62C9E4C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c>
                <w:tcPr>
                  <w:tcW w:w="1050" w:type="dxa"/>
                  <w:shd w:val="clear" w:color="auto" w:fill="auto"/>
                  <w:vAlign w:val="center"/>
                </w:tcPr>
                <w:p w14:paraId="581CE78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500</w:t>
                  </w:r>
                </w:p>
              </w:tc>
              <w:tc>
                <w:tcPr>
                  <w:tcW w:w="3629" w:type="dxa"/>
                  <w:shd w:val="clear" w:color="auto" w:fill="auto"/>
                  <w:vAlign w:val="center"/>
                </w:tcPr>
                <w:p w14:paraId="5EB798D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2层</w:t>
                  </w:r>
                  <w:r>
                    <w:rPr>
                      <w:rFonts w:hint="eastAsia" w:cs="Times New Roman"/>
                      <w:kern w:val="0"/>
                      <w:sz w:val="21"/>
                      <w:szCs w:val="21"/>
                      <w:lang w:val="en-US" w:eastAsia="zh-CN"/>
                    </w:rPr>
                    <w:t>，内含一般固废暂存间，面积10</w:t>
                  </w: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r>
            <w:tr w14:paraId="1691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4FE7A5C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2.5</w:t>
                  </w:r>
                </w:p>
              </w:tc>
              <w:tc>
                <w:tcPr>
                  <w:tcW w:w="1902" w:type="dxa"/>
                  <w:shd w:val="clear" w:color="auto" w:fill="auto"/>
                  <w:vAlign w:val="center"/>
                </w:tcPr>
                <w:p w14:paraId="6FC3DF0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危废暂存间</w:t>
                  </w:r>
                </w:p>
              </w:tc>
              <w:tc>
                <w:tcPr>
                  <w:tcW w:w="690" w:type="dxa"/>
                  <w:shd w:val="clear" w:color="auto" w:fill="auto"/>
                  <w:vAlign w:val="center"/>
                </w:tcPr>
                <w:p w14:paraId="7E2B529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c>
                <w:tcPr>
                  <w:tcW w:w="1050" w:type="dxa"/>
                  <w:shd w:val="clear" w:color="auto" w:fill="auto"/>
                  <w:vAlign w:val="center"/>
                </w:tcPr>
                <w:p w14:paraId="517414C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30</w:t>
                  </w:r>
                </w:p>
              </w:tc>
              <w:tc>
                <w:tcPr>
                  <w:tcW w:w="3629" w:type="dxa"/>
                  <w:shd w:val="clear" w:color="auto" w:fill="auto"/>
                  <w:vAlign w:val="center"/>
                </w:tcPr>
                <w:p w14:paraId="7F02FF5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1层</w:t>
                  </w:r>
                </w:p>
              </w:tc>
            </w:tr>
            <w:tr w14:paraId="67E94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784DD55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2.6</w:t>
                  </w:r>
                </w:p>
              </w:tc>
              <w:tc>
                <w:tcPr>
                  <w:tcW w:w="1902" w:type="dxa"/>
                  <w:shd w:val="clear" w:color="auto" w:fill="auto"/>
                  <w:vAlign w:val="center"/>
                </w:tcPr>
                <w:p w14:paraId="7BAFC86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传染废水预处理间</w:t>
                  </w:r>
                </w:p>
              </w:tc>
              <w:tc>
                <w:tcPr>
                  <w:tcW w:w="690" w:type="dxa"/>
                  <w:shd w:val="clear" w:color="auto" w:fill="auto"/>
                  <w:vAlign w:val="center"/>
                </w:tcPr>
                <w:p w14:paraId="1E665B7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c>
                <w:tcPr>
                  <w:tcW w:w="1050" w:type="dxa"/>
                  <w:shd w:val="clear" w:color="auto" w:fill="auto"/>
                  <w:vAlign w:val="center"/>
                </w:tcPr>
                <w:p w14:paraId="1690439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20</w:t>
                  </w:r>
                </w:p>
              </w:tc>
              <w:tc>
                <w:tcPr>
                  <w:tcW w:w="3629" w:type="dxa"/>
                  <w:shd w:val="clear" w:color="auto" w:fill="auto"/>
                  <w:vAlign w:val="center"/>
                </w:tcPr>
                <w:p w14:paraId="4BE5FEE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1层</w:t>
                  </w:r>
                </w:p>
              </w:tc>
            </w:tr>
            <w:tr w14:paraId="5778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62F1ABD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2.7</w:t>
                  </w:r>
                </w:p>
              </w:tc>
              <w:tc>
                <w:tcPr>
                  <w:tcW w:w="1902" w:type="dxa"/>
                  <w:shd w:val="clear" w:color="auto" w:fill="auto"/>
                  <w:vAlign w:val="center"/>
                </w:tcPr>
                <w:p w14:paraId="776323E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综合</w:t>
                  </w:r>
                  <w:r>
                    <w:rPr>
                      <w:rFonts w:hint="default" w:ascii="Times New Roman" w:hAnsi="Times New Roman" w:cs="Times New Roman"/>
                      <w:kern w:val="0"/>
                      <w:sz w:val="21"/>
                      <w:szCs w:val="21"/>
                      <w:lang w:val="en-US" w:eastAsia="zh-CN"/>
                    </w:rPr>
                    <w:t>污水处理站</w:t>
                  </w:r>
                </w:p>
              </w:tc>
              <w:tc>
                <w:tcPr>
                  <w:tcW w:w="690" w:type="dxa"/>
                  <w:shd w:val="clear" w:color="auto" w:fill="auto"/>
                  <w:vAlign w:val="center"/>
                </w:tcPr>
                <w:p w14:paraId="598656B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c>
                <w:tcPr>
                  <w:tcW w:w="1050" w:type="dxa"/>
                  <w:shd w:val="clear" w:color="auto" w:fill="auto"/>
                  <w:vAlign w:val="center"/>
                </w:tcPr>
                <w:p w14:paraId="2C57C91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108</w:t>
                  </w:r>
                </w:p>
              </w:tc>
              <w:tc>
                <w:tcPr>
                  <w:tcW w:w="3629" w:type="dxa"/>
                  <w:shd w:val="clear" w:color="auto" w:fill="auto"/>
                  <w:vAlign w:val="center"/>
                </w:tcPr>
                <w:p w14:paraId="5B06901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1层</w:t>
                  </w:r>
                </w:p>
              </w:tc>
            </w:tr>
            <w:tr w14:paraId="69BEC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59" w:type="dxa"/>
                  <w:shd w:val="clear" w:color="auto" w:fill="auto"/>
                  <w:vAlign w:val="center"/>
                </w:tcPr>
                <w:p w14:paraId="5D5FCFA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2.8</w:t>
                  </w:r>
                </w:p>
              </w:tc>
              <w:tc>
                <w:tcPr>
                  <w:tcW w:w="1902" w:type="dxa"/>
                  <w:shd w:val="clear" w:color="auto" w:fill="auto"/>
                  <w:vAlign w:val="center"/>
                </w:tcPr>
                <w:p w14:paraId="54C7946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锅炉房</w:t>
                  </w:r>
                </w:p>
              </w:tc>
              <w:tc>
                <w:tcPr>
                  <w:tcW w:w="690" w:type="dxa"/>
                  <w:shd w:val="clear" w:color="auto" w:fill="auto"/>
                  <w:vAlign w:val="center"/>
                </w:tcPr>
                <w:p w14:paraId="1C13C8A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m</w:t>
                  </w:r>
                  <w:r>
                    <w:rPr>
                      <w:rFonts w:hint="default" w:ascii="Times New Roman" w:hAnsi="Times New Roman" w:eastAsia="宋体" w:cs="Times New Roman"/>
                      <w:kern w:val="0"/>
                      <w:sz w:val="21"/>
                      <w:szCs w:val="21"/>
                      <w:vertAlign w:val="superscript"/>
                      <w:lang w:val="en-US" w:eastAsia="zh-CN"/>
                    </w:rPr>
                    <w:t>2</w:t>
                  </w:r>
                </w:p>
              </w:tc>
              <w:tc>
                <w:tcPr>
                  <w:tcW w:w="1050" w:type="dxa"/>
                  <w:shd w:val="clear" w:color="auto" w:fill="auto"/>
                  <w:vAlign w:val="center"/>
                </w:tcPr>
                <w:p w14:paraId="549EC8C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30</w:t>
                  </w:r>
                </w:p>
              </w:tc>
              <w:tc>
                <w:tcPr>
                  <w:tcW w:w="3629" w:type="dxa"/>
                  <w:shd w:val="clear" w:color="auto" w:fill="auto"/>
                  <w:vAlign w:val="center"/>
                </w:tcPr>
                <w:p w14:paraId="5857823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1层</w:t>
                  </w:r>
                </w:p>
              </w:tc>
            </w:tr>
            <w:tr w14:paraId="3B0C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59" w:type="dxa"/>
                  <w:shd w:val="clear" w:color="auto" w:fill="auto"/>
                  <w:vAlign w:val="center"/>
                </w:tcPr>
                <w:p w14:paraId="3603572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3</w:t>
                  </w:r>
                </w:p>
              </w:tc>
              <w:tc>
                <w:tcPr>
                  <w:tcW w:w="1902" w:type="dxa"/>
                  <w:shd w:val="clear" w:color="auto" w:fill="auto"/>
                  <w:vAlign w:val="center"/>
                </w:tcPr>
                <w:p w14:paraId="4341093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标准病床数</w:t>
                  </w:r>
                </w:p>
              </w:tc>
              <w:tc>
                <w:tcPr>
                  <w:tcW w:w="690" w:type="dxa"/>
                  <w:shd w:val="clear" w:color="auto" w:fill="auto"/>
                  <w:vAlign w:val="center"/>
                </w:tcPr>
                <w:p w14:paraId="29636A1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张</w:t>
                  </w:r>
                </w:p>
              </w:tc>
              <w:tc>
                <w:tcPr>
                  <w:tcW w:w="1050" w:type="dxa"/>
                  <w:shd w:val="clear" w:color="auto" w:fill="auto"/>
                  <w:vAlign w:val="center"/>
                </w:tcPr>
                <w:p w14:paraId="7134BFD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360</w:t>
                  </w:r>
                </w:p>
              </w:tc>
              <w:tc>
                <w:tcPr>
                  <w:tcW w:w="3629" w:type="dxa"/>
                  <w:shd w:val="clear" w:color="auto" w:fill="auto"/>
                  <w:vAlign w:val="center"/>
                </w:tcPr>
                <w:p w14:paraId="225187B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w:t>
                  </w:r>
                </w:p>
              </w:tc>
            </w:tr>
            <w:tr w14:paraId="310A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6A7EDC3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4</w:t>
                  </w:r>
                </w:p>
              </w:tc>
              <w:tc>
                <w:tcPr>
                  <w:tcW w:w="1902" w:type="dxa"/>
                  <w:shd w:val="clear" w:color="auto" w:fill="auto"/>
                  <w:vAlign w:val="center"/>
                </w:tcPr>
                <w:p w14:paraId="3B7E485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eastAsia="zh-CN"/>
                    </w:rPr>
                  </w:pPr>
                  <w:r>
                    <w:rPr>
                      <w:rFonts w:hint="default" w:ascii="Times New Roman" w:hAnsi="Times New Roman" w:cs="Times New Roman"/>
                      <w:kern w:val="0"/>
                      <w:sz w:val="21"/>
                      <w:szCs w:val="21"/>
                      <w:lang w:val="en-US" w:eastAsia="zh-CN"/>
                    </w:rPr>
                    <w:t>绿化率</w:t>
                  </w:r>
                </w:p>
              </w:tc>
              <w:tc>
                <w:tcPr>
                  <w:tcW w:w="690" w:type="dxa"/>
                  <w:shd w:val="clear" w:color="auto" w:fill="auto"/>
                  <w:vAlign w:val="center"/>
                </w:tcPr>
                <w:p w14:paraId="3BB7897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w:t>
                  </w:r>
                </w:p>
              </w:tc>
              <w:tc>
                <w:tcPr>
                  <w:tcW w:w="1050" w:type="dxa"/>
                  <w:shd w:val="clear" w:color="auto" w:fill="auto"/>
                  <w:vAlign w:val="center"/>
                </w:tcPr>
                <w:p w14:paraId="12E9D09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lang w:val="en-US" w:eastAsia="zh-CN"/>
                    </w:rPr>
                  </w:pPr>
                  <w:r>
                    <w:rPr>
                      <w:rFonts w:hint="default" w:ascii="Times New Roman" w:hAnsi="Times New Roman" w:cs="Times New Roman"/>
                      <w:kern w:val="0"/>
                      <w:sz w:val="21"/>
                      <w:szCs w:val="21"/>
                      <w:lang w:val="en-US" w:eastAsia="zh-CN"/>
                    </w:rPr>
                    <w:t>35</w:t>
                  </w:r>
                </w:p>
              </w:tc>
              <w:tc>
                <w:tcPr>
                  <w:tcW w:w="3629" w:type="dxa"/>
                  <w:shd w:val="clear" w:color="auto" w:fill="auto"/>
                  <w:vAlign w:val="center"/>
                </w:tcPr>
                <w:p w14:paraId="35B738E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w:t>
                  </w:r>
                </w:p>
              </w:tc>
            </w:tr>
            <w:tr w14:paraId="5753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9" w:type="dxa"/>
                  <w:shd w:val="clear" w:color="auto" w:fill="auto"/>
                  <w:vAlign w:val="center"/>
                </w:tcPr>
                <w:p w14:paraId="683DEC6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5</w:t>
                  </w:r>
                </w:p>
              </w:tc>
              <w:tc>
                <w:tcPr>
                  <w:tcW w:w="1902" w:type="dxa"/>
                  <w:shd w:val="clear" w:color="auto" w:fill="auto"/>
                  <w:vAlign w:val="center"/>
                </w:tcPr>
                <w:p w14:paraId="683FD50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kern w:val="0"/>
                      <w:sz w:val="21"/>
                      <w:szCs w:val="21"/>
                      <w:highlight w:val="none"/>
                      <w:lang w:val="en-US" w:eastAsia="zh-CN"/>
                    </w:rPr>
                    <w:t>总员工</w:t>
                  </w:r>
                </w:p>
              </w:tc>
              <w:tc>
                <w:tcPr>
                  <w:tcW w:w="690" w:type="dxa"/>
                  <w:shd w:val="clear" w:color="auto" w:fill="auto"/>
                  <w:vAlign w:val="center"/>
                </w:tcPr>
                <w:p w14:paraId="5D73044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cs="Times New Roman"/>
                      <w:kern w:val="0"/>
                      <w:sz w:val="21"/>
                      <w:szCs w:val="21"/>
                      <w:highlight w:val="none"/>
                      <w:lang w:val="en-US" w:eastAsia="zh-CN"/>
                    </w:rPr>
                    <w:t>人</w:t>
                  </w:r>
                </w:p>
              </w:tc>
              <w:tc>
                <w:tcPr>
                  <w:tcW w:w="1050" w:type="dxa"/>
                  <w:shd w:val="clear" w:color="auto" w:fill="auto"/>
                  <w:vAlign w:val="center"/>
                </w:tcPr>
                <w:p w14:paraId="2A3C2FE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highlight w:val="none"/>
                      <w:lang w:val="en-US" w:eastAsia="zh-CN"/>
                    </w:rPr>
                  </w:pPr>
                  <w:r>
                    <w:rPr>
                      <w:rFonts w:hint="default" w:ascii="Times New Roman" w:hAnsi="Times New Roman" w:cs="Times New Roman"/>
                      <w:kern w:val="0"/>
                      <w:sz w:val="21"/>
                      <w:szCs w:val="21"/>
                      <w:highlight w:val="none"/>
                      <w:lang w:val="en-US" w:eastAsia="zh-CN"/>
                    </w:rPr>
                    <w:t>240</w:t>
                  </w:r>
                </w:p>
              </w:tc>
              <w:tc>
                <w:tcPr>
                  <w:tcW w:w="3629" w:type="dxa"/>
                  <w:shd w:val="clear" w:color="auto" w:fill="auto"/>
                  <w:vAlign w:val="center"/>
                </w:tcPr>
                <w:p w14:paraId="3E4CA52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w:t>
                  </w:r>
                </w:p>
              </w:tc>
            </w:tr>
          </w:tbl>
          <w:p w14:paraId="6D6BD64F">
            <w:pPr>
              <w:numPr>
                <w:ilvl w:val="0"/>
                <w:numId w:val="0"/>
              </w:numPr>
              <w:autoSpaceDE w:val="0"/>
              <w:autoSpaceDN w:val="0"/>
              <w:adjustRightInd w:val="0"/>
              <w:snapToGrid w:val="0"/>
              <w:spacing w:line="360" w:lineRule="auto"/>
              <w:ind w:leftChars="0"/>
              <w:jc w:val="left"/>
              <w:rPr>
                <w:rFonts w:hint="default" w:ascii="Times New Roman" w:hAnsi="Times New Roman" w:eastAsia="宋体" w:cs="Times New Roman"/>
                <w:b/>
                <w:bCs/>
                <w:kern w:val="0"/>
                <w:sz w:val="24"/>
                <w:szCs w:val="24"/>
              </w:rPr>
            </w:pPr>
            <w:r>
              <w:rPr>
                <w:rFonts w:hint="eastAsia" w:cs="Times New Roman"/>
                <w:b/>
                <w:bCs/>
                <w:kern w:val="0"/>
                <w:sz w:val="24"/>
                <w:szCs w:val="24"/>
                <w:lang w:val="en-US" w:eastAsia="zh-CN"/>
              </w:rPr>
              <w:t>5、</w:t>
            </w:r>
            <w:r>
              <w:rPr>
                <w:rFonts w:hint="default" w:ascii="Times New Roman" w:hAnsi="Times New Roman" w:eastAsia="宋体" w:cs="Times New Roman"/>
                <w:b/>
                <w:bCs/>
                <w:kern w:val="0"/>
                <w:sz w:val="24"/>
                <w:szCs w:val="24"/>
              </w:rPr>
              <w:t>主要设备</w:t>
            </w:r>
          </w:p>
          <w:p w14:paraId="67084074">
            <w:pPr>
              <w:autoSpaceDE w:val="0"/>
              <w:autoSpaceDN w:val="0"/>
              <w:adjustRightInd w:val="0"/>
              <w:snapToGrid w:val="0"/>
              <w:spacing w:line="360" w:lineRule="auto"/>
              <w:ind w:firstLine="480" w:firstLineChars="200"/>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color w:val="000000" w:themeColor="text1"/>
                <w:kern w:val="0"/>
                <w:sz w:val="24"/>
                <w:szCs w:val="24"/>
              </w:rPr>
              <w:t>本项目主要设备情况见下表。</w:t>
            </w:r>
          </w:p>
          <w:p w14:paraId="6F81FBC8">
            <w:pPr>
              <w:autoSpaceDE w:val="0"/>
              <w:autoSpaceDN w:val="0"/>
              <w:adjustRightInd w:val="0"/>
              <w:snapToGrid w:val="0"/>
              <w:spacing w:line="360" w:lineRule="auto"/>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表2-</w:t>
            </w:r>
            <w:r>
              <w:rPr>
                <w:rFonts w:hint="eastAsia" w:cs="Times New Roman"/>
                <w:b/>
                <w:bCs/>
                <w:kern w:val="0"/>
                <w:sz w:val="21"/>
                <w:szCs w:val="21"/>
                <w:lang w:val="en-US" w:eastAsia="zh-CN"/>
              </w:rPr>
              <w:t>4</w:t>
            </w:r>
            <w:r>
              <w:rPr>
                <w:rFonts w:hint="default" w:ascii="Times New Roman" w:hAnsi="Times New Roman" w:eastAsia="宋体" w:cs="Times New Roman"/>
                <w:b/>
                <w:bCs/>
                <w:kern w:val="0"/>
                <w:sz w:val="21"/>
                <w:szCs w:val="21"/>
              </w:rPr>
              <w:t xml:space="preserve"> 主要设备情况一览表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760"/>
              <w:gridCol w:w="1365"/>
              <w:gridCol w:w="1830"/>
              <w:gridCol w:w="1278"/>
            </w:tblGrid>
            <w:tr w14:paraId="49A2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0" w:type="pct"/>
                  <w:shd w:val="clear" w:color="auto" w:fill="auto"/>
                  <w:vAlign w:val="center"/>
                </w:tcPr>
                <w:p w14:paraId="51A8837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序号</w:t>
                  </w:r>
                </w:p>
              </w:tc>
              <w:tc>
                <w:tcPr>
                  <w:tcW w:w="1739" w:type="pct"/>
                  <w:shd w:val="clear" w:color="auto" w:fill="auto"/>
                  <w:vAlign w:val="center"/>
                </w:tcPr>
                <w:p w14:paraId="56812F0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设备名称</w:t>
                  </w:r>
                </w:p>
              </w:tc>
              <w:tc>
                <w:tcPr>
                  <w:tcW w:w="860" w:type="pct"/>
                  <w:shd w:val="clear" w:color="auto" w:fill="auto"/>
                  <w:vAlign w:val="center"/>
                </w:tcPr>
                <w:p w14:paraId="37011EA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数量（台/套）</w:t>
                  </w:r>
                </w:p>
              </w:tc>
              <w:tc>
                <w:tcPr>
                  <w:tcW w:w="1153" w:type="pct"/>
                  <w:shd w:val="clear" w:color="auto" w:fill="auto"/>
                  <w:vAlign w:val="center"/>
                </w:tcPr>
                <w:p w14:paraId="4B842DB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eastAsia" w:ascii="Times New Roman" w:hAnsi="Times New Roman" w:cs="Times New Roman"/>
                      <w:b/>
                      <w:bCs/>
                      <w:kern w:val="0"/>
                      <w:sz w:val="21"/>
                      <w:szCs w:val="21"/>
                      <w:lang w:val="en-US" w:eastAsia="zh-CN"/>
                    </w:rPr>
                    <w:t>规格/</w:t>
                  </w:r>
                  <w:r>
                    <w:rPr>
                      <w:rFonts w:hint="default" w:ascii="Times New Roman" w:hAnsi="Times New Roman" w:eastAsia="宋体" w:cs="Times New Roman"/>
                      <w:b/>
                      <w:bCs/>
                      <w:kern w:val="0"/>
                      <w:sz w:val="21"/>
                      <w:szCs w:val="21"/>
                    </w:rPr>
                    <w:t>型号</w:t>
                  </w:r>
                </w:p>
              </w:tc>
              <w:tc>
                <w:tcPr>
                  <w:tcW w:w="805" w:type="pct"/>
                  <w:shd w:val="clear" w:color="auto" w:fill="auto"/>
                  <w:vAlign w:val="center"/>
                </w:tcPr>
                <w:p w14:paraId="792FAAA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eastAsia" w:ascii="Times New Roman" w:hAnsi="Times New Roman" w:eastAsia="宋体" w:cs="Times New Roman"/>
                      <w:b/>
                      <w:bCs/>
                      <w:kern w:val="0"/>
                      <w:sz w:val="21"/>
                      <w:szCs w:val="21"/>
                      <w:lang w:val="en-US" w:eastAsia="zh-CN"/>
                    </w:rPr>
                  </w:pPr>
                  <w:r>
                    <w:rPr>
                      <w:rFonts w:hint="eastAsia" w:ascii="Times New Roman" w:hAnsi="Times New Roman" w:cs="Times New Roman"/>
                      <w:b/>
                      <w:bCs/>
                      <w:kern w:val="0"/>
                      <w:sz w:val="21"/>
                      <w:szCs w:val="21"/>
                      <w:lang w:val="en-US" w:eastAsia="zh-CN"/>
                    </w:rPr>
                    <w:t>备注</w:t>
                  </w:r>
                </w:p>
              </w:tc>
            </w:tr>
            <w:tr w14:paraId="3A602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07556AE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w:t>
                  </w:r>
                </w:p>
              </w:tc>
              <w:tc>
                <w:tcPr>
                  <w:tcW w:w="1739" w:type="pct"/>
                  <w:shd w:val="clear" w:color="auto" w:fill="auto"/>
                  <w:vAlign w:val="center"/>
                </w:tcPr>
                <w:p w14:paraId="110A9470">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DR机</w:t>
                  </w:r>
                </w:p>
              </w:tc>
              <w:tc>
                <w:tcPr>
                  <w:tcW w:w="860" w:type="pct"/>
                  <w:shd w:val="clear" w:color="auto" w:fill="auto"/>
                  <w:vAlign w:val="center"/>
                </w:tcPr>
                <w:p w14:paraId="02063AF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2</w:t>
                  </w:r>
                </w:p>
              </w:tc>
              <w:tc>
                <w:tcPr>
                  <w:tcW w:w="1153" w:type="pct"/>
                  <w:shd w:val="clear" w:color="auto" w:fill="auto"/>
                  <w:vAlign w:val="center"/>
                </w:tcPr>
                <w:p w14:paraId="0EBD4755">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BTR-500</w:t>
                  </w:r>
                </w:p>
              </w:tc>
              <w:tc>
                <w:tcPr>
                  <w:tcW w:w="805" w:type="pct"/>
                  <w:vMerge w:val="restart"/>
                  <w:shd w:val="clear" w:color="auto" w:fill="auto"/>
                  <w:vAlign w:val="center"/>
                </w:tcPr>
                <w:p w14:paraId="36A7B3B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bidi="ar"/>
                    </w:rPr>
                  </w:pPr>
                  <w:r>
                    <w:rPr>
                      <w:rFonts w:hint="eastAsia" w:ascii="Times New Roman" w:hAnsi="Times New Roman" w:cs="Times New Roman"/>
                      <w:color w:val="000000" w:themeColor="text1"/>
                      <w:kern w:val="0"/>
                      <w:sz w:val="21"/>
                      <w:szCs w:val="21"/>
                      <w:lang w:val="en-US" w:eastAsia="zh-CN" w:bidi="ar"/>
                    </w:rPr>
                    <w:t>影像科</w:t>
                  </w:r>
                  <w:r>
                    <w:rPr>
                      <w:rFonts w:hint="eastAsia" w:cs="Times New Roman"/>
                      <w:color w:val="000000" w:themeColor="text1"/>
                      <w:kern w:val="0"/>
                      <w:sz w:val="21"/>
                      <w:szCs w:val="21"/>
                      <w:lang w:val="en-US" w:eastAsia="zh-CN" w:bidi="ar"/>
                    </w:rPr>
                    <w:t>，本次搬迁设备</w:t>
                  </w:r>
                </w:p>
              </w:tc>
            </w:tr>
            <w:tr w14:paraId="7BDC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217A143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2</w:t>
                  </w:r>
                </w:p>
              </w:tc>
              <w:tc>
                <w:tcPr>
                  <w:tcW w:w="1739" w:type="pct"/>
                  <w:shd w:val="clear" w:color="auto" w:fill="auto"/>
                  <w:vAlign w:val="center"/>
                </w:tcPr>
                <w:p w14:paraId="4AECFD28">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CT机</w:t>
                  </w:r>
                </w:p>
              </w:tc>
              <w:tc>
                <w:tcPr>
                  <w:tcW w:w="860" w:type="pct"/>
                  <w:shd w:val="clear" w:color="auto" w:fill="auto"/>
                  <w:vAlign w:val="center"/>
                </w:tcPr>
                <w:p w14:paraId="216C53E0">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1</w:t>
                  </w:r>
                </w:p>
              </w:tc>
              <w:tc>
                <w:tcPr>
                  <w:tcW w:w="1153" w:type="pct"/>
                  <w:shd w:val="clear" w:color="auto" w:fill="auto"/>
                  <w:vAlign w:val="center"/>
                </w:tcPr>
                <w:p w14:paraId="468263E0">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Optima GE520</w:t>
                  </w:r>
                </w:p>
              </w:tc>
              <w:tc>
                <w:tcPr>
                  <w:tcW w:w="805" w:type="pct"/>
                  <w:vMerge w:val="continue"/>
                  <w:shd w:val="clear" w:color="auto" w:fill="auto"/>
                  <w:vAlign w:val="center"/>
                </w:tcPr>
                <w:p w14:paraId="2DDC161B">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bidi="ar"/>
                    </w:rPr>
                  </w:pPr>
                </w:p>
              </w:tc>
            </w:tr>
            <w:tr w14:paraId="43B9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1798051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3</w:t>
                  </w:r>
                </w:p>
              </w:tc>
              <w:tc>
                <w:tcPr>
                  <w:tcW w:w="1739" w:type="pct"/>
                  <w:shd w:val="clear" w:color="auto" w:fill="auto"/>
                  <w:vAlign w:val="center"/>
                </w:tcPr>
                <w:p w14:paraId="15700BFC">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核磁共振机</w:t>
                  </w:r>
                </w:p>
              </w:tc>
              <w:tc>
                <w:tcPr>
                  <w:tcW w:w="860" w:type="pct"/>
                  <w:shd w:val="clear" w:color="auto" w:fill="auto"/>
                  <w:vAlign w:val="center"/>
                </w:tcPr>
                <w:p w14:paraId="47F4B483">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1</w:t>
                  </w:r>
                </w:p>
              </w:tc>
              <w:tc>
                <w:tcPr>
                  <w:tcW w:w="1153" w:type="pct"/>
                  <w:shd w:val="clear" w:color="auto" w:fill="auto"/>
                  <w:vAlign w:val="center"/>
                </w:tcPr>
                <w:p w14:paraId="02D94162">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kern w:val="0"/>
                      <w:sz w:val="21"/>
                      <w:szCs w:val="21"/>
                      <w:lang w:val="en-US" w:eastAsia="zh-CN" w:bidi="ar"/>
                    </w:rPr>
                    <w:t>飞利浦1.5T</w:t>
                  </w:r>
                </w:p>
              </w:tc>
              <w:tc>
                <w:tcPr>
                  <w:tcW w:w="805" w:type="pct"/>
                  <w:vMerge w:val="continue"/>
                  <w:shd w:val="clear" w:color="auto" w:fill="auto"/>
                  <w:vAlign w:val="center"/>
                </w:tcPr>
                <w:p w14:paraId="3AF6B62A">
                  <w:pPr>
                    <w:keepNext w:val="0"/>
                    <w:keepLines w:val="0"/>
                    <w:widowControl/>
                    <w:suppressLineNumbers w:val="0"/>
                    <w:spacing w:before="0" w:beforeAutospacing="0" w:after="0" w:afterAutospacing="0"/>
                    <w:ind w:left="0" w:leftChars="0" w:right="0" w:rightChars="0"/>
                    <w:jc w:val="center"/>
                    <w:rPr>
                      <w:rFonts w:hint="default" w:ascii="Times New Roman" w:hAnsi="Times New Roman" w:eastAsia="宋体" w:cs="Times New Roman"/>
                      <w:color w:val="000000" w:themeColor="text1"/>
                      <w:kern w:val="0"/>
                      <w:sz w:val="21"/>
                      <w:szCs w:val="21"/>
                      <w:lang w:val="en-US" w:eastAsia="zh-CN" w:bidi="ar"/>
                    </w:rPr>
                  </w:pPr>
                </w:p>
              </w:tc>
            </w:tr>
            <w:tr w14:paraId="47EC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69DD0FF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4</w:t>
                  </w:r>
                </w:p>
              </w:tc>
              <w:tc>
                <w:tcPr>
                  <w:tcW w:w="1739" w:type="pct"/>
                  <w:shd w:val="clear" w:color="auto" w:fill="auto"/>
                  <w:vAlign w:val="center"/>
                </w:tcPr>
                <w:p w14:paraId="3FD2FE33">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rPr>
                    <w:t>B</w:t>
                  </w:r>
                  <w:r>
                    <w:rPr>
                      <w:rFonts w:hint="default" w:ascii="Times New Roman" w:hAnsi="Times New Roman" w:cs="Times New Roman"/>
                      <w:color w:val="000000" w:themeColor="text1"/>
                      <w:kern w:val="0"/>
                      <w:szCs w:val="21"/>
                      <w:lang w:val="en-US" w:eastAsia="zh-CN"/>
                    </w:rPr>
                    <w:t>超机</w:t>
                  </w:r>
                </w:p>
              </w:tc>
              <w:tc>
                <w:tcPr>
                  <w:tcW w:w="860" w:type="pct"/>
                  <w:shd w:val="clear" w:color="auto" w:fill="auto"/>
                  <w:vAlign w:val="center"/>
                </w:tcPr>
                <w:p w14:paraId="5E4921E4">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5</w:t>
                  </w:r>
                </w:p>
              </w:tc>
              <w:tc>
                <w:tcPr>
                  <w:tcW w:w="1153" w:type="pct"/>
                  <w:shd w:val="clear" w:color="auto" w:fill="auto"/>
                  <w:vAlign w:val="center"/>
                </w:tcPr>
                <w:p w14:paraId="12E45811">
                  <w:pPr>
                    <w:widowControl/>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飞利浦、GE</w:t>
                  </w:r>
                </w:p>
              </w:tc>
              <w:tc>
                <w:tcPr>
                  <w:tcW w:w="805" w:type="pct"/>
                  <w:vMerge w:val="continue"/>
                  <w:shd w:val="clear" w:color="auto" w:fill="auto"/>
                  <w:vAlign w:val="center"/>
                </w:tcPr>
                <w:p w14:paraId="332B90A5">
                  <w:pPr>
                    <w:widowControl/>
                    <w:jc w:val="center"/>
                    <w:rPr>
                      <w:rFonts w:hint="default" w:ascii="Times New Roman" w:hAnsi="Times New Roman" w:cs="Times New Roman"/>
                      <w:color w:val="000000" w:themeColor="text1"/>
                      <w:kern w:val="0"/>
                      <w:szCs w:val="21"/>
                      <w:lang w:val="en-US" w:eastAsia="zh-CN"/>
                    </w:rPr>
                  </w:pPr>
                </w:p>
              </w:tc>
            </w:tr>
            <w:tr w14:paraId="17BF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53A59C3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5</w:t>
                  </w:r>
                </w:p>
              </w:tc>
              <w:tc>
                <w:tcPr>
                  <w:tcW w:w="1739" w:type="pct"/>
                  <w:shd w:val="clear" w:color="auto" w:fill="auto"/>
                  <w:vAlign w:val="center"/>
                </w:tcPr>
                <w:p w14:paraId="37D9F833">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eastAsia="zh-CN"/>
                    </w:rPr>
                    <w:t>心电图机</w:t>
                  </w:r>
                </w:p>
              </w:tc>
              <w:tc>
                <w:tcPr>
                  <w:tcW w:w="860" w:type="pct"/>
                  <w:shd w:val="clear" w:color="auto" w:fill="auto"/>
                  <w:vAlign w:val="center"/>
                </w:tcPr>
                <w:p w14:paraId="36C2F7A1">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rPr>
                    <w:t>1</w:t>
                  </w:r>
                </w:p>
              </w:tc>
              <w:tc>
                <w:tcPr>
                  <w:tcW w:w="1153" w:type="pct"/>
                  <w:shd w:val="clear" w:color="auto" w:fill="auto"/>
                  <w:vAlign w:val="center"/>
                </w:tcPr>
                <w:p w14:paraId="390A305C">
                  <w:pPr>
                    <w:widowControl/>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kern w:val="0"/>
                      <w:sz w:val="21"/>
                      <w:szCs w:val="21"/>
                      <w:lang w:val="en-US" w:eastAsia="zh-CN"/>
                    </w:rPr>
                    <w:t>理邦MAC-2000</w:t>
                  </w:r>
                </w:p>
              </w:tc>
              <w:tc>
                <w:tcPr>
                  <w:tcW w:w="805" w:type="pct"/>
                  <w:vMerge w:val="continue"/>
                  <w:shd w:val="clear" w:color="auto" w:fill="auto"/>
                  <w:vAlign w:val="center"/>
                </w:tcPr>
                <w:p w14:paraId="7A1859EB">
                  <w:pPr>
                    <w:widowControl/>
                    <w:jc w:val="center"/>
                    <w:rPr>
                      <w:rFonts w:hint="default" w:ascii="Times New Roman" w:hAnsi="Times New Roman" w:cs="Times New Roman"/>
                      <w:color w:val="000000" w:themeColor="text1"/>
                      <w:kern w:val="0"/>
                      <w:sz w:val="21"/>
                      <w:szCs w:val="21"/>
                      <w:lang w:val="en-US" w:eastAsia="zh-CN"/>
                    </w:rPr>
                  </w:pPr>
                </w:p>
              </w:tc>
            </w:tr>
            <w:tr w14:paraId="720E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51BD4FC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6</w:t>
                  </w:r>
                </w:p>
              </w:tc>
              <w:tc>
                <w:tcPr>
                  <w:tcW w:w="1739" w:type="pct"/>
                  <w:shd w:val="clear" w:color="auto" w:fill="auto"/>
                  <w:vAlign w:val="center"/>
                </w:tcPr>
                <w:p w14:paraId="40CFAFFA">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eastAsia="zh-CN"/>
                    </w:rPr>
                    <w:t>经颅多普勒机</w:t>
                  </w:r>
                </w:p>
              </w:tc>
              <w:tc>
                <w:tcPr>
                  <w:tcW w:w="860" w:type="pct"/>
                  <w:shd w:val="clear" w:color="auto" w:fill="auto"/>
                  <w:vAlign w:val="center"/>
                </w:tcPr>
                <w:p w14:paraId="17DA2881">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w:t>
                  </w:r>
                </w:p>
              </w:tc>
              <w:tc>
                <w:tcPr>
                  <w:tcW w:w="1153" w:type="pct"/>
                  <w:shd w:val="clear" w:color="auto" w:fill="auto"/>
                  <w:vAlign w:val="center"/>
                </w:tcPr>
                <w:p w14:paraId="2926323E">
                  <w:pPr>
                    <w:widowControl/>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江苏忆康</w:t>
                  </w:r>
                </w:p>
              </w:tc>
              <w:tc>
                <w:tcPr>
                  <w:tcW w:w="805" w:type="pct"/>
                  <w:vMerge w:val="restart"/>
                  <w:shd w:val="clear" w:color="auto" w:fill="auto"/>
                  <w:vAlign w:val="center"/>
                </w:tcPr>
                <w:p w14:paraId="0CC2181A">
                  <w:pPr>
                    <w:widowControl/>
                    <w:jc w:val="center"/>
                    <w:rPr>
                      <w:rFonts w:hint="default" w:ascii="Times New Roman" w:hAnsi="Times New Roman" w:cs="Times New Roman"/>
                      <w:color w:val="000000" w:themeColor="text1"/>
                      <w:kern w:val="0"/>
                      <w:szCs w:val="21"/>
                      <w:lang w:val="en-US" w:eastAsia="zh-CN"/>
                    </w:rPr>
                  </w:pPr>
                  <w:r>
                    <w:rPr>
                      <w:rFonts w:hint="eastAsia" w:ascii="Times New Roman" w:hAnsi="Times New Roman" w:cs="Times New Roman"/>
                      <w:color w:val="000000" w:themeColor="text1"/>
                      <w:kern w:val="0"/>
                      <w:szCs w:val="21"/>
                      <w:lang w:val="en-US" w:eastAsia="zh-CN"/>
                    </w:rPr>
                    <w:t>手术室</w:t>
                  </w:r>
                  <w:r>
                    <w:rPr>
                      <w:rFonts w:hint="eastAsia" w:cs="Times New Roman"/>
                      <w:color w:val="000000" w:themeColor="text1"/>
                      <w:kern w:val="0"/>
                      <w:szCs w:val="21"/>
                      <w:lang w:val="en-US" w:eastAsia="zh-CN"/>
                    </w:rPr>
                    <w:t>，</w:t>
                  </w:r>
                  <w:r>
                    <w:rPr>
                      <w:rFonts w:hint="eastAsia" w:cs="Times New Roman"/>
                      <w:color w:val="000000" w:themeColor="text1"/>
                      <w:kern w:val="0"/>
                      <w:sz w:val="21"/>
                      <w:szCs w:val="21"/>
                      <w:lang w:val="en-US" w:eastAsia="zh-CN" w:bidi="ar"/>
                    </w:rPr>
                    <w:t>本次搬迁设备</w:t>
                  </w:r>
                </w:p>
              </w:tc>
            </w:tr>
            <w:tr w14:paraId="67C7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1ADC179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7</w:t>
                  </w:r>
                </w:p>
              </w:tc>
              <w:tc>
                <w:tcPr>
                  <w:tcW w:w="1739" w:type="pct"/>
                  <w:shd w:val="clear" w:color="auto" w:fill="auto"/>
                  <w:vAlign w:val="center"/>
                </w:tcPr>
                <w:p w14:paraId="6883137E">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eastAsia="zh-CN"/>
                    </w:rPr>
                    <w:t>动态心电监护仪</w:t>
                  </w:r>
                </w:p>
              </w:tc>
              <w:tc>
                <w:tcPr>
                  <w:tcW w:w="860" w:type="pct"/>
                  <w:shd w:val="clear" w:color="auto" w:fill="auto"/>
                  <w:vAlign w:val="center"/>
                </w:tcPr>
                <w:p w14:paraId="66367337">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2</w:t>
                  </w:r>
                </w:p>
              </w:tc>
              <w:tc>
                <w:tcPr>
                  <w:tcW w:w="1153" w:type="pct"/>
                  <w:shd w:val="clear" w:color="auto" w:fill="auto"/>
                  <w:vAlign w:val="center"/>
                </w:tcPr>
                <w:p w14:paraId="18EE1D67">
                  <w:pPr>
                    <w:widowControl/>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TL4000</w:t>
                  </w:r>
                </w:p>
              </w:tc>
              <w:tc>
                <w:tcPr>
                  <w:tcW w:w="805" w:type="pct"/>
                  <w:vMerge w:val="continue"/>
                  <w:shd w:val="clear" w:color="auto" w:fill="auto"/>
                  <w:vAlign w:val="center"/>
                </w:tcPr>
                <w:p w14:paraId="0EF3B01B">
                  <w:pPr>
                    <w:widowControl/>
                    <w:jc w:val="center"/>
                    <w:rPr>
                      <w:rFonts w:hint="default" w:ascii="Times New Roman" w:hAnsi="Times New Roman" w:cs="Times New Roman"/>
                      <w:color w:val="000000" w:themeColor="text1"/>
                      <w:kern w:val="0"/>
                      <w:szCs w:val="21"/>
                      <w:lang w:val="en-US" w:eastAsia="zh-CN"/>
                    </w:rPr>
                  </w:pPr>
                </w:p>
              </w:tc>
            </w:tr>
            <w:tr w14:paraId="35A2F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76797A4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8</w:t>
                  </w:r>
                </w:p>
              </w:tc>
              <w:tc>
                <w:tcPr>
                  <w:tcW w:w="1739" w:type="pct"/>
                  <w:shd w:val="clear" w:color="auto" w:fill="auto"/>
                  <w:vAlign w:val="center"/>
                </w:tcPr>
                <w:p w14:paraId="52936F1D">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eastAsia="zh-CN"/>
                    </w:rPr>
                    <w:t>电刀</w:t>
                  </w:r>
                </w:p>
              </w:tc>
              <w:tc>
                <w:tcPr>
                  <w:tcW w:w="860" w:type="pct"/>
                  <w:shd w:val="clear" w:color="auto" w:fill="auto"/>
                  <w:vAlign w:val="center"/>
                </w:tcPr>
                <w:p w14:paraId="16556DCF">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2</w:t>
                  </w:r>
                </w:p>
              </w:tc>
              <w:tc>
                <w:tcPr>
                  <w:tcW w:w="1153" w:type="pct"/>
                  <w:shd w:val="clear" w:color="auto" w:fill="auto"/>
                  <w:vAlign w:val="center"/>
                </w:tcPr>
                <w:p w14:paraId="7DD4DAD7">
                  <w:pPr>
                    <w:widowControl/>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w:t>
                  </w:r>
                </w:p>
              </w:tc>
              <w:tc>
                <w:tcPr>
                  <w:tcW w:w="805" w:type="pct"/>
                  <w:vMerge w:val="continue"/>
                  <w:shd w:val="clear" w:color="auto" w:fill="auto"/>
                  <w:vAlign w:val="center"/>
                </w:tcPr>
                <w:p w14:paraId="246F813A">
                  <w:pPr>
                    <w:widowControl/>
                    <w:jc w:val="center"/>
                    <w:rPr>
                      <w:rFonts w:hint="default" w:ascii="Times New Roman" w:hAnsi="Times New Roman" w:cs="Times New Roman"/>
                      <w:color w:val="000000" w:themeColor="text1"/>
                      <w:sz w:val="21"/>
                      <w:szCs w:val="21"/>
                      <w:lang w:val="en-US" w:eastAsia="zh-CN"/>
                    </w:rPr>
                  </w:pPr>
                </w:p>
              </w:tc>
            </w:tr>
            <w:tr w14:paraId="6E11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0A4030C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9</w:t>
                  </w:r>
                </w:p>
              </w:tc>
              <w:tc>
                <w:tcPr>
                  <w:tcW w:w="1739" w:type="pct"/>
                  <w:shd w:val="clear" w:color="auto" w:fill="auto"/>
                  <w:vAlign w:val="center"/>
                </w:tcPr>
                <w:p w14:paraId="07C2DEA5">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eastAsia="zh-CN"/>
                    </w:rPr>
                    <w:t>简易呼吸机</w:t>
                  </w:r>
                </w:p>
              </w:tc>
              <w:tc>
                <w:tcPr>
                  <w:tcW w:w="860" w:type="pct"/>
                  <w:shd w:val="clear" w:color="auto" w:fill="auto"/>
                  <w:vAlign w:val="center"/>
                </w:tcPr>
                <w:p w14:paraId="7452CA7F">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w:t>
                  </w:r>
                </w:p>
              </w:tc>
              <w:tc>
                <w:tcPr>
                  <w:tcW w:w="1153" w:type="pct"/>
                  <w:shd w:val="clear" w:color="auto" w:fill="auto"/>
                  <w:vAlign w:val="center"/>
                </w:tcPr>
                <w:p w14:paraId="200FC308">
                  <w:pPr>
                    <w:widowControl/>
                    <w:jc w:val="center"/>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w:t>
                  </w:r>
                </w:p>
              </w:tc>
              <w:tc>
                <w:tcPr>
                  <w:tcW w:w="805" w:type="pct"/>
                  <w:shd w:val="clear" w:color="auto" w:fill="auto"/>
                  <w:vAlign w:val="center"/>
                </w:tcPr>
                <w:p w14:paraId="5D3C415D">
                  <w:pPr>
                    <w:widowControl/>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病房</w:t>
                  </w:r>
                  <w:r>
                    <w:rPr>
                      <w:rFonts w:hint="eastAsia" w:cs="Times New Roman"/>
                      <w:color w:val="000000" w:themeColor="text1"/>
                      <w:sz w:val="21"/>
                      <w:szCs w:val="21"/>
                      <w:lang w:val="en-US" w:eastAsia="zh-CN"/>
                    </w:rPr>
                    <w:t>，</w:t>
                  </w:r>
                  <w:r>
                    <w:rPr>
                      <w:rFonts w:hint="eastAsia" w:cs="Times New Roman"/>
                      <w:color w:val="000000" w:themeColor="text1"/>
                      <w:kern w:val="0"/>
                      <w:sz w:val="21"/>
                      <w:szCs w:val="21"/>
                      <w:lang w:val="en-US" w:eastAsia="zh-CN" w:bidi="ar"/>
                    </w:rPr>
                    <w:t>本次搬迁设备</w:t>
                  </w:r>
                </w:p>
              </w:tc>
            </w:tr>
            <w:tr w14:paraId="171C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34FD8C2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10</w:t>
                  </w:r>
                </w:p>
              </w:tc>
              <w:tc>
                <w:tcPr>
                  <w:tcW w:w="1739" w:type="pct"/>
                  <w:shd w:val="clear" w:color="auto" w:fill="auto"/>
                  <w:vAlign w:val="center"/>
                </w:tcPr>
                <w:p w14:paraId="726CFFA2">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eastAsia="zh-CN"/>
                    </w:rPr>
                    <w:t>洗胃机</w:t>
                  </w:r>
                </w:p>
              </w:tc>
              <w:tc>
                <w:tcPr>
                  <w:tcW w:w="860" w:type="pct"/>
                  <w:shd w:val="clear" w:color="auto" w:fill="auto"/>
                  <w:vAlign w:val="center"/>
                </w:tcPr>
                <w:p w14:paraId="4C4468BD">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w:t>
                  </w:r>
                </w:p>
              </w:tc>
              <w:tc>
                <w:tcPr>
                  <w:tcW w:w="1153" w:type="pct"/>
                  <w:shd w:val="clear" w:color="auto" w:fill="auto"/>
                  <w:vAlign w:val="center"/>
                </w:tcPr>
                <w:p w14:paraId="0027C93C">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w:t>
                  </w:r>
                </w:p>
              </w:tc>
              <w:tc>
                <w:tcPr>
                  <w:tcW w:w="805" w:type="pct"/>
                  <w:vMerge w:val="restart"/>
                  <w:shd w:val="clear" w:color="auto" w:fill="auto"/>
                  <w:vAlign w:val="center"/>
                </w:tcPr>
                <w:p w14:paraId="54AB11CF">
                  <w:pPr>
                    <w:widowControl/>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肛肠科</w:t>
                  </w:r>
                  <w:r>
                    <w:rPr>
                      <w:rFonts w:hint="eastAsia" w:cs="Times New Roman"/>
                      <w:color w:val="000000" w:themeColor="text1"/>
                      <w:sz w:val="21"/>
                      <w:szCs w:val="21"/>
                      <w:lang w:val="en-US" w:eastAsia="zh-CN"/>
                    </w:rPr>
                    <w:t>，</w:t>
                  </w:r>
                  <w:r>
                    <w:rPr>
                      <w:rFonts w:hint="eastAsia" w:cs="Times New Roman"/>
                      <w:color w:val="000000" w:themeColor="text1"/>
                      <w:kern w:val="0"/>
                      <w:sz w:val="21"/>
                      <w:szCs w:val="21"/>
                      <w:lang w:val="en-US" w:eastAsia="zh-CN" w:bidi="ar"/>
                    </w:rPr>
                    <w:t>本次搬迁设备</w:t>
                  </w:r>
                </w:p>
              </w:tc>
            </w:tr>
            <w:tr w14:paraId="3292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64F4EEC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11</w:t>
                  </w:r>
                </w:p>
              </w:tc>
              <w:tc>
                <w:tcPr>
                  <w:tcW w:w="1739" w:type="pct"/>
                  <w:shd w:val="clear" w:color="auto" w:fill="auto"/>
                  <w:vAlign w:val="center"/>
                </w:tcPr>
                <w:p w14:paraId="1DB4509B">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eastAsia="zh-CN"/>
                    </w:rPr>
                    <w:t>胰岛素泵</w:t>
                  </w:r>
                </w:p>
              </w:tc>
              <w:tc>
                <w:tcPr>
                  <w:tcW w:w="860" w:type="pct"/>
                  <w:shd w:val="clear" w:color="auto" w:fill="auto"/>
                  <w:vAlign w:val="center"/>
                </w:tcPr>
                <w:p w14:paraId="7EAD6E88">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w:t>
                  </w:r>
                </w:p>
              </w:tc>
              <w:tc>
                <w:tcPr>
                  <w:tcW w:w="1153" w:type="pct"/>
                  <w:shd w:val="clear" w:color="auto" w:fill="auto"/>
                  <w:vAlign w:val="center"/>
                </w:tcPr>
                <w:p w14:paraId="47C5CB74">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w:t>
                  </w:r>
                </w:p>
              </w:tc>
              <w:tc>
                <w:tcPr>
                  <w:tcW w:w="805" w:type="pct"/>
                  <w:vMerge w:val="continue"/>
                  <w:shd w:val="clear" w:color="auto" w:fill="auto"/>
                  <w:vAlign w:val="center"/>
                </w:tcPr>
                <w:p w14:paraId="7277C4DC">
                  <w:pPr>
                    <w:widowControl/>
                    <w:jc w:val="center"/>
                    <w:rPr>
                      <w:rFonts w:hint="default" w:ascii="Times New Roman" w:hAnsi="Times New Roman" w:cs="Times New Roman"/>
                      <w:color w:val="000000" w:themeColor="text1"/>
                      <w:sz w:val="21"/>
                      <w:szCs w:val="21"/>
                      <w:lang w:val="en-US" w:eastAsia="zh-CN"/>
                    </w:rPr>
                  </w:pPr>
                </w:p>
              </w:tc>
            </w:tr>
            <w:tr w14:paraId="6825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4FA234E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12</w:t>
                  </w:r>
                </w:p>
              </w:tc>
              <w:tc>
                <w:tcPr>
                  <w:tcW w:w="1739" w:type="pct"/>
                  <w:shd w:val="clear" w:color="auto" w:fill="auto"/>
                  <w:vAlign w:val="center"/>
                </w:tcPr>
                <w:p w14:paraId="3E749F21">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尿液干化学分析仪</w:t>
                  </w:r>
                </w:p>
              </w:tc>
              <w:tc>
                <w:tcPr>
                  <w:tcW w:w="860" w:type="pct"/>
                  <w:shd w:val="clear" w:color="auto" w:fill="auto"/>
                  <w:vAlign w:val="center"/>
                </w:tcPr>
                <w:p w14:paraId="35EB0D17">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5C80BD73">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华晟-H-II</w:t>
                  </w:r>
                </w:p>
              </w:tc>
              <w:tc>
                <w:tcPr>
                  <w:tcW w:w="805" w:type="pct"/>
                  <w:vMerge w:val="restart"/>
                  <w:shd w:val="clear" w:color="auto" w:fill="auto"/>
                  <w:vAlign w:val="center"/>
                </w:tcPr>
                <w:p w14:paraId="471B36B6">
                  <w:pPr>
                    <w:widowControl/>
                    <w:jc w:val="center"/>
                    <w:rPr>
                      <w:rFonts w:hint="default" w:ascii="Times New Roman" w:hAnsi="Times New Roman" w:cs="Times New Roman"/>
                      <w:color w:val="000000" w:themeColor="text1"/>
                      <w:kern w:val="0"/>
                      <w:szCs w:val="21"/>
                      <w:lang w:val="en-US" w:eastAsia="zh-CN"/>
                    </w:rPr>
                  </w:pPr>
                  <w:r>
                    <w:rPr>
                      <w:rFonts w:hint="eastAsia" w:ascii="Times New Roman" w:hAnsi="Times New Roman" w:cs="Times New Roman"/>
                      <w:color w:val="000000" w:themeColor="text1"/>
                      <w:kern w:val="0"/>
                      <w:szCs w:val="21"/>
                      <w:lang w:val="en-US" w:eastAsia="zh-CN"/>
                    </w:rPr>
                    <w:t>化验科</w:t>
                  </w:r>
                  <w:r>
                    <w:rPr>
                      <w:rFonts w:hint="eastAsia" w:cs="Times New Roman"/>
                      <w:color w:val="000000" w:themeColor="text1"/>
                      <w:sz w:val="21"/>
                      <w:szCs w:val="21"/>
                      <w:lang w:val="en-US" w:eastAsia="zh-CN"/>
                    </w:rPr>
                    <w:t>，</w:t>
                  </w:r>
                  <w:r>
                    <w:rPr>
                      <w:rFonts w:hint="eastAsia" w:cs="Times New Roman"/>
                      <w:color w:val="000000" w:themeColor="text1"/>
                      <w:kern w:val="0"/>
                      <w:sz w:val="21"/>
                      <w:szCs w:val="21"/>
                      <w:lang w:val="en-US" w:eastAsia="zh-CN" w:bidi="ar"/>
                    </w:rPr>
                    <w:t>本次搬迁设备</w:t>
                  </w:r>
                </w:p>
              </w:tc>
            </w:tr>
            <w:tr w14:paraId="4B8F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6A1CB1B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13</w:t>
                  </w:r>
                </w:p>
              </w:tc>
              <w:tc>
                <w:tcPr>
                  <w:tcW w:w="1739" w:type="pct"/>
                  <w:shd w:val="clear" w:color="auto" w:fill="auto"/>
                  <w:vAlign w:val="center"/>
                </w:tcPr>
                <w:p w14:paraId="67DE845D">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五分类全自动血细胞分析仪</w:t>
                  </w:r>
                </w:p>
              </w:tc>
              <w:tc>
                <w:tcPr>
                  <w:tcW w:w="860" w:type="pct"/>
                  <w:shd w:val="clear" w:color="auto" w:fill="auto"/>
                  <w:vAlign w:val="center"/>
                </w:tcPr>
                <w:p w14:paraId="3632D526">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7AA2630D">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DH71CRP</w:t>
                  </w:r>
                </w:p>
              </w:tc>
              <w:tc>
                <w:tcPr>
                  <w:tcW w:w="805" w:type="pct"/>
                  <w:vMerge w:val="continue"/>
                  <w:shd w:val="clear" w:color="auto" w:fill="auto"/>
                  <w:vAlign w:val="center"/>
                </w:tcPr>
                <w:p w14:paraId="6BD6B173">
                  <w:pPr>
                    <w:widowControl/>
                    <w:jc w:val="center"/>
                    <w:rPr>
                      <w:rFonts w:hint="default" w:ascii="Times New Roman" w:hAnsi="Times New Roman" w:cs="Times New Roman"/>
                      <w:color w:val="000000" w:themeColor="text1"/>
                      <w:kern w:val="0"/>
                      <w:szCs w:val="21"/>
                      <w:lang w:val="en-US" w:eastAsia="zh-CN"/>
                    </w:rPr>
                  </w:pPr>
                </w:p>
              </w:tc>
            </w:tr>
            <w:tr w14:paraId="18B5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381637A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14</w:t>
                  </w:r>
                </w:p>
              </w:tc>
              <w:tc>
                <w:tcPr>
                  <w:tcW w:w="1739" w:type="pct"/>
                  <w:shd w:val="clear" w:color="auto" w:fill="auto"/>
                  <w:vAlign w:val="center"/>
                </w:tcPr>
                <w:p w14:paraId="6FC975B4">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电解质分析仪</w:t>
                  </w:r>
                </w:p>
              </w:tc>
              <w:tc>
                <w:tcPr>
                  <w:tcW w:w="860" w:type="pct"/>
                  <w:shd w:val="clear" w:color="auto" w:fill="auto"/>
                  <w:vAlign w:val="center"/>
                </w:tcPr>
                <w:p w14:paraId="5AF3A0EC">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5B9A8701">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康立K-Lite</w:t>
                  </w:r>
                </w:p>
              </w:tc>
              <w:tc>
                <w:tcPr>
                  <w:tcW w:w="805" w:type="pct"/>
                  <w:vMerge w:val="continue"/>
                  <w:shd w:val="clear" w:color="auto" w:fill="auto"/>
                  <w:vAlign w:val="center"/>
                </w:tcPr>
                <w:p w14:paraId="4073F73D">
                  <w:pPr>
                    <w:widowControl/>
                    <w:jc w:val="center"/>
                    <w:rPr>
                      <w:rFonts w:hint="default" w:ascii="Times New Roman" w:hAnsi="Times New Roman" w:cs="Times New Roman"/>
                      <w:color w:val="000000" w:themeColor="text1"/>
                      <w:kern w:val="0"/>
                      <w:szCs w:val="21"/>
                      <w:lang w:val="en-US" w:eastAsia="zh-CN"/>
                    </w:rPr>
                  </w:pPr>
                </w:p>
              </w:tc>
            </w:tr>
            <w:tr w14:paraId="2EF9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7F0368E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15</w:t>
                  </w:r>
                </w:p>
              </w:tc>
              <w:tc>
                <w:tcPr>
                  <w:tcW w:w="1739" w:type="pct"/>
                  <w:shd w:val="clear" w:color="auto" w:fill="auto"/>
                  <w:vAlign w:val="center"/>
                </w:tcPr>
                <w:p w14:paraId="1459C648">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全自动特定蛋白分析仪</w:t>
                  </w:r>
                </w:p>
              </w:tc>
              <w:tc>
                <w:tcPr>
                  <w:tcW w:w="860" w:type="pct"/>
                  <w:shd w:val="clear" w:color="auto" w:fill="auto"/>
                  <w:vAlign w:val="center"/>
                </w:tcPr>
                <w:p w14:paraId="7AC2F536">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7577948C">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Ottman-1000</w:t>
                  </w:r>
                </w:p>
              </w:tc>
              <w:tc>
                <w:tcPr>
                  <w:tcW w:w="805" w:type="pct"/>
                  <w:vMerge w:val="continue"/>
                  <w:shd w:val="clear" w:color="auto" w:fill="auto"/>
                  <w:vAlign w:val="center"/>
                </w:tcPr>
                <w:p w14:paraId="0950B798">
                  <w:pPr>
                    <w:widowControl/>
                    <w:jc w:val="center"/>
                    <w:rPr>
                      <w:rFonts w:hint="default" w:ascii="Times New Roman" w:hAnsi="Times New Roman" w:cs="Times New Roman"/>
                      <w:color w:val="000000" w:themeColor="text1"/>
                      <w:kern w:val="0"/>
                      <w:szCs w:val="21"/>
                      <w:lang w:val="en-US" w:eastAsia="zh-CN"/>
                    </w:rPr>
                  </w:pPr>
                </w:p>
              </w:tc>
            </w:tr>
            <w:tr w14:paraId="0ABF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2ECD581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16</w:t>
                  </w:r>
                </w:p>
              </w:tc>
              <w:tc>
                <w:tcPr>
                  <w:tcW w:w="1739" w:type="pct"/>
                  <w:shd w:val="clear" w:color="auto" w:fill="auto"/>
                  <w:vAlign w:val="center"/>
                </w:tcPr>
                <w:p w14:paraId="021DD268">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离心机</w:t>
                  </w:r>
                </w:p>
              </w:tc>
              <w:tc>
                <w:tcPr>
                  <w:tcW w:w="860" w:type="pct"/>
                  <w:shd w:val="clear" w:color="auto" w:fill="auto"/>
                  <w:vAlign w:val="center"/>
                </w:tcPr>
                <w:p w14:paraId="52FC4990">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2</w:t>
                  </w:r>
                </w:p>
              </w:tc>
              <w:tc>
                <w:tcPr>
                  <w:tcW w:w="1153" w:type="pct"/>
                  <w:shd w:val="clear" w:color="auto" w:fill="auto"/>
                  <w:vAlign w:val="center"/>
                </w:tcPr>
                <w:p w14:paraId="26ACD4C4">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TD25-WS</w:t>
                  </w:r>
                </w:p>
              </w:tc>
              <w:tc>
                <w:tcPr>
                  <w:tcW w:w="805" w:type="pct"/>
                  <w:vMerge w:val="continue"/>
                  <w:shd w:val="clear" w:color="auto" w:fill="auto"/>
                  <w:vAlign w:val="center"/>
                </w:tcPr>
                <w:p w14:paraId="76275D95">
                  <w:pPr>
                    <w:widowControl/>
                    <w:jc w:val="center"/>
                    <w:rPr>
                      <w:rFonts w:hint="default" w:ascii="Times New Roman" w:hAnsi="Times New Roman" w:cs="Times New Roman"/>
                      <w:color w:val="000000" w:themeColor="text1"/>
                      <w:kern w:val="0"/>
                      <w:szCs w:val="21"/>
                      <w:lang w:val="en-US" w:eastAsia="zh-CN"/>
                    </w:rPr>
                  </w:pPr>
                </w:p>
              </w:tc>
            </w:tr>
            <w:tr w14:paraId="23B3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3AEBCD9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17</w:t>
                  </w:r>
                </w:p>
              </w:tc>
              <w:tc>
                <w:tcPr>
                  <w:tcW w:w="1739" w:type="pct"/>
                  <w:shd w:val="clear" w:color="auto" w:fill="auto"/>
                  <w:vAlign w:val="center"/>
                </w:tcPr>
                <w:p w14:paraId="57A9D7A0">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电热恒温水浴箱</w:t>
                  </w:r>
                </w:p>
              </w:tc>
              <w:tc>
                <w:tcPr>
                  <w:tcW w:w="860" w:type="pct"/>
                  <w:shd w:val="clear" w:color="auto" w:fill="auto"/>
                  <w:vAlign w:val="center"/>
                </w:tcPr>
                <w:p w14:paraId="2CE8BDC4">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5B439574">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TL-600D</w:t>
                  </w:r>
                </w:p>
              </w:tc>
              <w:tc>
                <w:tcPr>
                  <w:tcW w:w="805" w:type="pct"/>
                  <w:vMerge w:val="continue"/>
                  <w:shd w:val="clear" w:color="auto" w:fill="auto"/>
                  <w:vAlign w:val="center"/>
                </w:tcPr>
                <w:p w14:paraId="1F6B90F3">
                  <w:pPr>
                    <w:widowControl/>
                    <w:jc w:val="center"/>
                    <w:rPr>
                      <w:rFonts w:hint="default" w:ascii="Times New Roman" w:hAnsi="Times New Roman" w:cs="Times New Roman"/>
                      <w:color w:val="000000" w:themeColor="text1"/>
                      <w:kern w:val="0"/>
                      <w:szCs w:val="21"/>
                      <w:lang w:val="en-US" w:eastAsia="zh-CN"/>
                    </w:rPr>
                  </w:pPr>
                </w:p>
              </w:tc>
            </w:tr>
            <w:tr w14:paraId="3788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01CD1A9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18</w:t>
                  </w:r>
                </w:p>
              </w:tc>
              <w:tc>
                <w:tcPr>
                  <w:tcW w:w="1739" w:type="pct"/>
                  <w:shd w:val="clear" w:color="auto" w:fill="auto"/>
                  <w:vAlign w:val="center"/>
                </w:tcPr>
                <w:p w14:paraId="103371E8">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全自动化学发光免疫分析仪</w:t>
                  </w:r>
                </w:p>
              </w:tc>
              <w:tc>
                <w:tcPr>
                  <w:tcW w:w="860" w:type="pct"/>
                  <w:shd w:val="clear" w:color="auto" w:fill="auto"/>
                  <w:vAlign w:val="center"/>
                </w:tcPr>
                <w:p w14:paraId="1CB33F66">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42495582">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LiCA800</w:t>
                  </w:r>
                </w:p>
              </w:tc>
              <w:tc>
                <w:tcPr>
                  <w:tcW w:w="805" w:type="pct"/>
                  <w:vMerge w:val="continue"/>
                  <w:shd w:val="clear" w:color="auto" w:fill="auto"/>
                  <w:vAlign w:val="center"/>
                </w:tcPr>
                <w:p w14:paraId="17BAEE8E">
                  <w:pPr>
                    <w:widowControl/>
                    <w:jc w:val="center"/>
                    <w:rPr>
                      <w:rFonts w:hint="default" w:ascii="Times New Roman" w:hAnsi="Times New Roman" w:cs="Times New Roman"/>
                      <w:color w:val="000000" w:themeColor="text1"/>
                      <w:kern w:val="0"/>
                      <w:szCs w:val="21"/>
                      <w:lang w:val="en-US" w:eastAsia="zh-CN"/>
                    </w:rPr>
                  </w:pPr>
                </w:p>
              </w:tc>
            </w:tr>
            <w:tr w14:paraId="2179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2B7A0A4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19</w:t>
                  </w:r>
                </w:p>
              </w:tc>
              <w:tc>
                <w:tcPr>
                  <w:tcW w:w="1739" w:type="pct"/>
                  <w:shd w:val="clear" w:color="auto" w:fill="auto"/>
                  <w:vAlign w:val="center"/>
                </w:tcPr>
                <w:p w14:paraId="5411B152">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便携式全自动多功能检测仪</w:t>
                  </w:r>
                </w:p>
              </w:tc>
              <w:tc>
                <w:tcPr>
                  <w:tcW w:w="860" w:type="pct"/>
                  <w:shd w:val="clear" w:color="auto" w:fill="auto"/>
                  <w:vAlign w:val="center"/>
                </w:tcPr>
                <w:p w14:paraId="64507455">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65308541">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w:t>
                  </w:r>
                </w:p>
              </w:tc>
              <w:tc>
                <w:tcPr>
                  <w:tcW w:w="805" w:type="pct"/>
                  <w:vMerge w:val="continue"/>
                  <w:shd w:val="clear" w:color="auto" w:fill="auto"/>
                  <w:vAlign w:val="center"/>
                </w:tcPr>
                <w:p w14:paraId="6A4A05A4">
                  <w:pPr>
                    <w:widowControl/>
                    <w:jc w:val="center"/>
                    <w:rPr>
                      <w:rFonts w:hint="default" w:ascii="Times New Roman" w:hAnsi="Times New Roman" w:cs="Times New Roman"/>
                      <w:color w:val="000000" w:themeColor="text1"/>
                      <w:sz w:val="21"/>
                      <w:szCs w:val="21"/>
                      <w:lang w:val="en-US" w:eastAsia="zh-CN"/>
                    </w:rPr>
                  </w:pPr>
                </w:p>
              </w:tc>
            </w:tr>
            <w:tr w14:paraId="49E3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1A02E26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20</w:t>
                  </w:r>
                </w:p>
              </w:tc>
              <w:tc>
                <w:tcPr>
                  <w:tcW w:w="1739" w:type="pct"/>
                  <w:shd w:val="clear" w:color="auto" w:fill="auto"/>
                  <w:vAlign w:val="center"/>
                </w:tcPr>
                <w:p w14:paraId="23BB78A9">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全自动生化仪</w:t>
                  </w:r>
                </w:p>
              </w:tc>
              <w:tc>
                <w:tcPr>
                  <w:tcW w:w="860" w:type="pct"/>
                  <w:shd w:val="clear" w:color="auto" w:fill="auto"/>
                  <w:vAlign w:val="center"/>
                </w:tcPr>
                <w:p w14:paraId="21AB379B">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74972F72">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kern w:val="0"/>
                      <w:szCs w:val="21"/>
                      <w:lang w:val="en-US" w:eastAsia="zh-CN"/>
                    </w:rPr>
                    <w:t>日立-7180</w:t>
                  </w:r>
                </w:p>
              </w:tc>
              <w:tc>
                <w:tcPr>
                  <w:tcW w:w="805" w:type="pct"/>
                  <w:vMerge w:val="continue"/>
                  <w:shd w:val="clear" w:color="auto" w:fill="auto"/>
                  <w:vAlign w:val="center"/>
                </w:tcPr>
                <w:p w14:paraId="2FE0921A">
                  <w:pPr>
                    <w:widowControl/>
                    <w:jc w:val="center"/>
                    <w:rPr>
                      <w:rFonts w:hint="default" w:ascii="Times New Roman" w:hAnsi="Times New Roman" w:cs="Times New Roman"/>
                      <w:color w:val="000000" w:themeColor="text1"/>
                      <w:kern w:val="0"/>
                      <w:szCs w:val="21"/>
                      <w:lang w:val="en-US" w:eastAsia="zh-CN"/>
                    </w:rPr>
                  </w:pPr>
                </w:p>
              </w:tc>
            </w:tr>
            <w:tr w14:paraId="4E0B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4E0842B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21</w:t>
                  </w:r>
                </w:p>
              </w:tc>
              <w:tc>
                <w:tcPr>
                  <w:tcW w:w="1739" w:type="pct"/>
                  <w:shd w:val="clear" w:color="auto" w:fill="auto"/>
                  <w:vAlign w:val="center"/>
                </w:tcPr>
                <w:p w14:paraId="5DA74985">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高速离心机</w:t>
                  </w:r>
                </w:p>
              </w:tc>
              <w:tc>
                <w:tcPr>
                  <w:tcW w:w="860" w:type="pct"/>
                  <w:shd w:val="clear" w:color="auto" w:fill="auto"/>
                  <w:vAlign w:val="center"/>
                </w:tcPr>
                <w:p w14:paraId="378BA92A">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1</w:t>
                  </w:r>
                </w:p>
              </w:tc>
              <w:tc>
                <w:tcPr>
                  <w:tcW w:w="1153" w:type="pct"/>
                  <w:shd w:val="clear" w:color="auto" w:fill="auto"/>
                  <w:vAlign w:val="center"/>
                </w:tcPr>
                <w:p w14:paraId="15D8CA97">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w:t>
                  </w:r>
                </w:p>
              </w:tc>
              <w:tc>
                <w:tcPr>
                  <w:tcW w:w="805" w:type="pct"/>
                  <w:vMerge w:val="continue"/>
                  <w:shd w:val="clear" w:color="auto" w:fill="auto"/>
                  <w:vAlign w:val="center"/>
                </w:tcPr>
                <w:p w14:paraId="7FDCC49F">
                  <w:pPr>
                    <w:widowControl/>
                    <w:jc w:val="center"/>
                    <w:rPr>
                      <w:rFonts w:hint="default" w:ascii="Times New Roman" w:hAnsi="Times New Roman" w:cs="Times New Roman"/>
                      <w:color w:val="000000" w:themeColor="text1"/>
                      <w:sz w:val="21"/>
                      <w:szCs w:val="21"/>
                      <w:lang w:val="en-US" w:eastAsia="zh-CN"/>
                    </w:rPr>
                  </w:pPr>
                </w:p>
              </w:tc>
            </w:tr>
            <w:tr w14:paraId="71B2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311DADB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22</w:t>
                  </w:r>
                </w:p>
              </w:tc>
              <w:tc>
                <w:tcPr>
                  <w:tcW w:w="1739" w:type="pct"/>
                  <w:shd w:val="clear" w:color="auto" w:fill="auto"/>
                  <w:vAlign w:val="center"/>
                </w:tcPr>
                <w:p w14:paraId="3E96C730">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显微镜</w:t>
                  </w:r>
                </w:p>
              </w:tc>
              <w:tc>
                <w:tcPr>
                  <w:tcW w:w="860" w:type="pct"/>
                  <w:shd w:val="clear" w:color="auto" w:fill="auto"/>
                  <w:vAlign w:val="center"/>
                </w:tcPr>
                <w:p w14:paraId="3C7F9D21">
                  <w:pPr>
                    <w:widowControl/>
                    <w:jc w:val="center"/>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Cs w:val="21"/>
                      <w:lang w:val="en-US" w:eastAsia="zh-CN"/>
                    </w:rPr>
                    <w:t>3</w:t>
                  </w:r>
                </w:p>
              </w:tc>
              <w:tc>
                <w:tcPr>
                  <w:tcW w:w="1153" w:type="pct"/>
                  <w:shd w:val="clear" w:color="auto" w:fill="auto"/>
                  <w:vAlign w:val="center"/>
                </w:tcPr>
                <w:p w14:paraId="04F7C6FD">
                  <w:pPr>
                    <w:widowControl/>
                    <w:jc w:val="center"/>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w:t>
                  </w:r>
                </w:p>
              </w:tc>
              <w:tc>
                <w:tcPr>
                  <w:tcW w:w="805" w:type="pct"/>
                  <w:vMerge w:val="continue"/>
                  <w:shd w:val="clear" w:color="auto" w:fill="auto"/>
                  <w:vAlign w:val="center"/>
                </w:tcPr>
                <w:p w14:paraId="4F593149">
                  <w:pPr>
                    <w:widowControl/>
                    <w:jc w:val="center"/>
                    <w:rPr>
                      <w:rFonts w:hint="default" w:ascii="Times New Roman" w:hAnsi="Times New Roman" w:cs="Times New Roman"/>
                      <w:color w:val="000000" w:themeColor="text1"/>
                      <w:sz w:val="21"/>
                      <w:szCs w:val="21"/>
                      <w:lang w:val="en-US" w:eastAsia="zh-CN"/>
                    </w:rPr>
                  </w:pPr>
                </w:p>
              </w:tc>
            </w:tr>
            <w:tr w14:paraId="21C9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4D75069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eastAsia" w:ascii="Times New Roman" w:hAnsi="Times New Roman" w:cs="Times New Roman"/>
                      <w:color w:val="000000" w:themeColor="text1"/>
                      <w:kern w:val="0"/>
                      <w:sz w:val="21"/>
                      <w:szCs w:val="21"/>
                      <w:lang w:val="en-US" w:eastAsia="zh-CN"/>
                    </w:rPr>
                    <w:t>23</w:t>
                  </w:r>
                </w:p>
              </w:tc>
              <w:tc>
                <w:tcPr>
                  <w:tcW w:w="1739" w:type="pct"/>
                  <w:shd w:val="clear" w:color="auto" w:fill="auto"/>
                  <w:vAlign w:val="center"/>
                </w:tcPr>
                <w:p w14:paraId="72EE8378">
                  <w:pPr>
                    <w:widowControl/>
                    <w:jc w:val="center"/>
                    <w:rPr>
                      <w:rFonts w:hint="default" w:ascii="Times New Roman" w:hAnsi="Times New Roman" w:cs="Times New Roman"/>
                      <w:color w:val="000000" w:themeColor="text1"/>
                      <w:kern w:val="0"/>
                      <w:szCs w:val="21"/>
                      <w:lang w:val="en-US" w:eastAsia="zh-CN"/>
                    </w:rPr>
                  </w:pPr>
                  <w:r>
                    <w:rPr>
                      <w:rFonts w:hint="eastAsia" w:ascii="Times New Roman" w:hAnsi="Times New Roman" w:cs="Times New Roman"/>
                      <w:color w:val="000000" w:themeColor="text1"/>
                      <w:kern w:val="0"/>
                      <w:szCs w:val="21"/>
                      <w:lang w:val="en-US" w:eastAsia="zh-CN"/>
                    </w:rPr>
                    <w:t>制氧机</w:t>
                  </w:r>
                </w:p>
              </w:tc>
              <w:tc>
                <w:tcPr>
                  <w:tcW w:w="860" w:type="pct"/>
                  <w:shd w:val="clear" w:color="auto" w:fill="auto"/>
                  <w:vAlign w:val="center"/>
                </w:tcPr>
                <w:p w14:paraId="5869A4C9">
                  <w:pPr>
                    <w:widowControl/>
                    <w:jc w:val="center"/>
                    <w:rPr>
                      <w:rFonts w:hint="default" w:ascii="Times New Roman" w:hAnsi="Times New Roman" w:cs="Times New Roman"/>
                      <w:color w:val="000000" w:themeColor="text1"/>
                      <w:kern w:val="0"/>
                      <w:szCs w:val="21"/>
                      <w:lang w:val="en-US" w:eastAsia="zh-CN"/>
                    </w:rPr>
                  </w:pPr>
                  <w:r>
                    <w:rPr>
                      <w:rFonts w:hint="eastAsia" w:ascii="Times New Roman" w:hAnsi="Times New Roman" w:cs="Times New Roman"/>
                      <w:color w:val="000000" w:themeColor="text1"/>
                      <w:kern w:val="0"/>
                      <w:szCs w:val="21"/>
                      <w:lang w:val="en-US" w:eastAsia="zh-CN"/>
                    </w:rPr>
                    <w:t>2</w:t>
                  </w:r>
                </w:p>
              </w:tc>
              <w:tc>
                <w:tcPr>
                  <w:tcW w:w="1153" w:type="pct"/>
                  <w:shd w:val="clear" w:color="auto" w:fill="auto"/>
                  <w:vAlign w:val="center"/>
                </w:tcPr>
                <w:p w14:paraId="707397F2">
                  <w:pPr>
                    <w:widowControl/>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10m</w:t>
                  </w:r>
                  <w:r>
                    <w:rPr>
                      <w:rFonts w:hint="eastAsia" w:ascii="Times New Roman" w:hAnsi="Times New Roman" w:cs="Times New Roman"/>
                      <w:color w:val="000000" w:themeColor="text1"/>
                      <w:sz w:val="21"/>
                      <w:szCs w:val="21"/>
                      <w:vertAlign w:val="superscript"/>
                      <w:lang w:val="en-US" w:eastAsia="zh-CN"/>
                    </w:rPr>
                    <w:t>3</w:t>
                  </w:r>
                </w:p>
              </w:tc>
              <w:tc>
                <w:tcPr>
                  <w:tcW w:w="805" w:type="pct"/>
                  <w:shd w:val="clear" w:color="auto" w:fill="auto"/>
                  <w:vAlign w:val="center"/>
                </w:tcPr>
                <w:p w14:paraId="4A624CAA">
                  <w:pPr>
                    <w:widowControl/>
                    <w:jc w:val="center"/>
                    <w:rPr>
                      <w:rFonts w:hint="default" w:ascii="Times New Roman" w:hAnsi="Times New Roman" w:cs="Times New Roman"/>
                      <w:color w:val="000000" w:themeColor="text1"/>
                      <w:sz w:val="21"/>
                      <w:szCs w:val="21"/>
                      <w:lang w:val="en-US" w:eastAsia="zh-CN"/>
                    </w:rPr>
                  </w:pPr>
                  <w:r>
                    <w:rPr>
                      <w:rFonts w:hint="eastAsia" w:cs="Times New Roman"/>
                      <w:color w:val="000000" w:themeColor="text1"/>
                      <w:sz w:val="21"/>
                      <w:szCs w:val="21"/>
                      <w:lang w:val="en-US" w:eastAsia="zh-CN"/>
                    </w:rPr>
                    <w:t>供氧中心，利用原有</w:t>
                  </w:r>
                </w:p>
              </w:tc>
            </w:tr>
            <w:tr w14:paraId="3B88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071CF9F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u w:val="single"/>
                      <w:lang w:val="en-US" w:eastAsia="zh-CN"/>
                    </w:rPr>
                  </w:pPr>
                  <w:r>
                    <w:rPr>
                      <w:rFonts w:hint="eastAsia" w:ascii="Times New Roman" w:hAnsi="Times New Roman" w:cs="Times New Roman"/>
                      <w:color w:val="000000" w:themeColor="text1"/>
                      <w:kern w:val="0"/>
                      <w:sz w:val="21"/>
                      <w:szCs w:val="21"/>
                      <w:u w:val="single"/>
                      <w:lang w:val="en-US" w:eastAsia="zh-CN"/>
                    </w:rPr>
                    <w:t>24</w:t>
                  </w:r>
                </w:p>
              </w:tc>
              <w:tc>
                <w:tcPr>
                  <w:tcW w:w="1739" w:type="pct"/>
                  <w:shd w:val="clear" w:color="auto" w:fill="auto"/>
                  <w:vAlign w:val="center"/>
                </w:tcPr>
                <w:p w14:paraId="0062DAC8">
                  <w:pPr>
                    <w:widowControl/>
                    <w:jc w:val="center"/>
                    <w:rPr>
                      <w:rFonts w:hint="default" w:ascii="Times New Roman" w:hAnsi="Times New Roman" w:cs="Times New Roman"/>
                      <w:color w:val="000000" w:themeColor="text1"/>
                      <w:kern w:val="0"/>
                      <w:szCs w:val="21"/>
                      <w:u w:val="single"/>
                      <w:lang w:val="en-US" w:eastAsia="zh-CN"/>
                    </w:rPr>
                  </w:pPr>
                  <w:r>
                    <w:rPr>
                      <w:rFonts w:hint="eastAsia" w:ascii="Times New Roman" w:hAnsi="Times New Roman" w:cs="Times New Roman"/>
                      <w:color w:val="000000" w:themeColor="text1"/>
                      <w:kern w:val="0"/>
                      <w:szCs w:val="21"/>
                      <w:u w:val="single"/>
                      <w:lang w:val="en-US" w:eastAsia="zh-CN"/>
                    </w:rPr>
                    <w:t>天然气锅炉</w:t>
                  </w:r>
                </w:p>
              </w:tc>
              <w:tc>
                <w:tcPr>
                  <w:tcW w:w="860" w:type="pct"/>
                  <w:shd w:val="clear" w:color="auto" w:fill="auto"/>
                  <w:vAlign w:val="center"/>
                </w:tcPr>
                <w:p w14:paraId="39CF3149">
                  <w:pPr>
                    <w:widowControl/>
                    <w:jc w:val="center"/>
                    <w:rPr>
                      <w:rFonts w:hint="default" w:ascii="Times New Roman" w:hAnsi="Times New Roman" w:cs="Times New Roman"/>
                      <w:color w:val="000000" w:themeColor="text1"/>
                      <w:kern w:val="0"/>
                      <w:szCs w:val="21"/>
                      <w:u w:val="single"/>
                      <w:lang w:val="en-US" w:eastAsia="zh-CN"/>
                    </w:rPr>
                  </w:pPr>
                  <w:r>
                    <w:rPr>
                      <w:rFonts w:hint="eastAsia" w:ascii="Times New Roman" w:hAnsi="Times New Roman" w:cs="Times New Roman"/>
                      <w:color w:val="000000" w:themeColor="text1"/>
                      <w:kern w:val="0"/>
                      <w:szCs w:val="21"/>
                      <w:u w:val="single"/>
                      <w:lang w:val="en-US" w:eastAsia="zh-CN"/>
                    </w:rPr>
                    <w:t>1</w:t>
                  </w:r>
                </w:p>
              </w:tc>
              <w:tc>
                <w:tcPr>
                  <w:tcW w:w="1153" w:type="pct"/>
                  <w:shd w:val="clear" w:color="auto" w:fill="auto"/>
                  <w:vAlign w:val="center"/>
                </w:tcPr>
                <w:p w14:paraId="195E9660">
                  <w:pPr>
                    <w:widowControl/>
                    <w:jc w:val="center"/>
                    <w:rPr>
                      <w:rFonts w:hint="default" w:ascii="Times New Roman" w:hAnsi="Times New Roman" w:cs="Times New Roman"/>
                      <w:color w:val="000000" w:themeColor="text1"/>
                      <w:sz w:val="21"/>
                      <w:szCs w:val="21"/>
                      <w:u w:val="single"/>
                      <w:lang w:val="en-US" w:eastAsia="zh-CN"/>
                    </w:rPr>
                  </w:pPr>
                  <w:r>
                    <w:rPr>
                      <w:rFonts w:hint="eastAsia" w:ascii="Times New Roman" w:hAnsi="Times New Roman" w:cs="Times New Roman"/>
                      <w:color w:val="000000" w:themeColor="text1"/>
                      <w:sz w:val="21"/>
                      <w:szCs w:val="21"/>
                      <w:u w:val="single"/>
                      <w:lang w:val="en-US" w:eastAsia="zh-CN"/>
                    </w:rPr>
                    <w:t>2t/h</w:t>
                  </w:r>
                </w:p>
              </w:tc>
              <w:tc>
                <w:tcPr>
                  <w:tcW w:w="805" w:type="pct"/>
                  <w:shd w:val="clear" w:color="auto" w:fill="auto"/>
                  <w:vAlign w:val="center"/>
                </w:tcPr>
                <w:p w14:paraId="40BCE412">
                  <w:pPr>
                    <w:widowControl/>
                    <w:jc w:val="center"/>
                    <w:rPr>
                      <w:rFonts w:hint="default" w:ascii="Times New Roman" w:hAnsi="Times New Roman" w:cs="Times New Roman"/>
                      <w:color w:val="000000" w:themeColor="text1"/>
                      <w:sz w:val="21"/>
                      <w:szCs w:val="21"/>
                      <w:u w:val="single"/>
                      <w:lang w:val="en-US" w:eastAsia="zh-CN"/>
                    </w:rPr>
                  </w:pPr>
                  <w:r>
                    <w:rPr>
                      <w:rFonts w:hint="eastAsia" w:ascii="Times New Roman" w:hAnsi="Times New Roman" w:cs="Times New Roman"/>
                      <w:color w:val="000000" w:themeColor="text1"/>
                      <w:sz w:val="21"/>
                      <w:szCs w:val="21"/>
                      <w:u w:val="single"/>
                      <w:lang w:val="en-US" w:eastAsia="zh-CN"/>
                    </w:rPr>
                    <w:t>锅炉房</w:t>
                  </w:r>
                  <w:r>
                    <w:rPr>
                      <w:rFonts w:hint="eastAsia" w:cs="Times New Roman"/>
                      <w:color w:val="000000" w:themeColor="text1"/>
                      <w:sz w:val="21"/>
                      <w:szCs w:val="21"/>
                      <w:u w:val="single"/>
                      <w:lang w:val="en-US" w:eastAsia="zh-CN"/>
                    </w:rPr>
                    <w:t>，利用原有</w:t>
                  </w:r>
                </w:p>
              </w:tc>
            </w:tr>
            <w:tr w14:paraId="221F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pct"/>
                  <w:shd w:val="clear" w:color="auto" w:fill="auto"/>
                  <w:vAlign w:val="center"/>
                </w:tcPr>
                <w:p w14:paraId="352D281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eastAsia" w:ascii="Times New Roman" w:hAnsi="Times New Roman" w:cs="Times New Roman"/>
                      <w:color w:val="000000" w:themeColor="text1"/>
                      <w:kern w:val="0"/>
                      <w:sz w:val="21"/>
                      <w:szCs w:val="21"/>
                      <w:lang w:val="en-US" w:eastAsia="zh-CN"/>
                    </w:rPr>
                    <w:t>25</w:t>
                  </w:r>
                </w:p>
              </w:tc>
              <w:tc>
                <w:tcPr>
                  <w:tcW w:w="1739" w:type="pct"/>
                  <w:shd w:val="clear" w:color="auto" w:fill="auto"/>
                  <w:vAlign w:val="center"/>
                </w:tcPr>
                <w:p w14:paraId="12DE6682">
                  <w:pPr>
                    <w:widowControl/>
                    <w:jc w:val="center"/>
                    <w:rPr>
                      <w:rFonts w:hint="default" w:ascii="Times New Roman" w:hAnsi="Times New Roman" w:cs="Times New Roman"/>
                      <w:color w:val="000000" w:themeColor="text1"/>
                      <w:kern w:val="0"/>
                      <w:szCs w:val="21"/>
                      <w:lang w:val="en-US" w:eastAsia="zh-CN"/>
                    </w:rPr>
                  </w:pPr>
                  <w:r>
                    <w:rPr>
                      <w:rFonts w:hint="eastAsia" w:ascii="Times New Roman" w:hAnsi="Times New Roman" w:cs="Times New Roman"/>
                      <w:color w:val="000000" w:themeColor="text1"/>
                      <w:kern w:val="0"/>
                      <w:szCs w:val="21"/>
                      <w:lang w:val="en-US" w:eastAsia="zh-CN"/>
                    </w:rPr>
                    <w:t>备用柴油发电机</w:t>
                  </w:r>
                </w:p>
              </w:tc>
              <w:tc>
                <w:tcPr>
                  <w:tcW w:w="860" w:type="pct"/>
                  <w:shd w:val="clear" w:color="auto" w:fill="auto"/>
                  <w:vAlign w:val="center"/>
                </w:tcPr>
                <w:p w14:paraId="4B79B2E9">
                  <w:pPr>
                    <w:widowControl/>
                    <w:jc w:val="center"/>
                    <w:rPr>
                      <w:rFonts w:hint="default" w:ascii="Times New Roman" w:hAnsi="Times New Roman" w:cs="Times New Roman"/>
                      <w:color w:val="000000" w:themeColor="text1"/>
                      <w:kern w:val="0"/>
                      <w:szCs w:val="21"/>
                      <w:lang w:val="en-US" w:eastAsia="zh-CN"/>
                    </w:rPr>
                  </w:pPr>
                  <w:r>
                    <w:rPr>
                      <w:rFonts w:hint="eastAsia" w:ascii="Times New Roman" w:hAnsi="Times New Roman" w:cs="Times New Roman"/>
                      <w:color w:val="000000" w:themeColor="text1"/>
                      <w:kern w:val="0"/>
                      <w:szCs w:val="21"/>
                      <w:lang w:val="en-US" w:eastAsia="zh-CN"/>
                    </w:rPr>
                    <w:t>1</w:t>
                  </w:r>
                </w:p>
              </w:tc>
              <w:tc>
                <w:tcPr>
                  <w:tcW w:w="1153" w:type="pct"/>
                  <w:shd w:val="clear" w:color="auto" w:fill="auto"/>
                  <w:vAlign w:val="center"/>
                </w:tcPr>
                <w:p w14:paraId="1778BA7C">
                  <w:pPr>
                    <w:widowControl/>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250Kw/h</w:t>
                  </w:r>
                </w:p>
              </w:tc>
              <w:tc>
                <w:tcPr>
                  <w:tcW w:w="805" w:type="pct"/>
                  <w:shd w:val="clear" w:color="auto" w:fill="auto"/>
                  <w:vAlign w:val="center"/>
                </w:tcPr>
                <w:p w14:paraId="48F3DD94">
                  <w:pPr>
                    <w:widowControl/>
                    <w:jc w:val="center"/>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发电机房</w:t>
                  </w:r>
                  <w:r>
                    <w:rPr>
                      <w:rFonts w:hint="eastAsia" w:cs="Times New Roman"/>
                      <w:color w:val="000000" w:themeColor="text1"/>
                      <w:sz w:val="21"/>
                      <w:szCs w:val="21"/>
                      <w:lang w:val="en-US" w:eastAsia="zh-CN"/>
                    </w:rPr>
                    <w:t>，利用原有</w:t>
                  </w:r>
                </w:p>
              </w:tc>
            </w:tr>
          </w:tbl>
          <w:p w14:paraId="761541A0">
            <w:pPr>
              <w:autoSpaceDE w:val="0"/>
              <w:autoSpaceDN w:val="0"/>
              <w:adjustRightInd w:val="0"/>
              <w:snapToGrid w:val="0"/>
              <w:spacing w:line="360" w:lineRule="auto"/>
              <w:jc w:val="left"/>
              <w:rPr>
                <w:rFonts w:hint="default" w:ascii="Times New Roman" w:hAnsi="Times New Roman" w:eastAsia="宋体" w:cs="Times New Roman"/>
                <w:b/>
                <w:bCs/>
                <w:kern w:val="0"/>
                <w:sz w:val="24"/>
                <w:szCs w:val="24"/>
                <w:u w:val="none"/>
              </w:rPr>
            </w:pPr>
            <w:r>
              <w:rPr>
                <w:rFonts w:hint="eastAsia" w:cs="Times New Roman"/>
                <w:b/>
                <w:bCs/>
                <w:kern w:val="0"/>
                <w:sz w:val="24"/>
                <w:szCs w:val="24"/>
                <w:u w:val="none"/>
                <w:lang w:val="en-US" w:eastAsia="zh-CN"/>
              </w:rPr>
              <w:t>6</w:t>
            </w:r>
            <w:r>
              <w:rPr>
                <w:rFonts w:hint="default" w:ascii="Times New Roman" w:hAnsi="Times New Roman" w:eastAsia="宋体" w:cs="Times New Roman"/>
                <w:b/>
                <w:bCs/>
                <w:kern w:val="0"/>
                <w:sz w:val="24"/>
                <w:szCs w:val="24"/>
                <w:u w:val="none"/>
              </w:rPr>
              <w:t>、主要原辅材料</w:t>
            </w:r>
          </w:p>
          <w:p w14:paraId="2FCDED38">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u w:val="none"/>
              </w:rPr>
            </w:pPr>
            <w:r>
              <w:rPr>
                <w:rFonts w:hint="default" w:ascii="Times New Roman" w:hAnsi="Times New Roman" w:eastAsia="宋体" w:cs="Times New Roman"/>
                <w:kern w:val="0"/>
                <w:sz w:val="24"/>
                <w:szCs w:val="24"/>
                <w:u w:val="none"/>
              </w:rPr>
              <w:t>本项目主要原辅材料及能源消耗情况见下表。</w:t>
            </w:r>
          </w:p>
          <w:p w14:paraId="3D9927B1">
            <w:pPr>
              <w:autoSpaceDE w:val="0"/>
              <w:autoSpaceDN w:val="0"/>
              <w:adjustRightInd w:val="0"/>
              <w:snapToGrid w:val="0"/>
              <w:spacing w:line="360" w:lineRule="auto"/>
              <w:jc w:val="center"/>
              <w:rPr>
                <w:rFonts w:hint="default" w:ascii="Times New Roman" w:hAnsi="Times New Roman" w:eastAsia="宋体" w:cs="Times New Roman"/>
                <w:b/>
                <w:bCs/>
                <w:kern w:val="0"/>
                <w:sz w:val="21"/>
                <w:szCs w:val="21"/>
                <w:u w:val="single"/>
              </w:rPr>
            </w:pPr>
            <w:r>
              <w:rPr>
                <w:rFonts w:hint="default" w:ascii="Times New Roman" w:hAnsi="Times New Roman" w:eastAsia="宋体" w:cs="Times New Roman"/>
                <w:b/>
                <w:bCs/>
                <w:kern w:val="0"/>
                <w:sz w:val="21"/>
                <w:szCs w:val="21"/>
                <w:u w:val="none"/>
              </w:rPr>
              <w:t>表2-</w:t>
            </w:r>
            <w:r>
              <w:rPr>
                <w:rFonts w:hint="eastAsia" w:cs="Times New Roman"/>
                <w:b/>
                <w:bCs/>
                <w:kern w:val="0"/>
                <w:sz w:val="21"/>
                <w:szCs w:val="21"/>
                <w:u w:val="none"/>
                <w:lang w:val="en-US" w:eastAsia="zh-CN"/>
              </w:rPr>
              <w:t>5</w:t>
            </w:r>
            <w:r>
              <w:rPr>
                <w:rFonts w:hint="default" w:ascii="Times New Roman" w:hAnsi="Times New Roman" w:eastAsia="宋体" w:cs="Times New Roman"/>
                <w:b/>
                <w:bCs/>
                <w:kern w:val="0"/>
                <w:sz w:val="21"/>
                <w:szCs w:val="21"/>
                <w:u w:val="none"/>
              </w:rPr>
              <w:t xml:space="preserve"> 主要原辅材料一览表</w:t>
            </w:r>
          </w:p>
          <w:tbl>
            <w:tblPr>
              <w:tblStyle w:val="24"/>
              <w:tblW w:w="8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710"/>
              <w:gridCol w:w="690"/>
              <w:gridCol w:w="990"/>
              <w:gridCol w:w="1125"/>
              <w:gridCol w:w="2830"/>
            </w:tblGrid>
            <w:tr w14:paraId="662BC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92" w:type="dxa"/>
                  <w:shd w:val="clear" w:color="auto" w:fill="auto"/>
                  <w:vAlign w:val="center"/>
                </w:tcPr>
                <w:p w14:paraId="61C6207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序号</w:t>
                  </w:r>
                </w:p>
              </w:tc>
              <w:tc>
                <w:tcPr>
                  <w:tcW w:w="1710" w:type="dxa"/>
                  <w:shd w:val="clear" w:color="auto" w:fill="auto"/>
                  <w:vAlign w:val="center"/>
                </w:tcPr>
                <w:p w14:paraId="0ABB04D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lang w:val="en-US" w:eastAsia="zh-CN"/>
                    </w:rPr>
                  </w:pPr>
                  <w:r>
                    <w:rPr>
                      <w:rFonts w:hint="default" w:ascii="Times New Roman" w:hAnsi="Times New Roman" w:cs="Times New Roman"/>
                      <w:b/>
                      <w:bCs/>
                      <w:kern w:val="0"/>
                      <w:sz w:val="21"/>
                      <w:szCs w:val="21"/>
                      <w:lang w:val="en-US" w:eastAsia="zh-CN"/>
                    </w:rPr>
                    <w:t>名称</w:t>
                  </w:r>
                </w:p>
              </w:tc>
              <w:tc>
                <w:tcPr>
                  <w:tcW w:w="690" w:type="dxa"/>
                  <w:shd w:val="clear" w:color="auto" w:fill="auto"/>
                  <w:vAlign w:val="center"/>
                </w:tcPr>
                <w:p w14:paraId="467281A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lang w:eastAsia="zh-CN"/>
                    </w:rPr>
                  </w:pPr>
                  <w:r>
                    <w:rPr>
                      <w:rFonts w:hint="default" w:ascii="Times New Roman" w:hAnsi="Times New Roman" w:cs="Times New Roman"/>
                      <w:b/>
                      <w:bCs/>
                      <w:kern w:val="0"/>
                      <w:sz w:val="21"/>
                      <w:szCs w:val="21"/>
                      <w:lang w:val="en-US" w:eastAsia="zh-CN"/>
                    </w:rPr>
                    <w:t>单位</w:t>
                  </w:r>
                </w:p>
              </w:tc>
              <w:tc>
                <w:tcPr>
                  <w:tcW w:w="990" w:type="dxa"/>
                  <w:shd w:val="clear" w:color="auto" w:fill="auto"/>
                  <w:vAlign w:val="center"/>
                </w:tcPr>
                <w:p w14:paraId="2AC11FD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年用量</w:t>
                  </w:r>
                </w:p>
              </w:tc>
              <w:tc>
                <w:tcPr>
                  <w:tcW w:w="1125" w:type="dxa"/>
                  <w:shd w:val="clear" w:color="auto" w:fill="auto"/>
                  <w:vAlign w:val="center"/>
                </w:tcPr>
                <w:p w14:paraId="66B5214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来源</w:t>
                  </w:r>
                </w:p>
              </w:tc>
              <w:tc>
                <w:tcPr>
                  <w:tcW w:w="2830" w:type="dxa"/>
                  <w:shd w:val="clear" w:color="auto" w:fill="auto"/>
                  <w:vAlign w:val="center"/>
                </w:tcPr>
                <w:p w14:paraId="1D67598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b/>
                      <w:bCs/>
                      <w:kern w:val="0"/>
                      <w:sz w:val="21"/>
                      <w:szCs w:val="21"/>
                      <w:lang w:val="en-US" w:eastAsia="zh-CN"/>
                    </w:rPr>
                  </w:pPr>
                  <w:r>
                    <w:rPr>
                      <w:rFonts w:hint="default" w:ascii="Times New Roman" w:hAnsi="Times New Roman" w:cs="Times New Roman"/>
                      <w:b/>
                      <w:bCs/>
                      <w:kern w:val="0"/>
                      <w:sz w:val="21"/>
                      <w:szCs w:val="21"/>
                      <w:lang w:val="en-US" w:eastAsia="zh-CN"/>
                    </w:rPr>
                    <w:t>备注</w:t>
                  </w:r>
                </w:p>
              </w:tc>
            </w:tr>
            <w:tr w14:paraId="73D9C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037" w:type="dxa"/>
                  <w:gridSpan w:val="6"/>
                  <w:shd w:val="clear" w:color="auto" w:fill="auto"/>
                  <w:vAlign w:val="center"/>
                </w:tcPr>
                <w:p w14:paraId="247D50E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b/>
                      <w:bCs/>
                      <w:kern w:val="0"/>
                      <w:sz w:val="21"/>
                      <w:szCs w:val="21"/>
                      <w:lang w:val="en-US" w:eastAsia="zh-CN"/>
                    </w:rPr>
                  </w:pPr>
                  <w:r>
                    <w:rPr>
                      <w:rFonts w:hint="eastAsia" w:ascii="Times New Roman" w:hAnsi="Times New Roman" w:cs="Times New Roman"/>
                      <w:b w:val="0"/>
                      <w:bCs w:val="0"/>
                      <w:color w:val="000000" w:themeColor="text1"/>
                      <w:kern w:val="0"/>
                      <w:sz w:val="21"/>
                      <w:szCs w:val="21"/>
                      <w:lang w:val="en-US" w:eastAsia="zh-CN"/>
                    </w:rPr>
                    <w:t>医用原料</w:t>
                  </w:r>
                </w:p>
              </w:tc>
            </w:tr>
            <w:tr w14:paraId="3C3D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92" w:type="dxa"/>
                  <w:shd w:val="clear" w:color="auto" w:fill="auto"/>
                  <w:vAlign w:val="center"/>
                </w:tcPr>
                <w:p w14:paraId="6C93996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w:t>
                  </w:r>
                </w:p>
              </w:tc>
              <w:tc>
                <w:tcPr>
                  <w:tcW w:w="1710" w:type="dxa"/>
                  <w:shd w:val="clear" w:color="auto" w:fill="auto"/>
                  <w:vAlign w:val="center"/>
                </w:tcPr>
                <w:p w14:paraId="57863F9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一次性薄膜手套</w:t>
                  </w:r>
                </w:p>
              </w:tc>
              <w:tc>
                <w:tcPr>
                  <w:tcW w:w="690" w:type="dxa"/>
                  <w:shd w:val="clear" w:color="auto" w:fill="auto"/>
                  <w:vAlign w:val="center"/>
                </w:tcPr>
                <w:p w14:paraId="455D161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双</w:t>
                  </w:r>
                </w:p>
              </w:tc>
              <w:tc>
                <w:tcPr>
                  <w:tcW w:w="990" w:type="dxa"/>
                  <w:shd w:val="clear" w:color="auto" w:fill="auto"/>
                  <w:vAlign w:val="center"/>
                </w:tcPr>
                <w:p w14:paraId="7C301BD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5000</w:t>
                  </w:r>
                </w:p>
              </w:tc>
              <w:tc>
                <w:tcPr>
                  <w:tcW w:w="1125" w:type="dxa"/>
                  <w:shd w:val="clear" w:color="auto" w:fill="auto"/>
                  <w:vAlign w:val="center"/>
                </w:tcPr>
                <w:p w14:paraId="5A3BB0F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集中采购</w:t>
                  </w:r>
                </w:p>
              </w:tc>
              <w:tc>
                <w:tcPr>
                  <w:tcW w:w="2830" w:type="dxa"/>
                  <w:shd w:val="clear" w:color="auto" w:fill="auto"/>
                  <w:vAlign w:val="center"/>
                </w:tcPr>
                <w:p w14:paraId="2546738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个人防护用品</w:t>
                  </w:r>
                </w:p>
              </w:tc>
            </w:tr>
            <w:tr w14:paraId="3BC2E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92" w:type="dxa"/>
                  <w:shd w:val="clear" w:color="auto" w:fill="auto"/>
                  <w:vAlign w:val="center"/>
                </w:tcPr>
                <w:p w14:paraId="3DDE15E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2</w:t>
                  </w:r>
                </w:p>
              </w:tc>
              <w:tc>
                <w:tcPr>
                  <w:tcW w:w="1710" w:type="dxa"/>
                  <w:shd w:val="clear" w:color="auto" w:fill="auto"/>
                  <w:vAlign w:val="center"/>
                </w:tcPr>
                <w:p w14:paraId="5FA64A4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一次性检查手套</w:t>
                  </w:r>
                </w:p>
              </w:tc>
              <w:tc>
                <w:tcPr>
                  <w:tcW w:w="690" w:type="dxa"/>
                  <w:shd w:val="clear" w:color="auto" w:fill="auto"/>
                  <w:vAlign w:val="center"/>
                </w:tcPr>
                <w:p w14:paraId="4006D4F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双</w:t>
                  </w:r>
                </w:p>
              </w:tc>
              <w:tc>
                <w:tcPr>
                  <w:tcW w:w="990" w:type="dxa"/>
                  <w:shd w:val="clear" w:color="auto" w:fill="auto"/>
                  <w:vAlign w:val="center"/>
                </w:tcPr>
                <w:p w14:paraId="1CDC520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31000</w:t>
                  </w:r>
                </w:p>
              </w:tc>
              <w:tc>
                <w:tcPr>
                  <w:tcW w:w="1125" w:type="dxa"/>
                  <w:shd w:val="clear" w:color="auto" w:fill="auto"/>
                  <w:vAlign w:val="center"/>
                </w:tcPr>
                <w:p w14:paraId="7BEA656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集中采购</w:t>
                  </w:r>
                </w:p>
              </w:tc>
              <w:tc>
                <w:tcPr>
                  <w:tcW w:w="2830" w:type="dxa"/>
                  <w:shd w:val="clear" w:color="auto" w:fill="auto"/>
                  <w:vAlign w:val="center"/>
                </w:tcPr>
                <w:p w14:paraId="46D759B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个人防护用品</w:t>
                  </w:r>
                </w:p>
              </w:tc>
            </w:tr>
            <w:tr w14:paraId="4805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92" w:type="dxa"/>
                  <w:shd w:val="clear" w:color="auto" w:fill="auto"/>
                  <w:vAlign w:val="center"/>
                </w:tcPr>
                <w:p w14:paraId="34609AA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3</w:t>
                  </w:r>
                </w:p>
              </w:tc>
              <w:tc>
                <w:tcPr>
                  <w:tcW w:w="1710" w:type="dxa"/>
                  <w:shd w:val="clear" w:color="auto" w:fill="auto"/>
                  <w:vAlign w:val="center"/>
                </w:tcPr>
                <w:p w14:paraId="6F4CA94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橡胶外科手套</w:t>
                  </w:r>
                </w:p>
              </w:tc>
              <w:tc>
                <w:tcPr>
                  <w:tcW w:w="690" w:type="dxa"/>
                  <w:shd w:val="clear" w:color="auto" w:fill="auto"/>
                  <w:vAlign w:val="center"/>
                </w:tcPr>
                <w:p w14:paraId="4EB5CB5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双</w:t>
                  </w:r>
                </w:p>
              </w:tc>
              <w:tc>
                <w:tcPr>
                  <w:tcW w:w="990" w:type="dxa"/>
                  <w:shd w:val="clear" w:color="auto" w:fill="auto"/>
                  <w:vAlign w:val="center"/>
                </w:tcPr>
                <w:p w14:paraId="48CAF7E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9200</w:t>
                  </w:r>
                </w:p>
              </w:tc>
              <w:tc>
                <w:tcPr>
                  <w:tcW w:w="1125" w:type="dxa"/>
                  <w:shd w:val="clear" w:color="auto" w:fill="auto"/>
                  <w:vAlign w:val="center"/>
                </w:tcPr>
                <w:p w14:paraId="0CAE611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集中采购</w:t>
                  </w:r>
                </w:p>
              </w:tc>
              <w:tc>
                <w:tcPr>
                  <w:tcW w:w="2830" w:type="dxa"/>
                  <w:shd w:val="clear" w:color="auto" w:fill="auto"/>
                  <w:vAlign w:val="center"/>
                </w:tcPr>
                <w:p w14:paraId="53A9AEA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个人防护用品</w:t>
                  </w:r>
                </w:p>
              </w:tc>
            </w:tr>
            <w:tr w14:paraId="613E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92" w:type="dxa"/>
                  <w:shd w:val="clear" w:color="auto" w:fill="auto"/>
                  <w:vAlign w:val="center"/>
                </w:tcPr>
                <w:p w14:paraId="6A6EDD8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w:t>
                  </w:r>
                </w:p>
              </w:tc>
              <w:tc>
                <w:tcPr>
                  <w:tcW w:w="1710" w:type="dxa"/>
                  <w:shd w:val="clear" w:color="auto" w:fill="auto"/>
                  <w:vAlign w:val="center"/>
                </w:tcPr>
                <w:p w14:paraId="1B868D8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一次性注射器</w:t>
                  </w:r>
                </w:p>
              </w:tc>
              <w:tc>
                <w:tcPr>
                  <w:tcW w:w="690" w:type="dxa"/>
                  <w:shd w:val="clear" w:color="auto" w:fill="auto"/>
                  <w:vAlign w:val="center"/>
                </w:tcPr>
                <w:p w14:paraId="1484A6A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支</w:t>
                  </w:r>
                </w:p>
              </w:tc>
              <w:tc>
                <w:tcPr>
                  <w:tcW w:w="990" w:type="dxa"/>
                  <w:shd w:val="clear" w:color="auto" w:fill="auto"/>
                  <w:vAlign w:val="center"/>
                </w:tcPr>
                <w:p w14:paraId="47BC197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109640</w:t>
                  </w:r>
                </w:p>
              </w:tc>
              <w:tc>
                <w:tcPr>
                  <w:tcW w:w="1125" w:type="dxa"/>
                  <w:shd w:val="clear" w:color="auto" w:fill="auto"/>
                  <w:vAlign w:val="center"/>
                </w:tcPr>
                <w:p w14:paraId="45B4463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集中采购</w:t>
                  </w:r>
                </w:p>
              </w:tc>
              <w:tc>
                <w:tcPr>
                  <w:tcW w:w="2830" w:type="dxa"/>
                  <w:shd w:val="clear" w:color="auto" w:fill="auto"/>
                  <w:vAlign w:val="center"/>
                </w:tcPr>
                <w:p w14:paraId="1BC253B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耗材</w:t>
                  </w:r>
                </w:p>
              </w:tc>
            </w:tr>
            <w:tr w14:paraId="71E8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692" w:type="dxa"/>
                  <w:shd w:val="clear" w:color="auto" w:fill="auto"/>
                  <w:vAlign w:val="center"/>
                </w:tcPr>
                <w:p w14:paraId="3A1E286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w:t>
                  </w:r>
                </w:p>
              </w:tc>
              <w:tc>
                <w:tcPr>
                  <w:tcW w:w="1710" w:type="dxa"/>
                  <w:shd w:val="clear" w:color="auto" w:fill="auto"/>
                  <w:vAlign w:val="center"/>
                </w:tcPr>
                <w:p w14:paraId="1570679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一次性输液器</w:t>
                  </w:r>
                </w:p>
              </w:tc>
              <w:tc>
                <w:tcPr>
                  <w:tcW w:w="690" w:type="dxa"/>
                  <w:shd w:val="clear" w:color="auto" w:fill="auto"/>
                  <w:vAlign w:val="center"/>
                </w:tcPr>
                <w:p w14:paraId="41BA91F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支</w:t>
                  </w:r>
                </w:p>
              </w:tc>
              <w:tc>
                <w:tcPr>
                  <w:tcW w:w="990" w:type="dxa"/>
                  <w:shd w:val="clear" w:color="auto" w:fill="auto"/>
                  <w:vAlign w:val="center"/>
                </w:tcPr>
                <w:p w14:paraId="723F30F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51105</w:t>
                  </w:r>
                </w:p>
              </w:tc>
              <w:tc>
                <w:tcPr>
                  <w:tcW w:w="1125" w:type="dxa"/>
                  <w:shd w:val="clear" w:color="auto" w:fill="auto"/>
                  <w:vAlign w:val="center"/>
                </w:tcPr>
                <w:p w14:paraId="1C7800B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集中采购</w:t>
                  </w:r>
                </w:p>
              </w:tc>
              <w:tc>
                <w:tcPr>
                  <w:tcW w:w="2830" w:type="dxa"/>
                  <w:shd w:val="clear" w:color="auto" w:fill="auto"/>
                  <w:vAlign w:val="center"/>
                </w:tcPr>
                <w:p w14:paraId="6B12AE5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耗材</w:t>
                  </w:r>
                </w:p>
              </w:tc>
            </w:tr>
            <w:tr w14:paraId="4E5D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63F0E67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6</w:t>
                  </w:r>
                </w:p>
              </w:tc>
              <w:tc>
                <w:tcPr>
                  <w:tcW w:w="1710" w:type="dxa"/>
                  <w:shd w:val="clear" w:color="auto" w:fill="auto"/>
                  <w:vAlign w:val="center"/>
                </w:tcPr>
                <w:p w14:paraId="0C7A044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一次性医用口罩</w:t>
                  </w:r>
                </w:p>
              </w:tc>
              <w:tc>
                <w:tcPr>
                  <w:tcW w:w="690" w:type="dxa"/>
                  <w:shd w:val="clear" w:color="auto" w:fill="auto"/>
                  <w:vAlign w:val="center"/>
                </w:tcPr>
                <w:p w14:paraId="0B667A7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只</w:t>
                  </w:r>
                </w:p>
              </w:tc>
              <w:tc>
                <w:tcPr>
                  <w:tcW w:w="990" w:type="dxa"/>
                  <w:shd w:val="clear" w:color="auto" w:fill="auto"/>
                  <w:vAlign w:val="center"/>
                </w:tcPr>
                <w:p w14:paraId="792E5E5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61150</w:t>
                  </w:r>
                </w:p>
              </w:tc>
              <w:tc>
                <w:tcPr>
                  <w:tcW w:w="1125" w:type="dxa"/>
                  <w:shd w:val="clear" w:color="auto" w:fill="auto"/>
                  <w:vAlign w:val="center"/>
                </w:tcPr>
                <w:p w14:paraId="4B479D6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集中采购</w:t>
                  </w:r>
                </w:p>
              </w:tc>
              <w:tc>
                <w:tcPr>
                  <w:tcW w:w="2830" w:type="dxa"/>
                  <w:shd w:val="clear" w:color="auto" w:fill="auto"/>
                  <w:vAlign w:val="center"/>
                </w:tcPr>
                <w:p w14:paraId="191BFCF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个人防护用品</w:t>
                  </w:r>
                </w:p>
              </w:tc>
            </w:tr>
            <w:tr w14:paraId="5A8B9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3E87E10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7</w:t>
                  </w:r>
                </w:p>
              </w:tc>
              <w:tc>
                <w:tcPr>
                  <w:tcW w:w="1710" w:type="dxa"/>
                  <w:shd w:val="clear" w:color="auto" w:fill="auto"/>
                  <w:vAlign w:val="center"/>
                </w:tcPr>
                <w:p w14:paraId="0169BBE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纱布</w:t>
                  </w:r>
                </w:p>
              </w:tc>
              <w:tc>
                <w:tcPr>
                  <w:tcW w:w="690" w:type="dxa"/>
                  <w:shd w:val="clear" w:color="auto" w:fill="auto"/>
                  <w:vAlign w:val="center"/>
                </w:tcPr>
                <w:p w14:paraId="5FAB8E3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块</w:t>
                  </w:r>
                </w:p>
              </w:tc>
              <w:tc>
                <w:tcPr>
                  <w:tcW w:w="990" w:type="dxa"/>
                  <w:shd w:val="clear" w:color="auto" w:fill="auto"/>
                  <w:vAlign w:val="center"/>
                </w:tcPr>
                <w:p w14:paraId="47B0CB0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49658</w:t>
                  </w:r>
                </w:p>
              </w:tc>
              <w:tc>
                <w:tcPr>
                  <w:tcW w:w="1125" w:type="dxa"/>
                  <w:shd w:val="clear" w:color="auto" w:fill="auto"/>
                  <w:vAlign w:val="center"/>
                </w:tcPr>
                <w:p w14:paraId="2065AE6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集中采购</w:t>
                  </w:r>
                </w:p>
              </w:tc>
              <w:tc>
                <w:tcPr>
                  <w:tcW w:w="2830" w:type="dxa"/>
                  <w:shd w:val="clear" w:color="auto" w:fill="auto"/>
                  <w:vAlign w:val="center"/>
                </w:tcPr>
                <w:p w14:paraId="4AD0F7E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lang w:val="en-US" w:eastAsia="zh-CN"/>
                    </w:rPr>
                  </w:pPr>
                  <w:r>
                    <w:rPr>
                      <w:rFonts w:hint="default" w:ascii="Times New Roman" w:hAnsi="Times New Roman" w:eastAsia="宋体" w:cs="Times New Roman"/>
                      <w:kern w:val="0"/>
                      <w:sz w:val="21"/>
                      <w:szCs w:val="21"/>
                      <w:lang w:val="en-US" w:eastAsia="zh-CN"/>
                    </w:rPr>
                    <w:t>耗材</w:t>
                  </w:r>
                </w:p>
              </w:tc>
            </w:tr>
            <w:tr w14:paraId="31AD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315F740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8</w:t>
                  </w:r>
                </w:p>
              </w:tc>
              <w:tc>
                <w:tcPr>
                  <w:tcW w:w="1710" w:type="dxa"/>
                  <w:shd w:val="clear" w:color="auto" w:fill="auto"/>
                  <w:vAlign w:val="center"/>
                </w:tcPr>
                <w:p w14:paraId="79E854A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各类药品</w:t>
                  </w:r>
                </w:p>
              </w:tc>
              <w:tc>
                <w:tcPr>
                  <w:tcW w:w="690" w:type="dxa"/>
                  <w:shd w:val="clear" w:color="auto" w:fill="auto"/>
                  <w:vAlign w:val="center"/>
                </w:tcPr>
                <w:p w14:paraId="3BF5B6B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盒</w:t>
                  </w:r>
                </w:p>
              </w:tc>
              <w:tc>
                <w:tcPr>
                  <w:tcW w:w="990" w:type="dxa"/>
                  <w:shd w:val="clear" w:color="auto" w:fill="auto"/>
                  <w:vAlign w:val="center"/>
                </w:tcPr>
                <w:p w14:paraId="7D4913F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若干</w:t>
                  </w:r>
                </w:p>
              </w:tc>
              <w:tc>
                <w:tcPr>
                  <w:tcW w:w="1125" w:type="dxa"/>
                  <w:shd w:val="clear" w:color="auto" w:fill="auto"/>
                  <w:vAlign w:val="center"/>
                </w:tcPr>
                <w:p w14:paraId="1A4FE47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集中采购</w:t>
                  </w:r>
                </w:p>
              </w:tc>
              <w:tc>
                <w:tcPr>
                  <w:tcW w:w="2830" w:type="dxa"/>
                  <w:shd w:val="clear" w:color="auto" w:fill="auto"/>
                  <w:vAlign w:val="center"/>
                </w:tcPr>
                <w:p w14:paraId="2D992BD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医疗</w:t>
                  </w:r>
                </w:p>
              </w:tc>
            </w:tr>
            <w:tr w14:paraId="546E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684860C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9</w:t>
                  </w:r>
                </w:p>
              </w:tc>
              <w:tc>
                <w:tcPr>
                  <w:tcW w:w="1710" w:type="dxa"/>
                  <w:shd w:val="clear" w:color="auto" w:fill="auto"/>
                  <w:vAlign w:val="center"/>
                </w:tcPr>
                <w:p w14:paraId="028AFB5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成品检测试剂盒</w:t>
                  </w:r>
                </w:p>
              </w:tc>
              <w:tc>
                <w:tcPr>
                  <w:tcW w:w="690" w:type="dxa"/>
                  <w:shd w:val="clear" w:color="auto" w:fill="auto"/>
                  <w:vAlign w:val="center"/>
                </w:tcPr>
                <w:p w14:paraId="5E6BF9F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箱</w:t>
                  </w:r>
                </w:p>
              </w:tc>
              <w:tc>
                <w:tcPr>
                  <w:tcW w:w="990" w:type="dxa"/>
                  <w:shd w:val="clear" w:color="auto" w:fill="auto"/>
                  <w:vAlign w:val="center"/>
                </w:tcPr>
                <w:p w14:paraId="3DEDD32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20</w:t>
                  </w:r>
                </w:p>
              </w:tc>
              <w:tc>
                <w:tcPr>
                  <w:tcW w:w="1125" w:type="dxa"/>
                  <w:shd w:val="clear" w:color="auto" w:fill="auto"/>
                  <w:vAlign w:val="center"/>
                </w:tcPr>
                <w:p w14:paraId="48CD138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集中采购</w:t>
                  </w:r>
                </w:p>
              </w:tc>
              <w:tc>
                <w:tcPr>
                  <w:tcW w:w="2830" w:type="dxa"/>
                  <w:shd w:val="clear" w:color="auto" w:fill="auto"/>
                  <w:vAlign w:val="center"/>
                </w:tcPr>
                <w:p w14:paraId="5060639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检验</w:t>
                  </w:r>
                </w:p>
              </w:tc>
            </w:tr>
            <w:tr w14:paraId="345D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32566AB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10</w:t>
                  </w:r>
                </w:p>
              </w:tc>
              <w:tc>
                <w:tcPr>
                  <w:tcW w:w="1710" w:type="dxa"/>
                  <w:shd w:val="clear" w:color="auto" w:fill="auto"/>
                  <w:vAlign w:val="center"/>
                </w:tcPr>
                <w:p w14:paraId="365C477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酒精</w:t>
                  </w:r>
                </w:p>
              </w:tc>
              <w:tc>
                <w:tcPr>
                  <w:tcW w:w="690" w:type="dxa"/>
                  <w:shd w:val="clear" w:color="auto" w:fill="auto"/>
                  <w:vAlign w:val="center"/>
                </w:tcPr>
                <w:p w14:paraId="5F20A1A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瓶</w:t>
                  </w:r>
                </w:p>
              </w:tc>
              <w:tc>
                <w:tcPr>
                  <w:tcW w:w="990" w:type="dxa"/>
                  <w:shd w:val="clear" w:color="auto" w:fill="auto"/>
                  <w:vAlign w:val="center"/>
                </w:tcPr>
                <w:p w14:paraId="66360EC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990</w:t>
                  </w:r>
                </w:p>
              </w:tc>
              <w:tc>
                <w:tcPr>
                  <w:tcW w:w="1125" w:type="dxa"/>
                  <w:shd w:val="clear" w:color="auto" w:fill="auto"/>
                  <w:vAlign w:val="center"/>
                </w:tcPr>
                <w:p w14:paraId="56A590A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lang w:val="en-US" w:eastAsia="zh-CN"/>
                    </w:rPr>
                    <w:t>集中采购</w:t>
                  </w:r>
                </w:p>
              </w:tc>
              <w:tc>
                <w:tcPr>
                  <w:tcW w:w="2830" w:type="dxa"/>
                  <w:shd w:val="clear" w:color="auto" w:fill="auto"/>
                  <w:vAlign w:val="center"/>
                </w:tcPr>
                <w:p w14:paraId="639EE42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highlight w:val="none"/>
                      <w:lang w:val="en-US" w:eastAsia="zh-CN"/>
                    </w:rPr>
                    <w:t>500mL/瓶</w:t>
                  </w:r>
                  <w:r>
                    <w:rPr>
                      <w:rFonts w:hint="default" w:ascii="Times New Roman" w:hAnsi="Times New Roman" w:cs="Times New Roman"/>
                      <w:color w:val="000000" w:themeColor="text1"/>
                      <w:kern w:val="0"/>
                      <w:sz w:val="21"/>
                      <w:szCs w:val="21"/>
                      <w:highlight w:val="none"/>
                      <w:lang w:val="en-US" w:eastAsia="zh-CN"/>
                    </w:rPr>
                    <w:t>，最大暂存量0.1t</w:t>
                  </w:r>
                </w:p>
              </w:tc>
            </w:tr>
            <w:tr w14:paraId="3F9BA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037" w:type="dxa"/>
                  <w:gridSpan w:val="6"/>
                  <w:shd w:val="clear" w:color="auto" w:fill="auto"/>
                  <w:vAlign w:val="center"/>
                </w:tcPr>
                <w:p w14:paraId="76744FD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rPr>
                  </w:pPr>
                  <w:r>
                    <w:rPr>
                      <w:rFonts w:hint="eastAsia" w:ascii="Times New Roman" w:hAnsi="Times New Roman" w:cs="Times New Roman"/>
                      <w:color w:val="000000" w:themeColor="text1"/>
                      <w:kern w:val="0"/>
                      <w:sz w:val="21"/>
                      <w:szCs w:val="21"/>
                      <w:highlight w:val="none"/>
                      <w:lang w:val="en-US" w:eastAsia="zh-CN"/>
                    </w:rPr>
                    <w:t>辅料</w:t>
                  </w:r>
                </w:p>
              </w:tc>
            </w:tr>
            <w:tr w14:paraId="359D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447DC9C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11</w:t>
                  </w:r>
                </w:p>
              </w:tc>
              <w:tc>
                <w:tcPr>
                  <w:tcW w:w="1710" w:type="dxa"/>
                  <w:shd w:val="clear" w:color="auto" w:fill="auto"/>
                  <w:vAlign w:val="center"/>
                </w:tcPr>
                <w:p w14:paraId="17F5F1E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84消毒液</w:t>
                  </w:r>
                </w:p>
              </w:tc>
              <w:tc>
                <w:tcPr>
                  <w:tcW w:w="690" w:type="dxa"/>
                  <w:shd w:val="clear" w:color="auto" w:fill="auto"/>
                  <w:vAlign w:val="center"/>
                </w:tcPr>
                <w:p w14:paraId="34DE4CF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瓶</w:t>
                  </w:r>
                </w:p>
              </w:tc>
              <w:tc>
                <w:tcPr>
                  <w:tcW w:w="990" w:type="dxa"/>
                  <w:shd w:val="clear" w:color="auto" w:fill="auto"/>
                  <w:vAlign w:val="center"/>
                </w:tcPr>
                <w:p w14:paraId="25CA51B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100</w:t>
                  </w:r>
                </w:p>
              </w:tc>
              <w:tc>
                <w:tcPr>
                  <w:tcW w:w="1125" w:type="dxa"/>
                  <w:shd w:val="clear" w:color="auto" w:fill="auto"/>
                  <w:vAlign w:val="center"/>
                </w:tcPr>
                <w:p w14:paraId="69D7E6C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集中采购</w:t>
                  </w:r>
                </w:p>
              </w:tc>
              <w:tc>
                <w:tcPr>
                  <w:tcW w:w="2830" w:type="dxa"/>
                  <w:shd w:val="clear" w:color="auto" w:fill="auto"/>
                  <w:vAlign w:val="center"/>
                </w:tcPr>
                <w:p w14:paraId="649E7D5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highlight w:val="none"/>
                      <w:lang w:val="en-US" w:eastAsia="zh-CN"/>
                    </w:rPr>
                  </w:pPr>
                  <w:r>
                    <w:rPr>
                      <w:rFonts w:hint="default" w:ascii="Times New Roman" w:hAnsi="Times New Roman" w:cs="Times New Roman"/>
                      <w:color w:val="000000" w:themeColor="text1"/>
                      <w:kern w:val="0"/>
                      <w:sz w:val="21"/>
                      <w:szCs w:val="21"/>
                      <w:highlight w:val="none"/>
                      <w:lang w:val="en-US" w:eastAsia="zh-CN"/>
                    </w:rPr>
                    <w:t>5L/瓶，最大暂存量0.1t</w:t>
                  </w:r>
                </w:p>
              </w:tc>
            </w:tr>
            <w:tr w14:paraId="462D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53012B6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val="en-US" w:eastAsia="zh-CN"/>
                    </w:rPr>
                    <w:t>12</w:t>
                  </w:r>
                </w:p>
              </w:tc>
              <w:tc>
                <w:tcPr>
                  <w:tcW w:w="1710" w:type="dxa"/>
                  <w:shd w:val="clear" w:color="auto" w:fill="auto"/>
                  <w:vAlign w:val="center"/>
                </w:tcPr>
                <w:p w14:paraId="5CBBDC6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val="en-US" w:eastAsia="zh-CN"/>
                    </w:rPr>
                    <w:t>二氯异氰尿酸钠</w:t>
                  </w:r>
                </w:p>
              </w:tc>
              <w:tc>
                <w:tcPr>
                  <w:tcW w:w="690" w:type="dxa"/>
                  <w:shd w:val="clear" w:color="auto" w:fill="auto"/>
                  <w:vAlign w:val="center"/>
                </w:tcPr>
                <w:p w14:paraId="722FD73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val="en-US" w:eastAsia="zh-CN"/>
                    </w:rPr>
                    <w:t>t</w:t>
                  </w:r>
                </w:p>
              </w:tc>
              <w:tc>
                <w:tcPr>
                  <w:tcW w:w="990" w:type="dxa"/>
                  <w:shd w:val="clear" w:color="auto" w:fill="auto"/>
                  <w:vAlign w:val="center"/>
                </w:tcPr>
                <w:p w14:paraId="4020806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val="en-US" w:eastAsia="zh-CN"/>
                    </w:rPr>
                    <w:t>1.8</w:t>
                  </w:r>
                </w:p>
              </w:tc>
              <w:tc>
                <w:tcPr>
                  <w:tcW w:w="1125" w:type="dxa"/>
                  <w:shd w:val="clear" w:color="auto" w:fill="auto"/>
                  <w:vAlign w:val="center"/>
                </w:tcPr>
                <w:p w14:paraId="309FA809">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val="en-US" w:eastAsia="zh-CN"/>
                    </w:rPr>
                    <w:t>外购</w:t>
                  </w:r>
                </w:p>
              </w:tc>
              <w:tc>
                <w:tcPr>
                  <w:tcW w:w="2830" w:type="dxa"/>
                  <w:shd w:val="clear" w:color="auto" w:fill="auto"/>
                  <w:vAlign w:val="center"/>
                </w:tcPr>
                <w:p w14:paraId="13083E0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val="en-US" w:eastAsia="zh-CN"/>
                    </w:rPr>
                    <w:t>粉剂，袋装，25kg/袋，最大暂存量0.5t，用于污水消毒</w:t>
                  </w:r>
                  <w:r>
                    <w:rPr>
                      <w:rFonts w:hint="eastAsia" w:cs="Times New Roman"/>
                      <w:color w:val="000000" w:themeColor="text1"/>
                      <w:kern w:val="0"/>
                      <w:sz w:val="21"/>
                      <w:szCs w:val="21"/>
                      <w:u w:val="single"/>
                      <w:lang w:val="en-US" w:eastAsia="zh-CN"/>
                    </w:rPr>
                    <w:t>（综合污水处理站、传染病废水预处理系统均使用）</w:t>
                  </w:r>
                </w:p>
              </w:tc>
            </w:tr>
            <w:tr w14:paraId="4B41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2F09C787">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13</w:t>
                  </w:r>
                </w:p>
              </w:tc>
              <w:tc>
                <w:tcPr>
                  <w:tcW w:w="1710" w:type="dxa"/>
                  <w:shd w:val="clear" w:color="auto" w:fill="auto"/>
                  <w:vAlign w:val="center"/>
                </w:tcPr>
                <w:p w14:paraId="30E5B06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氢氧化钠</w:t>
                  </w:r>
                </w:p>
              </w:tc>
              <w:tc>
                <w:tcPr>
                  <w:tcW w:w="690" w:type="dxa"/>
                  <w:shd w:val="clear" w:color="auto" w:fill="auto"/>
                  <w:vAlign w:val="center"/>
                </w:tcPr>
                <w:p w14:paraId="397A487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t</w:t>
                  </w:r>
                </w:p>
              </w:tc>
              <w:tc>
                <w:tcPr>
                  <w:tcW w:w="990" w:type="dxa"/>
                  <w:shd w:val="clear" w:color="auto" w:fill="auto"/>
                  <w:vAlign w:val="center"/>
                </w:tcPr>
                <w:p w14:paraId="2AAEF6D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0.3</w:t>
                  </w:r>
                </w:p>
              </w:tc>
              <w:tc>
                <w:tcPr>
                  <w:tcW w:w="1125" w:type="dxa"/>
                  <w:shd w:val="clear" w:color="auto" w:fill="auto"/>
                  <w:vAlign w:val="center"/>
                </w:tcPr>
                <w:p w14:paraId="332E0FDB">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外购</w:t>
                  </w:r>
                </w:p>
              </w:tc>
              <w:tc>
                <w:tcPr>
                  <w:tcW w:w="2830" w:type="dxa"/>
                  <w:shd w:val="clear" w:color="auto" w:fill="auto"/>
                  <w:vAlign w:val="center"/>
                </w:tcPr>
                <w:p w14:paraId="7F83FB2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固体、袋装、25kg/袋、最大储存量0.1t，用于污水站臭气处理系统中的碱水喷淋塔</w:t>
                  </w:r>
                </w:p>
              </w:tc>
            </w:tr>
            <w:tr w14:paraId="1C18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7119698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14</w:t>
                  </w:r>
                </w:p>
              </w:tc>
              <w:tc>
                <w:tcPr>
                  <w:tcW w:w="1710" w:type="dxa"/>
                  <w:shd w:val="clear" w:color="auto" w:fill="auto"/>
                  <w:vAlign w:val="center"/>
                </w:tcPr>
                <w:p w14:paraId="7AD7402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活性炭</w:t>
                  </w:r>
                </w:p>
              </w:tc>
              <w:tc>
                <w:tcPr>
                  <w:tcW w:w="690" w:type="dxa"/>
                  <w:shd w:val="clear" w:color="auto" w:fill="auto"/>
                  <w:vAlign w:val="center"/>
                </w:tcPr>
                <w:p w14:paraId="2CBA911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t</w:t>
                  </w:r>
                </w:p>
              </w:tc>
              <w:tc>
                <w:tcPr>
                  <w:tcW w:w="990" w:type="dxa"/>
                  <w:shd w:val="clear" w:color="auto" w:fill="auto"/>
                  <w:vAlign w:val="center"/>
                </w:tcPr>
                <w:p w14:paraId="13038DA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eastAsia" w:cs="Times New Roman"/>
                      <w:color w:val="000000" w:themeColor="text1"/>
                      <w:kern w:val="0"/>
                      <w:sz w:val="21"/>
                      <w:szCs w:val="21"/>
                      <w:highlight w:val="none"/>
                      <w:lang w:val="en-US" w:eastAsia="zh-CN"/>
                    </w:rPr>
                    <w:t>1.0</w:t>
                  </w:r>
                </w:p>
              </w:tc>
              <w:tc>
                <w:tcPr>
                  <w:tcW w:w="1125" w:type="dxa"/>
                  <w:shd w:val="clear" w:color="auto" w:fill="auto"/>
                  <w:vAlign w:val="center"/>
                </w:tcPr>
                <w:p w14:paraId="6112B48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default" w:ascii="Times New Roman" w:hAnsi="Times New Roman" w:cs="Times New Roman"/>
                      <w:color w:val="000000" w:themeColor="text1"/>
                      <w:kern w:val="0"/>
                      <w:sz w:val="21"/>
                      <w:szCs w:val="21"/>
                      <w:highlight w:val="none"/>
                      <w:lang w:val="en-US" w:eastAsia="zh-CN"/>
                    </w:rPr>
                    <w:t>外购</w:t>
                  </w:r>
                </w:p>
              </w:tc>
              <w:tc>
                <w:tcPr>
                  <w:tcW w:w="2830" w:type="dxa"/>
                  <w:shd w:val="clear" w:color="auto" w:fill="auto"/>
                  <w:vAlign w:val="center"/>
                </w:tcPr>
                <w:p w14:paraId="7EBBA4FE">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default" w:ascii="Times New Roman" w:hAnsi="Times New Roman" w:cs="Times New Roman"/>
                      <w:color w:val="000000" w:themeColor="text1"/>
                      <w:kern w:val="0"/>
                      <w:sz w:val="21"/>
                      <w:szCs w:val="21"/>
                      <w:highlight w:val="none"/>
                      <w:lang w:val="en-US" w:eastAsia="zh-CN"/>
                    </w:rPr>
                    <w:t>固体，最大储存量0.</w:t>
                  </w:r>
                  <w:r>
                    <w:rPr>
                      <w:rFonts w:hint="eastAsia" w:cs="Times New Roman"/>
                      <w:color w:val="000000" w:themeColor="text1"/>
                      <w:kern w:val="0"/>
                      <w:sz w:val="21"/>
                      <w:szCs w:val="21"/>
                      <w:highlight w:val="none"/>
                      <w:lang w:val="en-US" w:eastAsia="zh-CN"/>
                    </w:rPr>
                    <w:t>2</w:t>
                  </w:r>
                  <w:r>
                    <w:rPr>
                      <w:rFonts w:hint="default" w:ascii="Times New Roman" w:hAnsi="Times New Roman" w:cs="Times New Roman"/>
                      <w:color w:val="000000" w:themeColor="text1"/>
                      <w:kern w:val="0"/>
                      <w:sz w:val="21"/>
                      <w:szCs w:val="21"/>
                      <w:highlight w:val="none"/>
                      <w:lang w:val="en-US" w:eastAsia="zh-CN"/>
                    </w:rPr>
                    <w:t>5t，用于污水站恶臭废气处理</w:t>
                  </w:r>
                </w:p>
              </w:tc>
            </w:tr>
            <w:tr w14:paraId="2E28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78857070">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15</w:t>
                  </w:r>
                </w:p>
              </w:tc>
              <w:tc>
                <w:tcPr>
                  <w:tcW w:w="1710" w:type="dxa"/>
                  <w:shd w:val="clear" w:color="auto" w:fill="auto"/>
                  <w:vAlign w:val="center"/>
                </w:tcPr>
                <w:p w14:paraId="4F0E6B8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eastAsia" w:cs="Times New Roman"/>
                      <w:color w:val="000000" w:themeColor="text1"/>
                      <w:kern w:val="0"/>
                      <w:sz w:val="21"/>
                      <w:szCs w:val="21"/>
                      <w:lang w:val="en-US" w:eastAsia="zh-CN"/>
                    </w:rPr>
                    <w:t>熟石灰（氢氧化钙）</w:t>
                  </w:r>
                </w:p>
              </w:tc>
              <w:tc>
                <w:tcPr>
                  <w:tcW w:w="690" w:type="dxa"/>
                  <w:shd w:val="clear" w:color="auto" w:fill="auto"/>
                  <w:vAlign w:val="center"/>
                </w:tcPr>
                <w:p w14:paraId="598B273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t</w:t>
                  </w:r>
                </w:p>
              </w:tc>
              <w:tc>
                <w:tcPr>
                  <w:tcW w:w="990" w:type="dxa"/>
                  <w:shd w:val="clear" w:color="auto" w:fill="auto"/>
                  <w:vAlign w:val="center"/>
                </w:tcPr>
                <w:p w14:paraId="4A5C23A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highlight w:val="none"/>
                      <w:lang w:val="en-US" w:eastAsia="zh-CN"/>
                    </w:rPr>
                    <w:t>0.165</w:t>
                  </w:r>
                </w:p>
              </w:tc>
              <w:tc>
                <w:tcPr>
                  <w:tcW w:w="1125" w:type="dxa"/>
                  <w:shd w:val="clear" w:color="auto" w:fill="auto"/>
                  <w:vAlign w:val="center"/>
                </w:tcPr>
                <w:p w14:paraId="1225F6E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外购</w:t>
                  </w:r>
                </w:p>
              </w:tc>
              <w:tc>
                <w:tcPr>
                  <w:tcW w:w="2830" w:type="dxa"/>
                  <w:shd w:val="clear" w:color="auto" w:fill="auto"/>
                  <w:vAlign w:val="center"/>
                </w:tcPr>
                <w:p w14:paraId="2A97786A">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lang w:val="en-US" w:eastAsia="zh-CN"/>
                    </w:rPr>
                  </w:pPr>
                  <w:r>
                    <w:rPr>
                      <w:rFonts w:hint="default" w:ascii="Times New Roman" w:hAnsi="Times New Roman" w:cs="Times New Roman"/>
                      <w:color w:val="000000" w:themeColor="text1"/>
                      <w:kern w:val="0"/>
                      <w:sz w:val="21"/>
                      <w:szCs w:val="21"/>
                      <w:lang w:val="en-US" w:eastAsia="zh-CN"/>
                    </w:rPr>
                    <w:t>粉状，25kg/袋，最大储存量0.05t，用于污泥消毒</w:t>
                  </w:r>
                </w:p>
              </w:tc>
            </w:tr>
            <w:tr w14:paraId="1F7E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037" w:type="dxa"/>
                  <w:gridSpan w:val="6"/>
                  <w:shd w:val="clear" w:color="auto" w:fill="auto"/>
                  <w:vAlign w:val="center"/>
                </w:tcPr>
                <w:p w14:paraId="418B953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FF0000"/>
                      <w:kern w:val="0"/>
                      <w:sz w:val="21"/>
                      <w:szCs w:val="21"/>
                      <w:lang w:val="en-US" w:eastAsia="zh-CN"/>
                    </w:rPr>
                  </w:pPr>
                  <w:r>
                    <w:rPr>
                      <w:rFonts w:hint="eastAsia" w:ascii="Times New Roman" w:hAnsi="Times New Roman" w:cs="Times New Roman"/>
                      <w:color w:val="000000" w:themeColor="text1"/>
                      <w:kern w:val="0"/>
                      <w:sz w:val="21"/>
                      <w:szCs w:val="21"/>
                      <w:lang w:val="en-US" w:eastAsia="zh-CN"/>
                    </w:rPr>
                    <w:t>能源</w:t>
                  </w:r>
                </w:p>
              </w:tc>
            </w:tr>
            <w:tr w14:paraId="348E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41BB2948">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FF0000"/>
                      <w:kern w:val="0"/>
                      <w:sz w:val="21"/>
                      <w:szCs w:val="21"/>
                      <w:lang w:val="en-US" w:eastAsia="zh-CN"/>
                    </w:rPr>
                  </w:pPr>
                  <w:r>
                    <w:rPr>
                      <w:rFonts w:hint="eastAsia" w:ascii="Times New Roman" w:hAnsi="Times New Roman" w:cs="Times New Roman"/>
                      <w:color w:val="000000" w:themeColor="text1"/>
                      <w:kern w:val="0"/>
                      <w:sz w:val="21"/>
                      <w:szCs w:val="21"/>
                      <w:lang w:val="en-US" w:eastAsia="zh-CN"/>
                    </w:rPr>
                    <w:t>16</w:t>
                  </w:r>
                </w:p>
              </w:tc>
              <w:tc>
                <w:tcPr>
                  <w:tcW w:w="1710" w:type="dxa"/>
                  <w:shd w:val="clear" w:color="auto" w:fill="auto"/>
                  <w:vAlign w:val="center"/>
                </w:tcPr>
                <w:p w14:paraId="0A01FD0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FF0000"/>
                      <w:kern w:val="0"/>
                      <w:sz w:val="21"/>
                      <w:szCs w:val="21"/>
                      <w:lang w:val="en-US" w:eastAsia="zh-CN"/>
                    </w:rPr>
                  </w:pPr>
                  <w:r>
                    <w:rPr>
                      <w:rFonts w:hint="default" w:ascii="Times New Roman" w:hAnsi="Times New Roman" w:cs="Times New Roman"/>
                      <w:kern w:val="0"/>
                      <w:sz w:val="21"/>
                      <w:szCs w:val="21"/>
                      <w:lang w:val="en-US" w:eastAsia="zh-CN"/>
                    </w:rPr>
                    <w:t>柴油</w:t>
                  </w:r>
                </w:p>
              </w:tc>
              <w:tc>
                <w:tcPr>
                  <w:tcW w:w="690" w:type="dxa"/>
                  <w:shd w:val="clear" w:color="auto" w:fill="auto"/>
                  <w:vAlign w:val="center"/>
                </w:tcPr>
                <w:p w14:paraId="0352C9AD">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FF0000"/>
                      <w:kern w:val="0"/>
                      <w:sz w:val="21"/>
                      <w:szCs w:val="21"/>
                      <w:lang w:val="en-US" w:eastAsia="zh-CN"/>
                    </w:rPr>
                  </w:pPr>
                  <w:r>
                    <w:rPr>
                      <w:rFonts w:hint="default" w:ascii="Times New Roman" w:hAnsi="Times New Roman" w:cs="Times New Roman"/>
                      <w:kern w:val="0"/>
                      <w:sz w:val="21"/>
                      <w:szCs w:val="21"/>
                      <w:lang w:val="en-US" w:eastAsia="zh-CN"/>
                    </w:rPr>
                    <w:t>t</w:t>
                  </w:r>
                </w:p>
              </w:tc>
              <w:tc>
                <w:tcPr>
                  <w:tcW w:w="990" w:type="dxa"/>
                  <w:shd w:val="clear" w:color="auto" w:fill="auto"/>
                  <w:vAlign w:val="center"/>
                </w:tcPr>
                <w:p w14:paraId="295A98A2">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FF0000"/>
                      <w:kern w:val="0"/>
                      <w:sz w:val="21"/>
                      <w:szCs w:val="21"/>
                      <w:lang w:val="en-US" w:eastAsia="zh-CN"/>
                    </w:rPr>
                  </w:pPr>
                  <w:r>
                    <w:rPr>
                      <w:rFonts w:hint="default" w:ascii="Times New Roman" w:hAnsi="Times New Roman" w:cs="Times New Roman"/>
                      <w:kern w:val="0"/>
                      <w:sz w:val="21"/>
                      <w:szCs w:val="21"/>
                      <w:lang w:val="en-US" w:eastAsia="zh-CN"/>
                    </w:rPr>
                    <w:t>0.5</w:t>
                  </w:r>
                </w:p>
              </w:tc>
              <w:tc>
                <w:tcPr>
                  <w:tcW w:w="1125" w:type="dxa"/>
                  <w:shd w:val="clear" w:color="auto" w:fill="auto"/>
                  <w:vAlign w:val="center"/>
                </w:tcPr>
                <w:p w14:paraId="38A6EA04">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FF0000"/>
                      <w:kern w:val="0"/>
                      <w:sz w:val="21"/>
                      <w:szCs w:val="21"/>
                      <w:lang w:val="en-US" w:eastAsia="zh-CN"/>
                    </w:rPr>
                  </w:pPr>
                  <w:r>
                    <w:rPr>
                      <w:rFonts w:hint="default" w:ascii="Times New Roman" w:hAnsi="Times New Roman" w:cs="Times New Roman"/>
                      <w:kern w:val="0"/>
                      <w:sz w:val="21"/>
                      <w:szCs w:val="21"/>
                      <w:lang w:val="en-US" w:eastAsia="zh-CN"/>
                    </w:rPr>
                    <w:t>外购</w:t>
                  </w:r>
                </w:p>
              </w:tc>
              <w:tc>
                <w:tcPr>
                  <w:tcW w:w="2830" w:type="dxa"/>
                  <w:shd w:val="clear" w:color="auto" w:fill="auto"/>
                  <w:vAlign w:val="center"/>
                </w:tcPr>
                <w:p w14:paraId="413B2B6C">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FF0000"/>
                      <w:kern w:val="0"/>
                      <w:sz w:val="21"/>
                      <w:szCs w:val="21"/>
                      <w:lang w:val="en-US" w:eastAsia="zh-CN"/>
                    </w:rPr>
                  </w:pPr>
                  <w:r>
                    <w:rPr>
                      <w:rFonts w:hint="default" w:ascii="Times New Roman" w:hAnsi="Times New Roman" w:cs="Times New Roman"/>
                      <w:kern w:val="0"/>
                      <w:sz w:val="21"/>
                      <w:szCs w:val="21"/>
                      <w:lang w:val="en-US" w:eastAsia="zh-CN"/>
                    </w:rPr>
                    <w:t>桶装，20L/桶，最大暂存量0.5t</w:t>
                  </w:r>
                </w:p>
              </w:tc>
            </w:tr>
            <w:tr w14:paraId="2179C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92" w:type="dxa"/>
                  <w:shd w:val="clear" w:color="auto" w:fill="auto"/>
                  <w:vAlign w:val="center"/>
                </w:tcPr>
                <w:p w14:paraId="7C858D1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color w:val="000000" w:themeColor="text1"/>
                      <w:kern w:val="0"/>
                      <w:sz w:val="21"/>
                      <w:szCs w:val="21"/>
                      <w:u w:val="single"/>
                      <w:lang w:val="en-US" w:eastAsia="zh-CN"/>
                    </w:rPr>
                  </w:pPr>
                  <w:r>
                    <w:rPr>
                      <w:rFonts w:hint="eastAsia" w:cs="Times New Roman"/>
                      <w:color w:val="000000" w:themeColor="text1"/>
                      <w:kern w:val="0"/>
                      <w:sz w:val="21"/>
                      <w:szCs w:val="21"/>
                      <w:u w:val="single"/>
                      <w:lang w:val="en-US" w:eastAsia="zh-CN"/>
                    </w:rPr>
                    <w:t>17</w:t>
                  </w:r>
                </w:p>
              </w:tc>
              <w:tc>
                <w:tcPr>
                  <w:tcW w:w="1710" w:type="dxa"/>
                  <w:shd w:val="clear" w:color="auto" w:fill="auto"/>
                  <w:vAlign w:val="center"/>
                </w:tcPr>
                <w:p w14:paraId="39DA4CCF">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天然气</w:t>
                  </w:r>
                </w:p>
              </w:tc>
              <w:tc>
                <w:tcPr>
                  <w:tcW w:w="690" w:type="dxa"/>
                  <w:shd w:val="clear" w:color="auto" w:fill="auto"/>
                  <w:vAlign w:val="center"/>
                </w:tcPr>
                <w:p w14:paraId="6C7B82E6">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Nm</w:t>
                  </w:r>
                  <w:r>
                    <w:rPr>
                      <w:rFonts w:hint="eastAsia" w:cs="Times New Roman"/>
                      <w:kern w:val="0"/>
                      <w:sz w:val="21"/>
                      <w:szCs w:val="21"/>
                      <w:u w:val="single"/>
                      <w:vertAlign w:val="superscript"/>
                      <w:lang w:val="en-US" w:eastAsia="zh-CN"/>
                    </w:rPr>
                    <w:t>3</w:t>
                  </w:r>
                </w:p>
              </w:tc>
              <w:tc>
                <w:tcPr>
                  <w:tcW w:w="990" w:type="dxa"/>
                  <w:shd w:val="clear" w:color="auto" w:fill="auto"/>
                  <w:vAlign w:val="center"/>
                </w:tcPr>
                <w:p w14:paraId="3D22EC15">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default" w:ascii="Times New Roman" w:hAnsi="Times New Roman" w:cs="Times New Roman"/>
                      <w:kern w:val="0"/>
                      <w:sz w:val="21"/>
                      <w:szCs w:val="21"/>
                      <w:u w:val="single"/>
                      <w:lang w:val="en-US" w:eastAsia="zh-CN"/>
                    </w:rPr>
                    <w:t>585</w:t>
                  </w:r>
                  <w:r>
                    <w:rPr>
                      <w:rFonts w:hint="eastAsia" w:cs="Times New Roman"/>
                      <w:kern w:val="0"/>
                      <w:sz w:val="21"/>
                      <w:szCs w:val="21"/>
                      <w:u w:val="single"/>
                      <w:lang w:val="en-US" w:eastAsia="zh-CN"/>
                    </w:rPr>
                    <w:t>00</w:t>
                  </w:r>
                </w:p>
              </w:tc>
              <w:tc>
                <w:tcPr>
                  <w:tcW w:w="1125" w:type="dxa"/>
                  <w:shd w:val="clear" w:color="auto" w:fill="auto"/>
                  <w:vAlign w:val="center"/>
                </w:tcPr>
                <w:p w14:paraId="6D2DEDC1">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市镇天然气管网</w:t>
                  </w:r>
                </w:p>
              </w:tc>
              <w:tc>
                <w:tcPr>
                  <w:tcW w:w="2830" w:type="dxa"/>
                  <w:shd w:val="clear" w:color="auto" w:fill="auto"/>
                  <w:vAlign w:val="center"/>
                </w:tcPr>
                <w:p w14:paraId="1AF01933">
                  <w:pPr>
                    <w:keepNext w:val="0"/>
                    <w:keepLines w:val="0"/>
                    <w:pageBreakBefore w:val="0"/>
                    <w:widowControl w:val="0"/>
                    <w:kinsoku/>
                    <w:wordWrap/>
                    <w:overflowPunct/>
                    <w:topLinePunct w:val="0"/>
                    <w:autoSpaceDE w:val="0"/>
                    <w:autoSpaceDN w:val="0"/>
                    <w:bidi w:val="0"/>
                    <w:adjustRightInd w:val="0"/>
                    <w:snapToGrid w:val="0"/>
                    <w:spacing w:before="60" w:after="60" w:line="240" w:lineRule="auto"/>
                    <w:jc w:val="center"/>
                    <w:textAlignment w:val="auto"/>
                    <w:rPr>
                      <w:rFonts w:hint="default" w:ascii="Times New Roman" w:hAnsi="Times New Roman" w:cs="Times New Roman"/>
                      <w:kern w:val="0"/>
                      <w:sz w:val="21"/>
                      <w:szCs w:val="21"/>
                      <w:u w:val="single"/>
                      <w:lang w:val="en-US" w:eastAsia="zh-CN"/>
                    </w:rPr>
                  </w:pPr>
                  <w:r>
                    <w:rPr>
                      <w:rFonts w:hint="eastAsia" w:cs="Times New Roman"/>
                      <w:kern w:val="0"/>
                      <w:sz w:val="21"/>
                      <w:szCs w:val="21"/>
                      <w:u w:val="single"/>
                      <w:lang w:val="en-US" w:eastAsia="zh-CN"/>
                    </w:rPr>
                    <w:t>/</w:t>
                  </w:r>
                </w:p>
              </w:tc>
            </w:tr>
          </w:tbl>
          <w:p w14:paraId="3B023C2C">
            <w:pPr>
              <w:widowControl w:val="0"/>
              <w:spacing w:line="360" w:lineRule="auto"/>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t>表2-</w:t>
            </w:r>
            <w:r>
              <w:rPr>
                <w:rFonts w:hint="eastAsia" w:cs="Times New Roman"/>
                <w:b/>
                <w:bCs/>
                <w:color w:val="auto"/>
                <w:kern w:val="2"/>
                <w:sz w:val="21"/>
                <w:szCs w:val="21"/>
                <w:lang w:val="en-US" w:eastAsia="zh-CN" w:bidi="ar-SA"/>
              </w:rPr>
              <w:t>6</w:t>
            </w:r>
            <w:r>
              <w:rPr>
                <w:rFonts w:hint="default" w:ascii="Times New Roman" w:hAnsi="Times New Roman" w:eastAsia="宋体" w:cs="Times New Roman"/>
                <w:b/>
                <w:bCs/>
                <w:color w:val="auto"/>
                <w:kern w:val="2"/>
                <w:sz w:val="21"/>
                <w:szCs w:val="21"/>
                <w:lang w:val="en-US" w:eastAsia="zh-CN" w:bidi="ar-SA"/>
              </w:rPr>
              <w:t xml:space="preserve"> 酒精的理化性质及危险特性</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896"/>
              <w:gridCol w:w="1669"/>
              <w:gridCol w:w="2724"/>
            </w:tblGrid>
            <w:tr w14:paraId="52D8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862" w:type="dxa"/>
                  <w:noWrap w:val="0"/>
                  <w:vAlign w:val="center"/>
                </w:tcPr>
                <w:p w14:paraId="7E26A37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名称</w:t>
                  </w:r>
                </w:p>
              </w:tc>
              <w:tc>
                <w:tcPr>
                  <w:tcW w:w="2150" w:type="dxa"/>
                  <w:noWrap w:val="0"/>
                  <w:vAlign w:val="center"/>
                </w:tcPr>
                <w:p w14:paraId="7CDB0C7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乙醇</w:t>
                  </w:r>
                </w:p>
              </w:tc>
              <w:tc>
                <w:tcPr>
                  <w:tcW w:w="1889" w:type="dxa"/>
                  <w:noWrap w:val="0"/>
                  <w:vAlign w:val="center"/>
                </w:tcPr>
                <w:p w14:paraId="257DD54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危险货物编号</w:t>
                  </w:r>
                </w:p>
              </w:tc>
              <w:tc>
                <w:tcPr>
                  <w:tcW w:w="3103" w:type="dxa"/>
                  <w:noWrap w:val="0"/>
                  <w:vAlign w:val="center"/>
                </w:tcPr>
                <w:p w14:paraId="1DE5378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32061</w:t>
                  </w:r>
                </w:p>
              </w:tc>
            </w:tr>
            <w:tr w14:paraId="0E1D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0A8C620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别名</w:t>
                  </w:r>
                </w:p>
              </w:tc>
              <w:tc>
                <w:tcPr>
                  <w:tcW w:w="2150" w:type="dxa"/>
                  <w:noWrap w:val="0"/>
                  <w:vAlign w:val="center"/>
                </w:tcPr>
                <w:p w14:paraId="64705B3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酒精</w:t>
                  </w:r>
                </w:p>
              </w:tc>
              <w:tc>
                <w:tcPr>
                  <w:tcW w:w="1889" w:type="dxa"/>
                  <w:noWrap w:val="0"/>
                  <w:vAlign w:val="center"/>
                </w:tcPr>
                <w:p w14:paraId="2D2157F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危险性类别</w:t>
                  </w:r>
                </w:p>
              </w:tc>
              <w:tc>
                <w:tcPr>
                  <w:tcW w:w="3103" w:type="dxa"/>
                  <w:noWrap w:val="0"/>
                  <w:vAlign w:val="center"/>
                </w:tcPr>
                <w:p w14:paraId="55804D2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第3.2类中闪点易燃液体</w:t>
                  </w:r>
                </w:p>
              </w:tc>
            </w:tr>
            <w:tr w14:paraId="67FF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189A003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外观与性状</w:t>
                  </w:r>
                </w:p>
              </w:tc>
              <w:tc>
                <w:tcPr>
                  <w:tcW w:w="2150" w:type="dxa"/>
                  <w:noWrap w:val="0"/>
                  <w:vAlign w:val="center"/>
                </w:tcPr>
                <w:p w14:paraId="7EADB0A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无色液体，有酒香。</w:t>
                  </w:r>
                </w:p>
              </w:tc>
              <w:tc>
                <w:tcPr>
                  <w:tcW w:w="1889" w:type="dxa"/>
                  <w:noWrap w:val="0"/>
                  <w:vAlign w:val="center"/>
                </w:tcPr>
                <w:p w14:paraId="7658162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禁忌物</w:t>
                  </w:r>
                </w:p>
              </w:tc>
              <w:tc>
                <w:tcPr>
                  <w:tcW w:w="3103" w:type="dxa"/>
                  <w:noWrap w:val="0"/>
                  <w:vAlign w:val="center"/>
                </w:tcPr>
                <w:p w14:paraId="6D79A5E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强氧化剂、酸类、酸酐、碱金属、胺类</w:t>
                  </w:r>
                </w:p>
              </w:tc>
            </w:tr>
            <w:tr w14:paraId="41CF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7291379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主要用途</w:t>
                  </w:r>
                </w:p>
              </w:tc>
              <w:tc>
                <w:tcPr>
                  <w:tcW w:w="7142" w:type="dxa"/>
                  <w:gridSpan w:val="3"/>
                  <w:noWrap w:val="0"/>
                  <w:vAlign w:val="center"/>
                </w:tcPr>
                <w:p w14:paraId="67F8D86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用于制酒工业、有机合成、消毒以及用作溶剂。</w:t>
                  </w:r>
                </w:p>
              </w:tc>
            </w:tr>
            <w:tr w14:paraId="7DC0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789974C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熔点（℃）</w:t>
                  </w:r>
                </w:p>
              </w:tc>
              <w:tc>
                <w:tcPr>
                  <w:tcW w:w="2150" w:type="dxa"/>
                  <w:noWrap w:val="0"/>
                  <w:vAlign w:val="center"/>
                </w:tcPr>
                <w:p w14:paraId="0787E70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-114.1</w:t>
                  </w:r>
                </w:p>
              </w:tc>
              <w:tc>
                <w:tcPr>
                  <w:tcW w:w="1889" w:type="dxa"/>
                  <w:noWrap w:val="0"/>
                  <w:vAlign w:val="center"/>
                </w:tcPr>
                <w:p w14:paraId="090AD75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沸点（℃）</w:t>
                  </w:r>
                </w:p>
              </w:tc>
              <w:tc>
                <w:tcPr>
                  <w:tcW w:w="3103" w:type="dxa"/>
                  <w:noWrap w:val="0"/>
                  <w:vAlign w:val="center"/>
                </w:tcPr>
                <w:p w14:paraId="126336A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78.3</w:t>
                  </w:r>
                </w:p>
              </w:tc>
            </w:tr>
            <w:tr w14:paraId="641B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6A3B4D0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燃烧性</w:t>
                  </w:r>
                </w:p>
              </w:tc>
              <w:tc>
                <w:tcPr>
                  <w:tcW w:w="2150" w:type="dxa"/>
                  <w:noWrap w:val="0"/>
                  <w:vAlign w:val="center"/>
                </w:tcPr>
                <w:p w14:paraId="154812A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易燃</w:t>
                  </w:r>
                </w:p>
              </w:tc>
              <w:tc>
                <w:tcPr>
                  <w:tcW w:w="1889" w:type="dxa"/>
                  <w:noWrap w:val="0"/>
                  <w:vAlign w:val="center"/>
                </w:tcPr>
                <w:p w14:paraId="57A8266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燃烧分解物</w:t>
                  </w:r>
                </w:p>
              </w:tc>
              <w:tc>
                <w:tcPr>
                  <w:tcW w:w="3103" w:type="dxa"/>
                  <w:noWrap w:val="0"/>
                  <w:vAlign w:val="center"/>
                </w:tcPr>
                <w:p w14:paraId="68F120E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一氧化碳、二氧化碳</w:t>
                  </w:r>
                </w:p>
              </w:tc>
            </w:tr>
            <w:tr w14:paraId="7122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3896920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闪点（℃）</w:t>
                  </w:r>
                </w:p>
              </w:tc>
              <w:tc>
                <w:tcPr>
                  <w:tcW w:w="2150" w:type="dxa"/>
                  <w:noWrap w:val="0"/>
                  <w:vAlign w:val="center"/>
                </w:tcPr>
                <w:p w14:paraId="5CF1B37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12</w:t>
                  </w:r>
                </w:p>
              </w:tc>
              <w:tc>
                <w:tcPr>
                  <w:tcW w:w="1889" w:type="dxa"/>
                  <w:noWrap w:val="0"/>
                  <w:vAlign w:val="center"/>
                </w:tcPr>
                <w:p w14:paraId="7637430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引燃温度（℃）</w:t>
                  </w:r>
                </w:p>
              </w:tc>
              <w:tc>
                <w:tcPr>
                  <w:tcW w:w="3103" w:type="dxa"/>
                  <w:noWrap w:val="0"/>
                  <w:vAlign w:val="center"/>
                </w:tcPr>
                <w:p w14:paraId="2B589C4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363</w:t>
                  </w:r>
                </w:p>
              </w:tc>
            </w:tr>
            <w:tr w14:paraId="11E4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0A78AB4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爆炸下限</w:t>
                  </w:r>
                  <w:r>
                    <w:rPr>
                      <w:rFonts w:hint="default" w:ascii="Times New Roman" w:hAnsi="Times New Roman" w:eastAsia="宋体" w:cs="Times New Roman"/>
                      <w:b w:val="0"/>
                      <w:bCs/>
                      <w:color w:val="auto"/>
                      <w:kern w:val="2"/>
                      <w:sz w:val="21"/>
                      <w:szCs w:val="21"/>
                      <w:lang w:val="en-US" w:eastAsia="zh-CN" w:bidi="ar-SA"/>
                    </w:rPr>
                    <w:t>（V%）</w:t>
                  </w:r>
                </w:p>
              </w:tc>
              <w:tc>
                <w:tcPr>
                  <w:tcW w:w="2150" w:type="dxa"/>
                  <w:noWrap w:val="0"/>
                  <w:vAlign w:val="center"/>
                </w:tcPr>
                <w:p w14:paraId="29F8D87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3.3</w:t>
                  </w:r>
                </w:p>
              </w:tc>
              <w:tc>
                <w:tcPr>
                  <w:tcW w:w="1889" w:type="dxa"/>
                  <w:noWrap w:val="0"/>
                  <w:vAlign w:val="center"/>
                </w:tcPr>
                <w:p w14:paraId="67ED2A4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爆炸上限</w:t>
                  </w:r>
                  <w:r>
                    <w:rPr>
                      <w:rFonts w:hint="default" w:ascii="Times New Roman" w:hAnsi="Times New Roman" w:eastAsia="宋体" w:cs="Times New Roman"/>
                      <w:b w:val="0"/>
                      <w:bCs/>
                      <w:color w:val="auto"/>
                      <w:kern w:val="2"/>
                      <w:sz w:val="21"/>
                      <w:szCs w:val="21"/>
                      <w:lang w:val="en-US" w:eastAsia="zh-CN" w:bidi="ar-SA"/>
                    </w:rPr>
                    <w:t>（V%）</w:t>
                  </w:r>
                </w:p>
              </w:tc>
              <w:tc>
                <w:tcPr>
                  <w:tcW w:w="3103" w:type="dxa"/>
                  <w:noWrap w:val="0"/>
                  <w:vAlign w:val="center"/>
                </w:tcPr>
                <w:p w14:paraId="36CE92A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19.0</w:t>
                  </w:r>
                </w:p>
              </w:tc>
            </w:tr>
            <w:tr w14:paraId="19C8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512BCAD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危险特性</w:t>
                  </w:r>
                </w:p>
              </w:tc>
              <w:tc>
                <w:tcPr>
                  <w:tcW w:w="7142" w:type="dxa"/>
                  <w:gridSpan w:val="3"/>
                  <w:noWrap w:val="0"/>
                  <w:vAlign w:val="center"/>
                </w:tcPr>
                <w:p w14:paraId="12A2EC0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其蒸气与空气形成爆炸性混合物，遇明火、高热能引起燃烧爆炸。与氧化剂能发生强烈反应。其蒸气比空气重，能在较低处扩散到相当远的地方，遇火源引着回燃。若遇高热，容器内压增大，有开裂和爆炸的危险。燃烧时发出紫色火焰。</w:t>
                  </w:r>
                </w:p>
              </w:tc>
            </w:tr>
            <w:tr w14:paraId="43D4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3880135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灭火方法</w:t>
                  </w:r>
                </w:p>
              </w:tc>
              <w:tc>
                <w:tcPr>
                  <w:tcW w:w="7142" w:type="dxa"/>
                  <w:gridSpan w:val="3"/>
                  <w:noWrap w:val="0"/>
                  <w:vAlign w:val="center"/>
                </w:tcPr>
                <w:p w14:paraId="5C06209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泡沫、二氧化碳、干粉、砂土。用水灭火无效。</w:t>
                  </w:r>
                </w:p>
              </w:tc>
            </w:tr>
            <w:tr w14:paraId="4DA1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176BC6F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储运注意事项</w:t>
                  </w:r>
                </w:p>
              </w:tc>
              <w:tc>
                <w:tcPr>
                  <w:tcW w:w="7142" w:type="dxa"/>
                  <w:gridSpan w:val="3"/>
                  <w:noWrap w:val="0"/>
                  <w:vAlign w:val="center"/>
                </w:tcPr>
                <w:p w14:paraId="30CDC5C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储存于阴凉、通风仓间内。远离火种、热源。仓温不宜超过30℃。防止阳光直射。保持容器密封。应与氧化剂分开存放。储存间内的照明、通风等设施应采用防爆型，开关设在仓外。配备相应品种和数量的消防器材。桶装堆垛不可过大，应留墙距、顶距、柱距及必要的防火检查走道。罐储时要有防火防爆技术措施。露天贮罐夏季要有降温措施。禁止使用易产生火花的机械设备和工具。灌装时应注意流速(不超过3m／s)，且有接地装置，防止静电积聚。</w:t>
                  </w:r>
                </w:p>
              </w:tc>
            </w:tr>
            <w:tr w14:paraId="75D4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3513D47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毒性</w:t>
                  </w:r>
                </w:p>
              </w:tc>
              <w:tc>
                <w:tcPr>
                  <w:tcW w:w="7142" w:type="dxa"/>
                  <w:gridSpan w:val="3"/>
                  <w:noWrap w:val="0"/>
                  <w:vAlign w:val="center"/>
                </w:tcPr>
                <w:p w14:paraId="4485BE7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LD</w:t>
                  </w:r>
                  <w:r>
                    <w:rPr>
                      <w:rFonts w:hint="default" w:ascii="Times New Roman" w:hAnsi="Times New Roman" w:eastAsia="宋体" w:cs="Times New Roman"/>
                      <w:color w:val="auto"/>
                      <w:sz w:val="21"/>
                      <w:szCs w:val="21"/>
                      <w:vertAlign w:val="subscript"/>
                    </w:rPr>
                    <w:t>50</w:t>
                  </w:r>
                  <w:r>
                    <w:rPr>
                      <w:rFonts w:hint="default" w:ascii="Times New Roman" w:hAnsi="Times New Roman" w:eastAsia="宋体" w:cs="Times New Roman"/>
                      <w:color w:val="auto"/>
                      <w:sz w:val="21"/>
                      <w:szCs w:val="21"/>
                    </w:rPr>
                    <w:t>：7060mg/kg(兔经口)； LC</w:t>
                  </w:r>
                  <w:r>
                    <w:rPr>
                      <w:rFonts w:hint="default" w:ascii="Times New Roman" w:hAnsi="Times New Roman" w:eastAsia="宋体" w:cs="Times New Roman"/>
                      <w:color w:val="auto"/>
                      <w:sz w:val="21"/>
                      <w:szCs w:val="21"/>
                      <w:vertAlign w:val="subscript"/>
                    </w:rPr>
                    <w:t>50</w:t>
                  </w:r>
                  <w:r>
                    <w:rPr>
                      <w:rFonts w:hint="default" w:ascii="Times New Roman" w:hAnsi="Times New Roman" w:eastAsia="宋体" w:cs="Times New Roman"/>
                      <w:color w:val="auto"/>
                      <w:sz w:val="21"/>
                      <w:szCs w:val="21"/>
                    </w:rPr>
                    <w:t>：20000ppm 10小时(大鼠吸入)</w:t>
                  </w:r>
                </w:p>
              </w:tc>
            </w:tr>
            <w:tr w14:paraId="5FC3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40D3077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健康危害</w:t>
                  </w:r>
                </w:p>
              </w:tc>
              <w:tc>
                <w:tcPr>
                  <w:tcW w:w="7142" w:type="dxa"/>
                  <w:gridSpan w:val="3"/>
                  <w:noWrap w:val="0"/>
                  <w:vAlign w:val="center"/>
                </w:tcPr>
                <w:p w14:paraId="3F1441B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人长期口服中毒剂量的乙醇，可见到肝、心肌脂肪浸润，慢性软脑膜炎和慢性胃炎。对中枢神经系统的作用，先作用于大脑皮质，表现为兴奋，最后由于延髓血管运动中枢和呼吸中枢受到抑制而死亡，呼吸中枢麻痹是致死的主要原因。急性中毒：表现分兴奋期、共济失调期、昏睡期，严重者深度昏迷。血中乙醇浓度过高可致死。慢性影响：可引起头痛、头晕、易激动、乏力、震颤、恶心等，皮肤反复接触可引起干燥、脱屑、皲裂和皮炎。</w:t>
                  </w:r>
                </w:p>
              </w:tc>
            </w:tr>
            <w:tr w14:paraId="41B8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0E5FB3A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急救措施</w:t>
                  </w:r>
                </w:p>
              </w:tc>
              <w:tc>
                <w:tcPr>
                  <w:tcW w:w="7142" w:type="dxa"/>
                  <w:gridSpan w:val="3"/>
                  <w:noWrap w:val="0"/>
                  <w:vAlign w:val="center"/>
                </w:tcPr>
                <w:p w14:paraId="151FB204">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皮肤接触：脱去污染的衣着，用流动清水冲洗。注意患者保暖并且保持安静。确保医务人员了解该物质相关的个体防护知识，注意自身防护。</w:t>
                  </w:r>
                </w:p>
                <w:p w14:paraId="01026E61">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眼睛接触：立即提起眼睑，用大量流动清水彻底冲洗。</w:t>
                  </w:r>
                </w:p>
                <w:p w14:paraId="5C267CA9">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吸入：迅速脱离现场至空气新鲜处。必要时进行人工呼吸。就医。如果呼吸困难，给予吸氧。</w:t>
                  </w:r>
                </w:p>
                <w:p w14:paraId="752CB22B">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食入：误服者给饮大量温水，催吐，就医。</w:t>
                  </w:r>
                </w:p>
              </w:tc>
            </w:tr>
            <w:tr w14:paraId="2934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002AE31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防护措施</w:t>
                  </w:r>
                </w:p>
              </w:tc>
              <w:tc>
                <w:tcPr>
                  <w:tcW w:w="7142" w:type="dxa"/>
                  <w:gridSpan w:val="3"/>
                  <w:noWrap w:val="0"/>
                  <w:vAlign w:val="center"/>
                </w:tcPr>
                <w:p w14:paraId="61FD7654">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工程控制：生产过程密闭，全面通风。</w:t>
                  </w:r>
                </w:p>
                <w:p w14:paraId="6EB4ED03">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呼吸系统防护：一般不需特殊防护，高浓度接触时可佩带防毒口罩。</w:t>
                  </w:r>
                </w:p>
                <w:p w14:paraId="082DE534">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眼睛防护：一般不需特殊防护。</w:t>
                  </w:r>
                </w:p>
                <w:p w14:paraId="1D18E209">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防护服：穿工作服。</w:t>
                  </w:r>
                </w:p>
                <w:p w14:paraId="328BE92F">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手防护：一般不需特殊防护。</w:t>
                  </w:r>
                </w:p>
                <w:p w14:paraId="6A84493E">
                  <w:pPr>
                    <w:keepNext w:val="0"/>
                    <w:keepLines w:val="0"/>
                    <w:pageBreakBefore w:val="0"/>
                    <w:widowControl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其它：工作现场严禁吸烟。</w:t>
                  </w:r>
                </w:p>
              </w:tc>
            </w:tr>
            <w:tr w14:paraId="329C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6ADE9D3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泄漏应急处理</w:t>
                  </w:r>
                </w:p>
              </w:tc>
              <w:tc>
                <w:tcPr>
                  <w:tcW w:w="7142" w:type="dxa"/>
                  <w:gridSpan w:val="3"/>
                  <w:noWrap w:val="0"/>
                  <w:vAlign w:val="center"/>
                </w:tcPr>
                <w:p w14:paraId="1D91258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疏散泄漏污染区人员至安全区，禁止无关人员进入污染区，切断火源。在确保安全情况下堵漏。喷水雾会减少蒸发，但不能降低泄漏物在受限制空间内的易燃性。用沙土或其它不燃性吸附剂混合吸收，然后使用无火花工具收集运至废物处理场所处置。也可以用大量水冲洗，经稀释的洗水放入废水系统。如大量泄漏，利用围堤收容，然后收集、转移、回收或无害处理后废弃。</w:t>
                  </w:r>
                </w:p>
              </w:tc>
            </w:tr>
            <w:tr w14:paraId="7C7EB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dxa"/>
                  <w:noWrap w:val="0"/>
                  <w:vAlign w:val="center"/>
                </w:tcPr>
                <w:p w14:paraId="733BB81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引用文献</w:t>
                  </w:r>
                </w:p>
              </w:tc>
              <w:tc>
                <w:tcPr>
                  <w:tcW w:w="7142" w:type="dxa"/>
                  <w:gridSpan w:val="3"/>
                  <w:noWrap w:val="0"/>
                  <w:vAlign w:val="center"/>
                </w:tcPr>
                <w:p w14:paraId="0177B7B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危险化学品安全技术全书、新编危险物品安全手册</w:t>
                  </w:r>
                </w:p>
              </w:tc>
            </w:tr>
          </w:tbl>
          <w:p w14:paraId="0C556D9E">
            <w:pPr>
              <w:keepNext w:val="0"/>
              <w:keepLines w:val="0"/>
              <w:pageBreakBefore w:val="0"/>
              <w:widowControl w:val="0"/>
              <w:kinsoku/>
              <w:wordWrap/>
              <w:overflowPunct/>
              <w:topLinePunct w:val="0"/>
              <w:autoSpaceDE w:val="0"/>
              <w:autoSpaceDN w:val="0"/>
              <w:bidi w:val="0"/>
              <w:adjustRightInd w:val="0"/>
              <w:snapToGrid w:val="0"/>
              <w:spacing w:line="360" w:lineRule="auto"/>
              <w:jc w:val="center"/>
              <w:textAlignment w:val="auto"/>
              <w:rPr>
                <w:rFonts w:hint="default" w:ascii="Times New Roman" w:hAnsi="Times New Roman" w:eastAsia="宋体" w:cs="Times New Roman"/>
                <w:b/>
                <w:bCs/>
                <w:kern w:val="0"/>
                <w:sz w:val="21"/>
                <w:szCs w:val="21"/>
                <w:lang w:val="en-US" w:eastAsia="zh-CN"/>
              </w:rPr>
            </w:pPr>
            <w:r>
              <w:rPr>
                <w:rFonts w:hint="default" w:ascii="Times New Roman" w:hAnsi="Times New Roman" w:cs="Times New Roman"/>
                <w:b/>
                <w:bCs/>
                <w:kern w:val="0"/>
                <w:sz w:val="21"/>
                <w:szCs w:val="21"/>
                <w:lang w:val="en-US" w:eastAsia="zh-CN"/>
              </w:rPr>
              <w:t>表2-</w:t>
            </w:r>
            <w:r>
              <w:rPr>
                <w:rFonts w:hint="eastAsia" w:cs="Times New Roman"/>
                <w:b/>
                <w:bCs/>
                <w:kern w:val="0"/>
                <w:sz w:val="21"/>
                <w:szCs w:val="21"/>
                <w:lang w:val="en-US" w:eastAsia="zh-CN"/>
              </w:rPr>
              <w:t>7</w:t>
            </w:r>
            <w:r>
              <w:rPr>
                <w:rFonts w:hint="default" w:ascii="Times New Roman" w:hAnsi="Times New Roman" w:cs="Times New Roman"/>
                <w:b/>
                <w:bCs/>
                <w:kern w:val="0"/>
                <w:sz w:val="21"/>
                <w:szCs w:val="21"/>
                <w:lang w:val="en-US" w:eastAsia="zh-CN"/>
              </w:rPr>
              <w:t xml:space="preserve"> 二氯异氰尿酸钠理化性质及危险特性</w:t>
            </w:r>
          </w:p>
          <w:tbl>
            <w:tblPr>
              <w:tblStyle w:val="25"/>
              <w:tblW w:w="8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9"/>
              <w:gridCol w:w="6408"/>
            </w:tblGrid>
            <w:tr w14:paraId="6571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153D653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化学名称</w:t>
                  </w:r>
                </w:p>
              </w:tc>
              <w:tc>
                <w:tcPr>
                  <w:tcW w:w="6408" w:type="dxa"/>
                  <w:vAlign w:val="center"/>
                </w:tcPr>
                <w:p w14:paraId="0A48DACD">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vertAlign w:val="baseline"/>
                      <w:lang w:eastAsia="zh-CN"/>
                    </w:rPr>
                  </w:pPr>
                  <w:r>
                    <w:rPr>
                      <w:rFonts w:hint="default" w:ascii="Times New Roman" w:hAnsi="Times New Roman" w:cs="Times New Roman"/>
                      <w:vertAlign w:val="baseline"/>
                    </w:rPr>
                    <w:t>二氯异氰尿酸钠</w:t>
                  </w:r>
                  <w:r>
                    <w:rPr>
                      <w:rFonts w:hint="default" w:ascii="Times New Roman" w:hAnsi="Times New Roman" w:cs="Times New Roman"/>
                      <w:vertAlign w:val="baseline"/>
                      <w:lang w:eastAsia="zh-CN"/>
                    </w:rPr>
                    <w:t>（</w:t>
                  </w:r>
                  <w:r>
                    <w:rPr>
                      <w:rFonts w:hint="default" w:ascii="Times New Roman" w:hAnsi="Times New Roman" w:cs="Times New Roman"/>
                      <w:vertAlign w:val="baseline"/>
                    </w:rPr>
                    <w:t>Sodium</w:t>
                  </w:r>
                  <w:r>
                    <w:rPr>
                      <w:rFonts w:hint="default" w:ascii="Times New Roman" w:hAnsi="Times New Roman" w:cs="Times New Roman"/>
                      <w:vertAlign w:val="baseline"/>
                      <w:lang w:val="en-US" w:eastAsia="zh-CN"/>
                    </w:rPr>
                    <w:t xml:space="preserve"> </w:t>
                  </w:r>
                  <w:r>
                    <w:rPr>
                      <w:rFonts w:hint="default" w:ascii="Times New Roman" w:hAnsi="Times New Roman" w:cs="Times New Roman"/>
                      <w:vertAlign w:val="baseline"/>
                    </w:rPr>
                    <w:t xml:space="preserve"> Dichloroisocyanurate</w:t>
                  </w:r>
                  <w:r>
                    <w:rPr>
                      <w:rFonts w:hint="default" w:ascii="Times New Roman" w:hAnsi="Times New Roman" w:cs="Times New Roman"/>
                      <w:vertAlign w:val="baseline"/>
                      <w:lang w:eastAsia="zh-CN"/>
                    </w:rPr>
                    <w:t>）</w:t>
                  </w:r>
                </w:p>
              </w:tc>
            </w:tr>
            <w:tr w14:paraId="2B44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46A9485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CAS号</w:t>
                  </w:r>
                </w:p>
              </w:tc>
              <w:tc>
                <w:tcPr>
                  <w:tcW w:w="6408" w:type="dxa"/>
                  <w:vAlign w:val="center"/>
                </w:tcPr>
                <w:p w14:paraId="3BC08EA2">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2893-78-9</w:t>
                  </w:r>
                </w:p>
              </w:tc>
            </w:tr>
            <w:tr w14:paraId="3B3A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3E3BD88E">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分子式</w:t>
                  </w:r>
                </w:p>
              </w:tc>
              <w:tc>
                <w:tcPr>
                  <w:tcW w:w="6408" w:type="dxa"/>
                  <w:vAlign w:val="center"/>
                </w:tcPr>
                <w:p w14:paraId="084F568E">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C</w:t>
                  </w:r>
                  <w:r>
                    <w:rPr>
                      <w:rFonts w:hint="default" w:ascii="Times New Roman" w:hAnsi="Times New Roman" w:cs="Times New Roman"/>
                      <w:vertAlign w:val="subscript"/>
                    </w:rPr>
                    <w:t>3</w:t>
                  </w:r>
                  <w:r>
                    <w:rPr>
                      <w:rFonts w:hint="default" w:ascii="Times New Roman" w:hAnsi="Times New Roman" w:cs="Times New Roman"/>
                      <w:vertAlign w:val="baseline"/>
                    </w:rPr>
                    <w:t>Cl</w:t>
                  </w:r>
                  <w:r>
                    <w:rPr>
                      <w:rFonts w:hint="default" w:ascii="Times New Roman" w:hAnsi="Times New Roman" w:cs="Times New Roman"/>
                      <w:vertAlign w:val="subscript"/>
                    </w:rPr>
                    <w:t>2</w:t>
                  </w:r>
                  <w:r>
                    <w:rPr>
                      <w:rFonts w:hint="default" w:ascii="Times New Roman" w:hAnsi="Times New Roman" w:cs="Times New Roman"/>
                      <w:vertAlign w:val="baseline"/>
                    </w:rPr>
                    <w:t>N</w:t>
                  </w:r>
                  <w:r>
                    <w:rPr>
                      <w:rFonts w:hint="default" w:ascii="Times New Roman" w:hAnsi="Times New Roman" w:cs="Times New Roman"/>
                      <w:vertAlign w:val="subscript"/>
                    </w:rPr>
                    <w:t>3</w:t>
                  </w:r>
                  <w:r>
                    <w:rPr>
                      <w:rFonts w:hint="default" w:ascii="Times New Roman" w:hAnsi="Times New Roman" w:cs="Times New Roman"/>
                      <w:vertAlign w:val="baseline"/>
                    </w:rPr>
                    <w:t>NaO</w:t>
                  </w:r>
                  <w:r>
                    <w:rPr>
                      <w:rFonts w:hint="default" w:ascii="Times New Roman" w:hAnsi="Times New Roman" w:cs="Times New Roman"/>
                      <w:vertAlign w:val="subscript"/>
                    </w:rPr>
                    <w:t>3</w:t>
                  </w:r>
                </w:p>
              </w:tc>
            </w:tr>
            <w:tr w14:paraId="20CB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6C0C4E4C">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外观与性状</w:t>
                  </w:r>
                </w:p>
              </w:tc>
              <w:tc>
                <w:tcPr>
                  <w:tcW w:w="6408" w:type="dxa"/>
                  <w:vAlign w:val="center"/>
                </w:tcPr>
                <w:p w14:paraId="5C0E4C7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白色结晶粉末、颗粒或片状，具有强烈的刺激性氯气味</w:t>
                  </w:r>
                </w:p>
              </w:tc>
            </w:tr>
            <w:tr w14:paraId="614C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6EFDCB25">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主要用途</w:t>
                  </w:r>
                </w:p>
              </w:tc>
              <w:tc>
                <w:tcPr>
                  <w:tcW w:w="6408" w:type="dxa"/>
                  <w:vAlign w:val="center"/>
                </w:tcPr>
                <w:p w14:paraId="5C4554F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广泛用于游泳池消毒、饮用水处理、工业循环水杀菌、纺织工业漂白、家庭及公共卫生消毒等</w:t>
                  </w:r>
                </w:p>
              </w:tc>
            </w:tr>
            <w:tr w14:paraId="63CB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1AACBC9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熔点</w:t>
                  </w:r>
                </w:p>
              </w:tc>
              <w:tc>
                <w:tcPr>
                  <w:tcW w:w="6408" w:type="dxa"/>
                  <w:vAlign w:val="center"/>
                </w:tcPr>
                <w:p w14:paraId="2CF84614">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约225°C-250°C，在230-250°C时分解</w:t>
                  </w:r>
                </w:p>
              </w:tc>
            </w:tr>
            <w:tr w14:paraId="7DC5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0C8B2435">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密度</w:t>
                  </w:r>
                </w:p>
              </w:tc>
              <w:tc>
                <w:tcPr>
                  <w:tcW w:w="6408" w:type="dxa"/>
                  <w:vAlign w:val="center"/>
                </w:tcPr>
                <w:p w14:paraId="643C9FC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约0.96 g/cm³(20°C)</w:t>
                  </w:r>
                </w:p>
              </w:tc>
            </w:tr>
            <w:tr w14:paraId="064B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49777131">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水溶性</w:t>
                  </w:r>
                </w:p>
              </w:tc>
              <w:tc>
                <w:tcPr>
                  <w:tcW w:w="6408" w:type="dxa"/>
                  <w:vAlign w:val="center"/>
                </w:tcPr>
                <w:p w14:paraId="1E7019F1">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易溶于水，20-25°C时溶解度为25-30克/100毫升水</w:t>
                  </w:r>
                </w:p>
              </w:tc>
            </w:tr>
            <w:tr w14:paraId="645F4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045756CA">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1%水溶液pH值</w:t>
                  </w:r>
                </w:p>
              </w:tc>
              <w:tc>
                <w:tcPr>
                  <w:tcW w:w="6408" w:type="dxa"/>
                  <w:vAlign w:val="center"/>
                </w:tcPr>
                <w:p w14:paraId="1E7D672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约 5.5 - 6.5，呈弱酸性</w:t>
                  </w:r>
                </w:p>
              </w:tc>
            </w:tr>
            <w:tr w14:paraId="58A8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266CD1B6">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有效氯含量</w:t>
                  </w:r>
                </w:p>
              </w:tc>
              <w:tc>
                <w:tcPr>
                  <w:tcW w:w="6408" w:type="dxa"/>
                  <w:vAlign w:val="center"/>
                </w:tcPr>
                <w:p w14:paraId="7088A255">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通常≥55%</w:t>
                  </w:r>
                </w:p>
              </w:tc>
            </w:tr>
            <w:tr w14:paraId="0338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36F4618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危险特性</w:t>
                  </w:r>
                </w:p>
              </w:tc>
              <w:tc>
                <w:tcPr>
                  <w:tcW w:w="6408" w:type="dxa"/>
                  <w:vAlign w:val="center"/>
                </w:tcPr>
                <w:p w14:paraId="3CCC8C50">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自身不燃，但作为强氧化剂，能加剧其他物质的燃烧。接触可燃物、有机物（如油类、纸张）或还原剂可能导致剧烈反应，甚至引发火灾或爆炸</w:t>
                  </w:r>
                </w:p>
              </w:tc>
            </w:tr>
            <w:tr w14:paraId="1F4E4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292C349A">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灭火方法</w:t>
                  </w:r>
                </w:p>
              </w:tc>
              <w:tc>
                <w:tcPr>
                  <w:tcW w:w="6408" w:type="dxa"/>
                  <w:vAlign w:val="center"/>
                </w:tcPr>
                <w:p w14:paraId="6E72655A">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应使用大量水进行灭火。严禁使用二氧化碳、干粉等灭火剂</w:t>
                  </w:r>
                </w:p>
              </w:tc>
            </w:tr>
            <w:tr w14:paraId="0909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2CD231D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禁止接触</w:t>
                  </w:r>
                </w:p>
              </w:tc>
              <w:tc>
                <w:tcPr>
                  <w:tcW w:w="6408" w:type="dxa"/>
                  <w:vAlign w:val="center"/>
                </w:tcPr>
                <w:p w14:paraId="356027AC">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与酸、氨、尿素、胺类等含氮化合物接触，可能生成易爆炸的三氯化氮</w:t>
                  </w:r>
                </w:p>
              </w:tc>
            </w:tr>
            <w:tr w14:paraId="0370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3684876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毒性</w:t>
                  </w:r>
                </w:p>
              </w:tc>
              <w:tc>
                <w:tcPr>
                  <w:tcW w:w="6408" w:type="dxa"/>
                  <w:vAlign w:val="center"/>
                </w:tcPr>
                <w:p w14:paraId="057057CD">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属低毒物质。大鼠经口半数致死剂量（LD</w:t>
                  </w:r>
                  <w:r>
                    <w:rPr>
                      <w:rFonts w:hint="default" w:ascii="Times New Roman" w:hAnsi="Times New Roman" w:cs="Times New Roman"/>
                      <w:vertAlign w:val="subscript"/>
                    </w:rPr>
                    <w:t>50</w:t>
                  </w:r>
                  <w:r>
                    <w:rPr>
                      <w:rFonts w:hint="default" w:ascii="Times New Roman" w:hAnsi="Times New Roman" w:cs="Times New Roman"/>
                      <w:vertAlign w:val="baseline"/>
                    </w:rPr>
                    <w:t>）为1420 mg/kg</w:t>
                  </w:r>
                </w:p>
              </w:tc>
            </w:tr>
            <w:tr w14:paraId="59E6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407492ED">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刺激性</w:t>
                  </w:r>
                </w:p>
              </w:tc>
              <w:tc>
                <w:tcPr>
                  <w:tcW w:w="6408" w:type="dxa"/>
                  <w:vAlign w:val="center"/>
                </w:tcPr>
                <w:p w14:paraId="7DE831CC">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vertAlign w:val="baseline"/>
                      <w:lang w:eastAsia="zh-CN"/>
                    </w:rPr>
                  </w:pPr>
                  <w:r>
                    <w:rPr>
                      <w:rFonts w:hint="default" w:ascii="Times New Roman" w:hAnsi="Times New Roman" w:cs="Times New Roman"/>
                      <w:vertAlign w:val="baseline"/>
                    </w:rPr>
                    <w:t>对眼睛、皮肤和呼吸道有强烈刺激性。粉尘可造成皮肤灼伤和严重的眼损伤。吸入高浓度粉尘会引起咳嗽、咽喉痛，严重时可导致支气管痉挛或肺水肿</w:t>
                  </w:r>
                  <w:r>
                    <w:rPr>
                      <w:rFonts w:hint="default" w:ascii="Times New Roman" w:hAnsi="Times New Roman" w:cs="Times New Roman"/>
                      <w:vertAlign w:val="baseline"/>
                      <w:lang w:eastAsia="zh-CN"/>
                    </w:rPr>
                    <w:t>；吞咽有害，可能灼伤消化道</w:t>
                  </w:r>
                </w:p>
              </w:tc>
            </w:tr>
            <w:tr w14:paraId="5945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58C47B8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急救措施</w:t>
                  </w:r>
                </w:p>
              </w:tc>
              <w:tc>
                <w:tcPr>
                  <w:tcW w:w="6408" w:type="dxa"/>
                  <w:vAlign w:val="center"/>
                </w:tcPr>
                <w:p w14:paraId="16FD1802">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vertAlign w:val="baseline"/>
                    </w:rPr>
                  </w:pPr>
                  <w:r>
                    <w:rPr>
                      <w:rFonts w:hint="default" w:ascii="Times New Roman" w:hAnsi="Times New Roman" w:cs="Times New Roman"/>
                      <w:vertAlign w:val="baseline"/>
                    </w:rPr>
                    <w:t>皮肤接触：立即脱去污染衣物，用大量流动清水彻底冲洗。</w:t>
                  </w:r>
                </w:p>
                <w:p w14:paraId="39E253BF">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vertAlign w:val="baseline"/>
                    </w:rPr>
                  </w:pPr>
                  <w:r>
                    <w:rPr>
                      <w:rFonts w:hint="default" w:ascii="Times New Roman" w:hAnsi="Times New Roman" w:cs="Times New Roman"/>
                      <w:vertAlign w:val="baseline"/>
                    </w:rPr>
                    <w:t>眼睛接触：撑开眼睑，用流动清水或生理盐水持续冲洗至少15分钟，并立即就医。</w:t>
                  </w:r>
                </w:p>
                <w:p w14:paraId="66145AC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vertAlign w:val="baseline"/>
                    </w:rPr>
                  </w:pPr>
                  <w:r>
                    <w:rPr>
                      <w:rFonts w:hint="default" w:ascii="Times New Roman" w:hAnsi="Times New Roman" w:cs="Times New Roman"/>
                      <w:vertAlign w:val="baseline"/>
                    </w:rPr>
                    <w:t>吸入：迅速将患者移至空气新鲜处，保持呼吸道通畅。若呼吸困难，立即输氧或进行人工呼吸，并迅速就医。</w:t>
                  </w:r>
                </w:p>
                <w:p w14:paraId="439B6BA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vertAlign w:val="baseline"/>
                    </w:rPr>
                  </w:pPr>
                  <w:r>
                    <w:rPr>
                      <w:rFonts w:hint="default" w:ascii="Times New Roman" w:hAnsi="Times New Roman" w:cs="Times New Roman"/>
                      <w:vertAlign w:val="baseline"/>
                    </w:rPr>
                    <w:t>食入：立即漱口，可饮用牛奶或蛋清以保护消化道，切勿催吐，并立即就医</w:t>
                  </w:r>
                </w:p>
              </w:tc>
            </w:tr>
            <w:tr w14:paraId="70C2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0B133E1B">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vertAlign w:val="baseline"/>
                      <w:lang w:val="en-US" w:eastAsia="zh-CN"/>
                    </w:rPr>
                  </w:pPr>
                  <w:r>
                    <w:rPr>
                      <w:rFonts w:hint="default" w:ascii="Times New Roman" w:hAnsi="Times New Roman" w:cs="Times New Roman"/>
                      <w:vertAlign w:val="baseline"/>
                      <w:lang w:val="en-US" w:eastAsia="zh-CN"/>
                    </w:rPr>
                    <w:t>防护措施</w:t>
                  </w:r>
                </w:p>
              </w:tc>
              <w:tc>
                <w:tcPr>
                  <w:tcW w:w="6408" w:type="dxa"/>
                  <w:vAlign w:val="center"/>
                </w:tcPr>
                <w:p w14:paraId="12DC9CAB">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vertAlign w:val="baseline"/>
                    </w:rPr>
                  </w:pPr>
                  <w:r>
                    <w:rPr>
                      <w:rFonts w:hint="default" w:ascii="Times New Roman" w:hAnsi="Times New Roman" w:cs="Times New Roman"/>
                      <w:vertAlign w:val="baseline"/>
                    </w:rPr>
                    <w:t>使用全面罩防尘面具、防护服和耐腐蚀橡胶手套。</w:t>
                  </w:r>
                </w:p>
                <w:p w14:paraId="41BB1C1F">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vertAlign w:val="baseline"/>
                    </w:rPr>
                  </w:pPr>
                  <w:r>
                    <w:rPr>
                      <w:rFonts w:hint="default" w:ascii="Times New Roman" w:hAnsi="Times New Roman" w:cs="Times New Roman"/>
                      <w:vertAlign w:val="baseline"/>
                    </w:rPr>
                    <w:t>操作场所需保证良好通风</w:t>
                  </w:r>
                </w:p>
              </w:tc>
            </w:tr>
            <w:tr w14:paraId="0C49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29" w:type="dxa"/>
                  <w:vAlign w:val="center"/>
                </w:tcPr>
                <w:p w14:paraId="08B3F8EF">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环境危害</w:t>
                  </w:r>
                </w:p>
              </w:tc>
              <w:tc>
                <w:tcPr>
                  <w:tcW w:w="6408" w:type="dxa"/>
                  <w:vAlign w:val="center"/>
                </w:tcPr>
                <w:p w14:paraId="31521CA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cs="Times New Roman"/>
                      <w:vertAlign w:val="baseline"/>
                    </w:rPr>
                    <w:t>对水生生物毒性极大，并具有长期持续影响。严禁该物质进入水体、土壤等环境</w:t>
                  </w:r>
                </w:p>
              </w:tc>
            </w:tr>
            <w:tr w14:paraId="1F8C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629" w:type="dxa"/>
                  <w:vAlign w:val="center"/>
                </w:tcPr>
                <w:p w14:paraId="4DDE7C5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vertAlign w:val="baseline"/>
                    </w:rPr>
                  </w:pPr>
                  <w:r>
                    <w:rPr>
                      <w:rFonts w:hint="default" w:ascii="Times New Roman" w:hAnsi="Times New Roman" w:eastAsia="宋体" w:cs="Times New Roman"/>
                      <w:b w:val="0"/>
                      <w:bCs w:val="0"/>
                      <w:color w:val="auto"/>
                      <w:kern w:val="2"/>
                      <w:sz w:val="21"/>
                      <w:szCs w:val="21"/>
                      <w:lang w:val="en-US" w:eastAsia="zh-CN" w:bidi="ar-SA"/>
                    </w:rPr>
                    <w:t>储运注意事项</w:t>
                  </w:r>
                </w:p>
              </w:tc>
              <w:tc>
                <w:tcPr>
                  <w:tcW w:w="6408" w:type="dxa"/>
                  <w:vAlign w:val="center"/>
                </w:tcPr>
                <w:p w14:paraId="4372690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vertAlign w:val="baseline"/>
                      <w:lang w:eastAsia="zh-CN"/>
                    </w:rPr>
                  </w:pPr>
                  <w:r>
                    <w:rPr>
                      <w:rFonts w:hint="default" w:ascii="Times New Roman" w:hAnsi="Times New Roman" w:cs="Times New Roman"/>
                      <w:vertAlign w:val="baseline"/>
                    </w:rPr>
                    <w:t>受潮/遇水：受热或遇潮时易分解，释放出有毒的氯气</w:t>
                  </w:r>
                  <w:r>
                    <w:rPr>
                      <w:rFonts w:hint="default" w:ascii="Times New Roman" w:hAnsi="Times New Roman" w:cs="Times New Roman"/>
                      <w:vertAlign w:val="baseline"/>
                      <w:lang w:eastAsia="zh-CN"/>
                    </w:rPr>
                    <w:t>；</w:t>
                  </w:r>
                </w:p>
                <w:p w14:paraId="5151B1E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vertAlign w:val="baseline"/>
                      <w:lang w:eastAsia="zh-CN"/>
                    </w:rPr>
                  </w:pPr>
                  <w:r>
                    <w:rPr>
                      <w:rFonts w:hint="default" w:ascii="Times New Roman" w:hAnsi="Times New Roman" w:cs="Times New Roman"/>
                      <w:vertAlign w:val="baseline"/>
                    </w:rPr>
                    <w:t>不相容物质：应与易燃物、强碱、铵盐、含氮化合物等严格隔离存放，切忌混储</w:t>
                  </w:r>
                  <w:r>
                    <w:rPr>
                      <w:rFonts w:hint="default" w:ascii="Times New Roman" w:hAnsi="Times New Roman" w:cs="Times New Roman"/>
                      <w:vertAlign w:val="baseline"/>
                      <w:lang w:eastAsia="zh-CN"/>
                    </w:rPr>
                    <w:t>；</w:t>
                  </w:r>
                </w:p>
                <w:p w14:paraId="40AEBCBA">
                  <w:pPr>
                    <w:rPr>
                      <w:rFonts w:hint="default" w:ascii="Times New Roman" w:hAnsi="Times New Roman" w:cs="Times New Roman"/>
                      <w:lang w:eastAsia="zh-CN"/>
                    </w:rPr>
                  </w:pPr>
                  <w:r>
                    <w:rPr>
                      <w:rFonts w:hint="default" w:ascii="Times New Roman" w:hAnsi="Times New Roman" w:cs="Times New Roman"/>
                      <w:lang w:eastAsia="zh-CN"/>
                    </w:rPr>
                    <w:t>应储存于阴凉、干燥、通风良好的库房，远离火种和热源，防止阳光直射。包装必须严格密封，并做好防潮措施。避免与铁质容器直接长期接触</w:t>
                  </w:r>
                </w:p>
              </w:tc>
            </w:tr>
          </w:tbl>
          <w:p w14:paraId="1D49D72B">
            <w:pPr>
              <w:autoSpaceDE w:val="0"/>
              <w:autoSpaceDN w:val="0"/>
              <w:adjustRightInd w:val="0"/>
              <w:snapToGrid w:val="0"/>
              <w:spacing w:line="360" w:lineRule="auto"/>
              <w:jc w:val="center"/>
              <w:rPr>
                <w:rFonts w:hint="default" w:ascii="Times New Roman" w:hAnsi="Times New Roman" w:eastAsia="宋体" w:cs="Times New Roman"/>
                <w:b/>
                <w:bCs/>
                <w:kern w:val="0"/>
                <w:sz w:val="21"/>
                <w:szCs w:val="21"/>
                <w:lang w:val="en-US" w:eastAsia="zh-CN"/>
              </w:rPr>
            </w:pPr>
            <w:r>
              <w:rPr>
                <w:rFonts w:hint="default" w:ascii="Times New Roman" w:hAnsi="Times New Roman" w:cs="Times New Roman"/>
                <w:b/>
                <w:bCs/>
                <w:kern w:val="0"/>
                <w:sz w:val="21"/>
                <w:szCs w:val="21"/>
                <w:lang w:val="en-US" w:eastAsia="zh-CN"/>
              </w:rPr>
              <w:t>表2-</w:t>
            </w:r>
            <w:r>
              <w:rPr>
                <w:rFonts w:hint="eastAsia" w:cs="Times New Roman"/>
                <w:b/>
                <w:bCs/>
                <w:kern w:val="0"/>
                <w:sz w:val="21"/>
                <w:szCs w:val="21"/>
                <w:lang w:val="en-US" w:eastAsia="zh-CN"/>
              </w:rPr>
              <w:t>8</w:t>
            </w:r>
            <w:r>
              <w:rPr>
                <w:rFonts w:hint="default" w:ascii="Times New Roman" w:hAnsi="Times New Roman" w:cs="Times New Roman"/>
                <w:b/>
                <w:bCs/>
                <w:kern w:val="0"/>
                <w:sz w:val="21"/>
                <w:szCs w:val="21"/>
                <w:lang w:val="en-US" w:eastAsia="zh-CN"/>
              </w:rPr>
              <w:t xml:space="preserve"> 氢氧化钠理化性质及危险特性</w:t>
            </w:r>
          </w:p>
          <w:tbl>
            <w:tblPr>
              <w:tblStyle w:val="25"/>
              <w:tblW w:w="14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6714"/>
              <w:gridCol w:w="6219"/>
            </w:tblGrid>
            <w:tr w14:paraId="1A490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57C32041">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化学名称</w:t>
                  </w:r>
                </w:p>
              </w:tc>
              <w:tc>
                <w:tcPr>
                  <w:tcW w:w="6714" w:type="dxa"/>
                </w:tcPr>
                <w:p w14:paraId="6952D23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氢氧化钠（Sodium Hydroxide，俗称烧碱、火碱、苛性钠）</w:t>
                  </w:r>
                </w:p>
              </w:tc>
              <w:tc>
                <w:tcPr>
                  <w:tcW w:w="6219" w:type="dxa"/>
                </w:tcPr>
                <w:p w14:paraId="2C8723B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4305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6934AC4D">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外观</w:t>
                  </w:r>
                </w:p>
              </w:tc>
              <w:tc>
                <w:tcPr>
                  <w:tcW w:w="6714" w:type="dxa"/>
                </w:tcPr>
                <w:p w14:paraId="03BB8CA0">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白色半透明结晶状固体</w:t>
                  </w:r>
                </w:p>
              </w:tc>
              <w:tc>
                <w:tcPr>
                  <w:tcW w:w="6219" w:type="dxa"/>
                </w:tcPr>
                <w:p w14:paraId="68E1E700">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1F04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363F4EA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分子式</w:t>
                  </w:r>
                </w:p>
              </w:tc>
              <w:tc>
                <w:tcPr>
                  <w:tcW w:w="6714" w:type="dxa"/>
                </w:tcPr>
                <w:p w14:paraId="0917F034">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NaOH</w:t>
                  </w:r>
                </w:p>
              </w:tc>
              <w:tc>
                <w:tcPr>
                  <w:tcW w:w="6219" w:type="dxa"/>
                </w:tcPr>
                <w:p w14:paraId="322A81DD">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0706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021C0FC">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熔点</w:t>
                  </w:r>
                </w:p>
              </w:tc>
              <w:tc>
                <w:tcPr>
                  <w:tcW w:w="6714" w:type="dxa"/>
                </w:tcPr>
                <w:p w14:paraId="6C5004D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318.4℃</w:t>
                  </w:r>
                </w:p>
              </w:tc>
              <w:tc>
                <w:tcPr>
                  <w:tcW w:w="6219" w:type="dxa"/>
                </w:tcPr>
                <w:p w14:paraId="6CA53D9A">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3C36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21263DB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沸点</w:t>
                  </w:r>
                </w:p>
              </w:tc>
              <w:tc>
                <w:tcPr>
                  <w:tcW w:w="6714" w:type="dxa"/>
                </w:tcPr>
                <w:p w14:paraId="4292AF7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1390℃</w:t>
                  </w:r>
                </w:p>
              </w:tc>
              <w:tc>
                <w:tcPr>
                  <w:tcW w:w="6219" w:type="dxa"/>
                </w:tcPr>
                <w:p w14:paraId="12F1B98E">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318B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4260114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相对密度</w:t>
                  </w:r>
                </w:p>
              </w:tc>
              <w:tc>
                <w:tcPr>
                  <w:tcW w:w="6714" w:type="dxa"/>
                </w:tcPr>
                <w:p w14:paraId="33E3BB65">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2.13 (水=1)</w:t>
                  </w:r>
                </w:p>
              </w:tc>
              <w:tc>
                <w:tcPr>
                  <w:tcW w:w="6219" w:type="dxa"/>
                </w:tcPr>
                <w:p w14:paraId="50EFA552">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0884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0C50521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溶剂性</w:t>
                  </w:r>
                </w:p>
              </w:tc>
              <w:tc>
                <w:tcPr>
                  <w:tcW w:w="6714" w:type="dxa"/>
                </w:tcPr>
                <w:p w14:paraId="39DB0990">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易溶于水、乙醇和甘油</w:t>
                  </w:r>
                </w:p>
              </w:tc>
              <w:tc>
                <w:tcPr>
                  <w:tcW w:w="6219" w:type="dxa"/>
                </w:tcPr>
                <w:p w14:paraId="084B08BF">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4189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tcPr>
                <w:p w14:paraId="1BD38F42">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溶解特性</w:t>
                  </w:r>
                </w:p>
              </w:tc>
              <w:tc>
                <w:tcPr>
                  <w:tcW w:w="6714" w:type="dxa"/>
                </w:tcPr>
                <w:p w14:paraId="1C1DFA23">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强放热反应，溶解时释放大量热量</w:t>
                  </w:r>
                </w:p>
              </w:tc>
              <w:tc>
                <w:tcPr>
                  <w:tcW w:w="6219" w:type="dxa"/>
                </w:tcPr>
                <w:p w14:paraId="1EFE4495">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p>
              </w:tc>
            </w:tr>
            <w:tr w14:paraId="25F3D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14:paraId="6085FCB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危险特性</w:t>
                  </w:r>
                </w:p>
              </w:tc>
              <w:tc>
                <w:tcPr>
                  <w:tcW w:w="6714" w:type="dxa"/>
                  <w:vAlign w:val="center"/>
                </w:tcPr>
                <w:p w14:paraId="449D1C62">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本身不燃，但对多数金属（如铝、锌、锡）具有腐蚀性，遇湿会反应并释放出易燃易爆的氢气。同时，与酸会发生剧烈的中和反应并放热。其溶液碱性极强，腐蚀性高</w:t>
                  </w:r>
                </w:p>
              </w:tc>
              <w:tc>
                <w:tcPr>
                  <w:tcW w:w="6219" w:type="dxa"/>
                  <w:vAlign w:val="center"/>
                </w:tcPr>
                <w:p w14:paraId="4E17ED5A">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p>
              </w:tc>
            </w:tr>
            <w:tr w14:paraId="3F993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14:paraId="2323D251">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健康危害</w:t>
                  </w:r>
                </w:p>
              </w:tc>
              <w:tc>
                <w:tcPr>
                  <w:tcW w:w="6714" w:type="dxa"/>
                  <w:vAlign w:val="center"/>
                </w:tcPr>
                <w:p w14:paraId="120153A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吸入：粉尘或烟雾会强烈刺激呼吸道，长期接触可腐蚀鼻中隔。</w:t>
                  </w:r>
                </w:p>
                <w:p w14:paraId="590B69D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食入：误服会造成消化道严重灼伤，可能引发出血和休克，且禁止催吐。</w:t>
                  </w:r>
                </w:p>
                <w:p w14:paraId="2ADD77BE">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皮肤/眼睛接触：直接接触会引起严重化学灼伤，甚至导致永久性损伤</w:t>
                  </w:r>
                </w:p>
              </w:tc>
              <w:tc>
                <w:tcPr>
                  <w:tcW w:w="6219" w:type="dxa"/>
                  <w:vAlign w:val="center"/>
                </w:tcPr>
                <w:p w14:paraId="7DD8B05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p>
              </w:tc>
            </w:tr>
            <w:tr w14:paraId="34BE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14:paraId="77351218">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应急处置</w:t>
                  </w:r>
                </w:p>
              </w:tc>
              <w:tc>
                <w:tcPr>
                  <w:tcW w:w="6714" w:type="dxa"/>
                  <w:vAlign w:val="center"/>
                </w:tcPr>
                <w:p w14:paraId="59EE6C19">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皮肤接触</w:t>
                  </w:r>
                  <w:r>
                    <w:rPr>
                      <w:rFonts w:hint="default" w:ascii="Times New Roman" w:hAns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立即脱去被污染的衣物，并用大量流动清水持续冲洗至少15分钟，然后尽快就医。</w:t>
                  </w:r>
                </w:p>
                <w:p w14:paraId="34BCB574">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眼睛接触</w:t>
                  </w:r>
                  <w:r>
                    <w:rPr>
                      <w:rFonts w:hint="default" w:ascii="Times New Roman" w:hAns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立刻分开眼睑，用流动清水或生理盐水持续冲洗至少5-10分钟，然后迅速就医。</w:t>
                  </w:r>
                </w:p>
                <w:p w14:paraId="06243A2A">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吸入</w:t>
                  </w:r>
                  <w:r>
                    <w:rPr>
                      <w:rFonts w:hint="default" w:ascii="Times New Roman" w:hAns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迅速脱离现场到空气新鲜处，保持呼吸道通畅。如呼吸困难应给予输氧，如呼吸、心跳停止，需立即进行心肺复苏。</w:t>
                  </w:r>
                </w:p>
                <w:p w14:paraId="4E08EEA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误食</w:t>
                  </w:r>
                  <w:r>
                    <w:rPr>
                      <w:rFonts w:hint="default" w:ascii="Times New Roman" w:hAnsi="Times New Roman" w:cs="Times New Roman"/>
                      <w:b w:val="0"/>
                      <w:bCs w:val="0"/>
                      <w:color w:val="auto"/>
                      <w:kern w:val="2"/>
                      <w:sz w:val="21"/>
                      <w:szCs w:val="21"/>
                      <w:lang w:val="en-US" w:eastAsia="zh-CN" w:bidi="ar-SA"/>
                    </w:rPr>
                    <w:t>：</w:t>
                  </w:r>
                  <w:r>
                    <w:rPr>
                      <w:rFonts w:hint="default" w:ascii="Times New Roman" w:hAnsi="Times New Roman" w:eastAsia="宋体" w:cs="Times New Roman"/>
                      <w:b w:val="0"/>
                      <w:bCs w:val="0"/>
                      <w:color w:val="auto"/>
                      <w:kern w:val="2"/>
                      <w:sz w:val="21"/>
                      <w:szCs w:val="21"/>
                      <w:lang w:val="en-US" w:eastAsia="zh-CN" w:bidi="ar-SA"/>
                    </w:rPr>
                    <w:t>立即用水漱口，但严禁催吐。可以饮用牛奶或蛋清以保护消化道黏膜，并立即就医</w:t>
                  </w:r>
                </w:p>
              </w:tc>
              <w:tc>
                <w:tcPr>
                  <w:tcW w:w="6219" w:type="dxa"/>
                  <w:vAlign w:val="center"/>
                </w:tcPr>
                <w:p w14:paraId="69F92F8E">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eastAsia="宋体" w:cs="Times New Roman"/>
                      <w:b w:val="0"/>
                      <w:bCs w:val="0"/>
                      <w:color w:val="auto"/>
                      <w:kern w:val="2"/>
                      <w:sz w:val="21"/>
                      <w:szCs w:val="21"/>
                      <w:lang w:val="en-US" w:eastAsia="zh-CN" w:bidi="ar-SA"/>
                    </w:rPr>
                  </w:pPr>
                </w:p>
              </w:tc>
            </w:tr>
            <w:tr w14:paraId="77C4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1" w:type="dxa"/>
                  <w:vAlign w:val="center"/>
                </w:tcPr>
                <w:p w14:paraId="24BF6441">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center"/>
                    <w:textAlignment w:val="auto"/>
                    <w:rPr>
                      <w:rFonts w:hint="default" w:ascii="Times New Roman" w:hAnsi="Times New Roman"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储存条件</w:t>
                  </w:r>
                </w:p>
              </w:tc>
              <w:tc>
                <w:tcPr>
                  <w:tcW w:w="6714" w:type="dxa"/>
                  <w:vAlign w:val="center"/>
                </w:tcPr>
                <w:p w14:paraId="5BF74A30">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b w:val="0"/>
                      <w:bCs w:val="0"/>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lang w:val="en-US" w:eastAsia="zh-CN" w:bidi="ar-SA"/>
                    </w:rPr>
                    <w:t>必须储存于阴凉、干燥、通风良好的库房内</w:t>
                  </w:r>
                  <w:r>
                    <w:rPr>
                      <w:rFonts w:hint="default" w:ascii="Times New Roman" w:hAnsi="Times New Roman" w:cs="Times New Roman"/>
                      <w:b w:val="0"/>
                      <w:bCs w:val="0"/>
                      <w:color w:val="auto"/>
                      <w:kern w:val="2"/>
                      <w:sz w:val="21"/>
                      <w:szCs w:val="21"/>
                      <w:lang w:val="en-US" w:eastAsia="zh-CN" w:bidi="ar-SA"/>
                    </w:rPr>
                    <w:t>；</w:t>
                  </w:r>
                </w:p>
                <w:p w14:paraId="5B4693FE">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b w:val="0"/>
                      <w:bCs w:val="0"/>
                      <w:color w:val="auto"/>
                      <w:kern w:val="2"/>
                      <w:sz w:val="21"/>
                      <w:szCs w:val="21"/>
                      <w:lang w:val="en-US" w:eastAsia="zh-CN" w:bidi="ar-SA"/>
                    </w:rPr>
                  </w:pPr>
                  <w:r>
                    <w:rPr>
                      <w:rFonts w:hint="default" w:ascii="Times New Roman" w:hAnsi="Times New Roman" w:cs="Times New Roman"/>
                      <w:b w:val="0"/>
                      <w:bCs w:val="0"/>
                      <w:color w:val="auto"/>
                      <w:kern w:val="2"/>
                      <w:sz w:val="21"/>
                      <w:szCs w:val="21"/>
                      <w:lang w:val="en-US" w:eastAsia="zh-CN" w:bidi="ar-SA"/>
                    </w:rPr>
                    <w:t>库房温度不宜超过35℃，相对湿度不应大于80%。包装必须密封，以防受潮；</w:t>
                  </w:r>
                </w:p>
                <w:p w14:paraId="79594FCD">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lang w:val="en-US" w:eastAsia="zh-CN"/>
                    </w:rPr>
                  </w:pPr>
                  <w:r>
                    <w:rPr>
                      <w:rFonts w:hint="default" w:ascii="Times New Roman" w:hAnsi="Times New Roman" w:cs="Times New Roman"/>
                      <w:b w:val="0"/>
                      <w:bCs w:val="0"/>
                      <w:color w:val="auto"/>
                      <w:kern w:val="2"/>
                      <w:sz w:val="21"/>
                      <w:szCs w:val="21"/>
                      <w:lang w:val="en-US" w:eastAsia="zh-CN" w:bidi="ar-SA"/>
                    </w:rPr>
                    <w:t>应与酸类、易燃或可燃物等严格分开存放。</w:t>
                  </w:r>
                </w:p>
              </w:tc>
              <w:tc>
                <w:tcPr>
                  <w:tcW w:w="6219" w:type="dxa"/>
                  <w:vAlign w:val="center"/>
                </w:tcPr>
                <w:p w14:paraId="2DE40067">
                  <w:pPr>
                    <w:pStyle w:val="7"/>
                    <w:keepNext w:val="0"/>
                    <w:keepLines w:val="0"/>
                    <w:pageBreakBefore w:val="0"/>
                    <w:widowControl w:val="0"/>
                    <w:kinsoku/>
                    <w:wordWrap/>
                    <w:overflowPunct/>
                    <w:topLinePunct w:val="0"/>
                    <w:autoSpaceDE/>
                    <w:autoSpaceDN/>
                    <w:bidi w:val="0"/>
                    <w:adjustRightInd/>
                    <w:snapToGrid/>
                    <w:spacing w:before="60" w:after="60"/>
                    <w:ind w:left="0" w:leftChars="0" w:firstLine="0" w:firstLineChars="0"/>
                    <w:jc w:val="both"/>
                    <w:textAlignment w:val="auto"/>
                    <w:rPr>
                      <w:rFonts w:hint="default" w:ascii="Times New Roman" w:hAnsi="Times New Roman" w:cs="Times New Roman"/>
                      <w:b w:val="0"/>
                      <w:bCs w:val="0"/>
                      <w:color w:val="auto"/>
                      <w:kern w:val="2"/>
                      <w:sz w:val="21"/>
                      <w:szCs w:val="21"/>
                      <w:lang w:val="en-US" w:eastAsia="zh-CN" w:bidi="ar-SA"/>
                    </w:rPr>
                  </w:pPr>
                </w:p>
              </w:tc>
            </w:tr>
          </w:tbl>
          <w:p w14:paraId="183F7698">
            <w:pPr>
              <w:autoSpaceDE w:val="0"/>
              <w:autoSpaceDN w:val="0"/>
              <w:adjustRightInd w:val="0"/>
              <w:snapToGrid w:val="0"/>
              <w:spacing w:line="360" w:lineRule="auto"/>
              <w:jc w:val="center"/>
              <w:rPr>
                <w:rFonts w:hint="default" w:ascii="Times New Roman" w:hAnsi="Times New Roman" w:cs="Times New Roman"/>
                <w:b/>
                <w:bCs/>
                <w:color w:val="000000" w:themeColor="text1"/>
                <w:kern w:val="0"/>
                <w:sz w:val="21"/>
                <w:szCs w:val="21"/>
                <w:lang w:val="en-US" w:eastAsia="zh-CN"/>
              </w:rPr>
            </w:pPr>
            <w:r>
              <w:rPr>
                <w:rFonts w:hint="default" w:ascii="Times New Roman" w:hAnsi="Times New Roman" w:cs="Times New Roman"/>
                <w:b/>
                <w:bCs/>
                <w:color w:val="000000" w:themeColor="text1"/>
                <w:kern w:val="0"/>
                <w:sz w:val="21"/>
                <w:szCs w:val="21"/>
                <w:lang w:val="en-US" w:eastAsia="zh-CN"/>
              </w:rPr>
              <w:t>表2-</w:t>
            </w:r>
            <w:r>
              <w:rPr>
                <w:rFonts w:hint="eastAsia" w:cs="Times New Roman"/>
                <w:b/>
                <w:bCs/>
                <w:color w:val="000000" w:themeColor="text1"/>
                <w:kern w:val="0"/>
                <w:sz w:val="21"/>
                <w:szCs w:val="21"/>
                <w:lang w:val="en-US" w:eastAsia="zh-CN"/>
              </w:rPr>
              <w:t>9</w:t>
            </w:r>
            <w:r>
              <w:rPr>
                <w:rFonts w:hint="default" w:ascii="Times New Roman" w:hAnsi="Times New Roman" w:cs="Times New Roman"/>
                <w:b/>
                <w:bCs/>
                <w:color w:val="000000" w:themeColor="text1"/>
                <w:kern w:val="0"/>
                <w:sz w:val="21"/>
                <w:szCs w:val="21"/>
                <w:lang w:val="en-US" w:eastAsia="zh-CN"/>
              </w:rPr>
              <w:t xml:space="preserve"> </w:t>
            </w:r>
            <w:r>
              <w:rPr>
                <w:rFonts w:hint="eastAsia" w:ascii="Times New Roman" w:hAnsi="Times New Roman" w:cs="Times New Roman"/>
                <w:b/>
                <w:bCs/>
                <w:color w:val="000000" w:themeColor="text1"/>
                <w:kern w:val="0"/>
                <w:sz w:val="21"/>
                <w:szCs w:val="21"/>
                <w:lang w:val="en-US" w:eastAsia="zh-CN"/>
              </w:rPr>
              <w:t>熟</w:t>
            </w:r>
            <w:r>
              <w:rPr>
                <w:rFonts w:hint="default" w:ascii="Times New Roman" w:hAnsi="Times New Roman" w:cs="Times New Roman"/>
                <w:b/>
                <w:bCs/>
                <w:color w:val="000000" w:themeColor="text1"/>
                <w:kern w:val="0"/>
                <w:sz w:val="21"/>
                <w:szCs w:val="21"/>
                <w:lang w:val="en-US" w:eastAsia="zh-CN"/>
              </w:rPr>
              <w:t>石灰</w:t>
            </w:r>
            <w:r>
              <w:rPr>
                <w:rFonts w:hint="eastAsia" w:ascii="Times New Roman" w:hAnsi="Times New Roman" w:cs="Times New Roman"/>
                <w:b/>
                <w:bCs/>
                <w:color w:val="000000" w:themeColor="text1"/>
                <w:kern w:val="0"/>
                <w:sz w:val="21"/>
                <w:szCs w:val="21"/>
                <w:lang w:val="en-US" w:eastAsia="zh-CN"/>
              </w:rPr>
              <w:t>（氢氧化钙）</w:t>
            </w:r>
            <w:r>
              <w:rPr>
                <w:rFonts w:hint="default" w:ascii="Times New Roman" w:hAnsi="Times New Roman" w:cs="Times New Roman"/>
                <w:b/>
                <w:bCs/>
                <w:color w:val="000000" w:themeColor="text1"/>
                <w:kern w:val="0"/>
                <w:sz w:val="21"/>
                <w:szCs w:val="21"/>
                <w:lang w:val="en-US" w:eastAsia="zh-CN"/>
              </w:rPr>
              <w:t>的理化性质及危险特性</w:t>
            </w:r>
          </w:p>
          <w:tbl>
            <w:tblPr>
              <w:tblStyle w:val="25"/>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6744"/>
            </w:tblGrid>
            <w:tr w14:paraId="40D0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1201" w:type="dxa"/>
                  <w:vAlign w:val="center"/>
                </w:tcPr>
                <w:p w14:paraId="5F5963D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学名</w:t>
                  </w:r>
                </w:p>
              </w:tc>
              <w:tc>
                <w:tcPr>
                  <w:tcW w:w="6744" w:type="dxa"/>
                  <w:vAlign w:val="center"/>
                </w:tcPr>
                <w:p w14:paraId="37D9779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氢氧化钙</w:t>
                  </w:r>
                </w:p>
              </w:tc>
            </w:tr>
            <w:tr w14:paraId="2391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21D7C5E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化学式</w:t>
                  </w:r>
                </w:p>
              </w:tc>
              <w:tc>
                <w:tcPr>
                  <w:tcW w:w="6744" w:type="dxa"/>
                  <w:vAlign w:val="center"/>
                </w:tcPr>
                <w:p w14:paraId="204DFF9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Ca(OH)₂</w:t>
                  </w:r>
                </w:p>
              </w:tc>
            </w:tr>
            <w:tr w14:paraId="1813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1FB1BA3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外观形态</w:t>
                  </w:r>
                </w:p>
              </w:tc>
              <w:tc>
                <w:tcPr>
                  <w:tcW w:w="6744" w:type="dxa"/>
                  <w:vAlign w:val="center"/>
                </w:tcPr>
                <w:p w14:paraId="6196505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熟石灰（氢氧化钙）</w:t>
                  </w:r>
                  <w:r>
                    <w:rPr>
                      <w:rFonts w:hint="eastAsia" w:cs="Times New Roman"/>
                      <w:color w:val="000000" w:themeColor="text1"/>
                      <w:sz w:val="21"/>
                      <w:szCs w:val="22"/>
                      <w:vertAlign w:val="baseline"/>
                      <w:lang w:val="en-US" w:eastAsia="zh-CN"/>
                    </w:rPr>
                    <w:t>通常</w:t>
                  </w:r>
                  <w:r>
                    <w:rPr>
                      <w:rFonts w:hint="default" w:ascii="Times New Roman" w:hAnsi="Times New Roman" w:cs="Times New Roman"/>
                      <w:color w:val="000000" w:themeColor="text1"/>
                      <w:sz w:val="21"/>
                      <w:szCs w:val="22"/>
                      <w:vertAlign w:val="baseline"/>
                      <w:lang w:val="en-US" w:eastAsia="zh-CN"/>
                    </w:rPr>
                    <w:t>为细腻的白色粉末</w:t>
                  </w:r>
                </w:p>
              </w:tc>
            </w:tr>
            <w:tr w14:paraId="09B3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5A8D047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溶解性</w:t>
                  </w:r>
                </w:p>
              </w:tc>
              <w:tc>
                <w:tcPr>
                  <w:tcW w:w="6744" w:type="dxa"/>
                  <w:vAlign w:val="center"/>
                </w:tcPr>
                <w:p w14:paraId="0730D00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微溶于水溶解度随温度升高而降低。其水溶液呈强碱性，25℃时饱和溶液的pH值约为12.4。不溶于乙醇，但可溶于甘油、酸和铵盐溶液</w:t>
                  </w:r>
                </w:p>
              </w:tc>
            </w:tr>
            <w:tr w14:paraId="7F3B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2C7F32E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吸湿性</w:t>
                  </w:r>
                </w:p>
              </w:tc>
              <w:tc>
                <w:tcPr>
                  <w:tcW w:w="6744" w:type="dxa"/>
                  <w:vAlign w:val="center"/>
                </w:tcPr>
                <w:p w14:paraId="33B331E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具有极强的吸湿性，暴露在空气中极易吸收水分并吸收二氧化碳，逐渐硬化生成碳酸钙</w:t>
                  </w:r>
                </w:p>
              </w:tc>
            </w:tr>
            <w:tr w14:paraId="07B7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63D64F4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热稳定性</w:t>
                  </w:r>
                </w:p>
              </w:tc>
              <w:tc>
                <w:tcPr>
                  <w:tcW w:w="6744" w:type="dxa"/>
                  <w:vAlign w:val="center"/>
                </w:tcPr>
                <w:p w14:paraId="55184E6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熟石灰加热至580℃左右时会脱水分解，重新生成生石灰和水</w:t>
                  </w:r>
                </w:p>
              </w:tc>
            </w:tr>
            <w:tr w14:paraId="289D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1201" w:type="dxa"/>
                  <w:vAlign w:val="center"/>
                </w:tcPr>
                <w:p w14:paraId="1EEF29E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化学性质</w:t>
                  </w:r>
                </w:p>
              </w:tc>
              <w:tc>
                <w:tcPr>
                  <w:tcW w:w="6744" w:type="dxa"/>
                  <w:vAlign w:val="center"/>
                </w:tcPr>
                <w:p w14:paraId="1A1AF8D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碱性：作为强碱，能与酸发生剧烈的中和反应。</w:t>
                  </w:r>
                </w:p>
                <w:p w14:paraId="7812BB4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与二氧化碳反应：会吸收空气中的二氧化碳，逐渐变质为碳酸钙。</w:t>
                  </w:r>
                </w:p>
                <w:p w14:paraId="21FF4BA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与金属反应：在潮湿条件下，会腐蚀铝、锌等两性金属，并产生易燃的氢气</w:t>
                  </w:r>
                </w:p>
              </w:tc>
            </w:tr>
            <w:tr w14:paraId="763D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5794341A">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危险特性</w:t>
                  </w:r>
                </w:p>
              </w:tc>
              <w:tc>
                <w:tcPr>
                  <w:tcW w:w="6744" w:type="dxa"/>
                  <w:vAlign w:val="center"/>
                </w:tcPr>
                <w:p w14:paraId="28EFB9C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与酸：与酸类物质（如盐酸、硫酸）会发生剧烈反应，并释放大量热。</w:t>
                  </w:r>
                </w:p>
                <w:p w14:paraId="547A156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与金属：如前所述，遇水会腐蚀铝、锌等金属，产生易燃易爆的氢气。</w:t>
                  </w:r>
                </w:p>
                <w:p w14:paraId="1301D03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与有机物：可能与某些有机物（如硝基烷烃）反应，生成具有爆炸性的盐类</w:t>
                  </w:r>
                </w:p>
              </w:tc>
            </w:tr>
            <w:tr w14:paraId="0023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2B38134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健康危害</w:t>
                  </w:r>
                </w:p>
              </w:tc>
              <w:tc>
                <w:tcPr>
                  <w:tcW w:w="6744" w:type="dxa"/>
                  <w:vAlign w:val="center"/>
                </w:tcPr>
                <w:p w14:paraId="493D5CF0">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皮肤接触：石灰具有强碱性，接触皮肤后会吸收水分、溶解蛋白质并使脂肪皂化，导致严重的化学灼伤（表现为红斑、水疱、溃疡）。</w:t>
                  </w:r>
                </w:p>
                <w:p w14:paraId="6006E470">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眼部损伤：石灰粉尘或溶液溅入眼内，能迅速穿透角膜与结膜，造成角膜浑浊、溃疡甚至穿孔，致盲率极高。</w:t>
                  </w:r>
                </w:p>
                <w:p w14:paraId="21E5066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消化道损伤：误服会严重灼伤口腔、食管和胃肠道黏膜，引发剧烈疼痛、呕吐、穿孔及代谢性碱中毒，后果极其凶险</w:t>
                  </w:r>
                  <w:r>
                    <w:rPr>
                      <w:rFonts w:hint="eastAsia" w:cs="Times New Roman"/>
                      <w:color w:val="000000" w:themeColor="text1"/>
                      <w:sz w:val="21"/>
                      <w:szCs w:val="22"/>
                      <w:vertAlign w:val="baseline"/>
                      <w:lang w:val="en-US" w:eastAsia="zh-CN"/>
                    </w:rPr>
                    <w:t>。</w:t>
                  </w:r>
                </w:p>
              </w:tc>
            </w:tr>
            <w:tr w14:paraId="1A8B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7D5CE34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安全防护</w:t>
                  </w:r>
                </w:p>
              </w:tc>
              <w:tc>
                <w:tcPr>
                  <w:tcW w:w="6744" w:type="dxa"/>
                  <w:vAlign w:val="center"/>
                </w:tcPr>
                <w:p w14:paraId="785CD3F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操作时必须佩戴防尘口罩/呼吸器、化学安全防护眼镜、橡胶耐酸碱手套及防护服，并确保作业环境通风良好</w:t>
                  </w:r>
                </w:p>
              </w:tc>
            </w:tr>
            <w:tr w14:paraId="2FD9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4DCF369A">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急救建议</w:t>
                  </w:r>
                </w:p>
              </w:tc>
              <w:tc>
                <w:tcPr>
                  <w:tcW w:w="6744" w:type="dxa"/>
                  <w:vAlign w:val="center"/>
                </w:tcPr>
                <w:p w14:paraId="1F13BEA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皮肤接触：先用软布或干纸巾轻轻擦除表面粉末，再用大量流动清水冲洗至少15-30分钟，切忌直接用水冲洗以免放热加重灼伤。</w:t>
                  </w:r>
                </w:p>
                <w:p w14:paraId="1BAA22A0">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眼睛接触：立即提起眼睑，用大量流动清水或生理盐水彻底冲洗至少15分钟，切勿揉搓，并紧急就医。</w:t>
                  </w:r>
                </w:p>
                <w:p w14:paraId="5CB905C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误服：立即漱口，可口服牛奶、蛋清或植物油以保护消化道黏膜。绝对禁止催吐或使用酸性物质中和，以免加重穿孔风险或产生二次热灼伤，需立即就医</w:t>
                  </w:r>
                </w:p>
              </w:tc>
            </w:tr>
            <w:tr w14:paraId="1862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1" w:type="dxa"/>
                  <w:vAlign w:val="center"/>
                </w:tcPr>
                <w:p w14:paraId="53B5035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储存要求</w:t>
                  </w:r>
                </w:p>
              </w:tc>
              <w:tc>
                <w:tcPr>
                  <w:tcW w:w="6744" w:type="dxa"/>
                  <w:vAlign w:val="center"/>
                </w:tcPr>
                <w:p w14:paraId="5627A97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w:rPr>
                      <w:rFonts w:hint="default" w:ascii="Times New Roman" w:hAnsi="Times New Roman" w:cs="Times New Roman"/>
                      <w:color w:val="000000" w:themeColor="text1"/>
                      <w:sz w:val="21"/>
                      <w:szCs w:val="22"/>
                      <w:vertAlign w:val="baseline"/>
                      <w:lang w:val="en-US" w:eastAsia="zh-CN"/>
                    </w:rPr>
                  </w:pPr>
                  <w:r>
                    <w:rPr>
                      <w:rFonts w:hint="default" w:ascii="Times New Roman" w:hAnsi="Times New Roman" w:cs="Times New Roman"/>
                      <w:color w:val="000000" w:themeColor="text1"/>
                      <w:sz w:val="21"/>
                      <w:szCs w:val="22"/>
                      <w:vertAlign w:val="baseline"/>
                      <w:lang w:val="en-US" w:eastAsia="zh-CN"/>
                    </w:rPr>
                    <w:t>必须储存于阴凉、干燥、通风的库房，严防受潮，且严禁与酸类物质、有机物或易燃物混储混运</w:t>
                  </w:r>
                </w:p>
              </w:tc>
            </w:tr>
          </w:tbl>
          <w:p w14:paraId="1C17D746">
            <w:pPr>
              <w:autoSpaceDE w:val="0"/>
              <w:autoSpaceDN w:val="0"/>
              <w:adjustRightInd w:val="0"/>
              <w:snapToGrid w:val="0"/>
              <w:spacing w:line="360" w:lineRule="auto"/>
              <w:jc w:val="left"/>
              <w:rPr>
                <w:rFonts w:hint="default" w:ascii="Times New Roman" w:hAnsi="Times New Roman" w:eastAsia="宋体" w:cs="Times New Roman"/>
                <w:b/>
                <w:bCs/>
                <w:kern w:val="0"/>
                <w:sz w:val="24"/>
                <w:szCs w:val="24"/>
              </w:rPr>
            </w:pPr>
            <w:r>
              <w:rPr>
                <w:rFonts w:hint="eastAsia" w:cs="Times New Roman"/>
                <w:b/>
                <w:bCs/>
                <w:kern w:val="0"/>
                <w:sz w:val="24"/>
                <w:szCs w:val="24"/>
                <w:lang w:val="en-US" w:eastAsia="zh-CN"/>
              </w:rPr>
              <w:t>7</w:t>
            </w:r>
            <w:r>
              <w:rPr>
                <w:rFonts w:hint="default" w:ascii="Times New Roman" w:hAnsi="Times New Roman" w:eastAsia="宋体" w:cs="Times New Roman"/>
                <w:b/>
                <w:bCs/>
                <w:kern w:val="0"/>
                <w:sz w:val="24"/>
                <w:szCs w:val="24"/>
              </w:rPr>
              <w:t>、项目平面布置</w:t>
            </w:r>
          </w:p>
          <w:p w14:paraId="660731D4">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本项目位于</w:t>
            </w:r>
            <w:r>
              <w:rPr>
                <w:rFonts w:hint="default" w:ascii="Times New Roman" w:hAnsi="Times New Roman" w:cs="Times New Roman"/>
                <w:sz w:val="24"/>
                <w:szCs w:val="24"/>
                <w:lang w:eastAsia="zh-CN"/>
              </w:rPr>
              <w:t>岳阳市南湖大道399号</w:t>
            </w:r>
            <w:r>
              <w:rPr>
                <w:rFonts w:hint="default" w:ascii="Times New Roman" w:hAnsi="Times New Roman" w:eastAsia="宋体" w:cs="Times New Roman"/>
                <w:sz w:val="24"/>
                <w:szCs w:val="24"/>
              </w:rPr>
              <w:t>，</w:t>
            </w:r>
            <w:r>
              <w:rPr>
                <w:rFonts w:hint="default" w:ascii="Times New Roman" w:hAnsi="Times New Roman" w:cs="Times New Roman"/>
                <w:sz w:val="24"/>
                <w:szCs w:val="24"/>
                <w:lang w:val="en-US" w:eastAsia="zh-CN"/>
              </w:rPr>
              <w:t>东侧临近</w:t>
            </w:r>
            <w:r>
              <w:rPr>
                <w:rFonts w:hint="eastAsia" w:ascii="Times New Roman" w:hAnsi="Times New Roman" w:cs="Times New Roman"/>
                <w:sz w:val="24"/>
                <w:szCs w:val="24"/>
                <w:lang w:val="en-US" w:eastAsia="zh-CN"/>
              </w:rPr>
              <w:t>南湖</w:t>
            </w:r>
            <w:r>
              <w:rPr>
                <w:rFonts w:hint="default" w:ascii="Times New Roman" w:hAnsi="Times New Roman" w:cs="Times New Roman"/>
                <w:sz w:val="24"/>
                <w:szCs w:val="24"/>
                <w:lang w:val="en-US" w:eastAsia="zh-CN"/>
              </w:rPr>
              <w:t>大道设置为主出入口，</w:t>
            </w:r>
            <w:r>
              <w:rPr>
                <w:rFonts w:hint="eastAsia" w:ascii="Times New Roman" w:hAnsi="Times New Roman" w:cs="Times New Roman"/>
                <w:sz w:val="24"/>
                <w:szCs w:val="24"/>
                <w:lang w:val="en-US" w:eastAsia="zh-CN"/>
              </w:rPr>
              <w:t>北侧为</w:t>
            </w:r>
            <w:r>
              <w:rPr>
                <w:rFonts w:hint="default" w:ascii="Times New Roman" w:hAnsi="Times New Roman" w:cs="Times New Roman"/>
                <w:sz w:val="24"/>
                <w:szCs w:val="24"/>
                <w:lang w:val="en-US" w:eastAsia="zh-CN"/>
              </w:rPr>
              <w:t>综合楼</w:t>
            </w:r>
            <w:r>
              <w:rPr>
                <w:rFonts w:hint="eastAsia" w:ascii="Times New Roman" w:hAnsi="Times New Roman" w:cs="Times New Roman"/>
                <w:sz w:val="24"/>
                <w:szCs w:val="24"/>
                <w:lang w:val="en-US" w:eastAsia="zh-CN"/>
              </w:rPr>
              <w:t>，综合楼</w:t>
            </w:r>
            <w:r>
              <w:rPr>
                <w:rFonts w:hint="default" w:ascii="Times New Roman" w:hAnsi="Times New Roman" w:cs="Times New Roman"/>
                <w:sz w:val="24"/>
                <w:szCs w:val="24"/>
                <w:lang w:val="en-US" w:eastAsia="zh-CN"/>
              </w:rPr>
              <w:t>北</w:t>
            </w:r>
            <w:r>
              <w:rPr>
                <w:rFonts w:hint="eastAsia" w:ascii="Times New Roman" w:hAnsi="Times New Roman" w:cs="Times New Roman"/>
                <w:sz w:val="24"/>
                <w:szCs w:val="24"/>
                <w:lang w:val="en-US" w:eastAsia="zh-CN"/>
              </w:rPr>
              <w:t>侧</w:t>
            </w:r>
            <w:r>
              <w:rPr>
                <w:rFonts w:hint="default" w:ascii="Times New Roman" w:hAnsi="Times New Roman" w:cs="Times New Roman"/>
                <w:sz w:val="24"/>
                <w:szCs w:val="24"/>
                <w:lang w:val="en-US" w:eastAsia="zh-CN"/>
              </w:rPr>
              <w:t>为医院综合污水处理站</w:t>
            </w:r>
            <w:r>
              <w:rPr>
                <w:rFonts w:hint="eastAsia" w:ascii="Times New Roman" w:hAnsi="Times New Roman" w:cs="Times New Roman"/>
                <w:color w:val="000000" w:themeColor="text1"/>
                <w:sz w:val="24"/>
                <w:szCs w:val="24"/>
                <w:lang w:val="en-US" w:eastAsia="zh-CN"/>
              </w:rPr>
              <w:t>，综合楼西北侧为</w:t>
            </w:r>
            <w:r>
              <w:rPr>
                <w:rFonts w:hint="eastAsia" w:cs="Times New Roman"/>
                <w:color w:val="000000" w:themeColor="text1"/>
                <w:sz w:val="24"/>
                <w:szCs w:val="24"/>
                <w:lang w:val="en-US" w:eastAsia="zh-CN"/>
              </w:rPr>
              <w:t>辅助用房</w:t>
            </w:r>
            <w:r>
              <w:rPr>
                <w:rFonts w:hint="default" w:ascii="Times New Roman" w:hAnsi="Times New Roman" w:cs="Times New Roman"/>
                <w:color w:val="000000" w:themeColor="text1"/>
                <w:sz w:val="24"/>
                <w:szCs w:val="24"/>
                <w:lang w:val="en-US" w:eastAsia="zh-CN"/>
              </w:rPr>
              <w:t>，南</w:t>
            </w:r>
            <w:r>
              <w:rPr>
                <w:rFonts w:hint="default" w:ascii="Times New Roman" w:hAnsi="Times New Roman" w:cs="Times New Roman"/>
                <w:sz w:val="24"/>
                <w:szCs w:val="24"/>
                <w:lang w:val="en-US" w:eastAsia="zh-CN"/>
              </w:rPr>
              <w:t>侧为行政办公楼、西侧为传染病楼，西北侧依次为危废暂存间、传染病楼污水处理间、锅炉房</w:t>
            </w:r>
            <w:r>
              <w:rPr>
                <w:rFonts w:hint="default" w:ascii="Times New Roman" w:hAnsi="Times New Roman" w:cs="Times New Roman"/>
                <w:kern w:val="0"/>
                <w:sz w:val="24"/>
                <w:szCs w:val="24"/>
                <w:lang w:val="en-US" w:eastAsia="zh-CN"/>
              </w:rPr>
              <w:t>。</w:t>
            </w:r>
          </w:p>
          <w:p w14:paraId="2D0FA976">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cs="Times New Roman"/>
                <w:kern w:val="0"/>
                <w:sz w:val="24"/>
                <w:szCs w:val="24"/>
                <w:lang w:val="en-US" w:eastAsia="zh-CN"/>
              </w:rPr>
              <w:t>整体布局合理、功能清晰</w:t>
            </w:r>
            <w:r>
              <w:rPr>
                <w:rFonts w:hint="default" w:ascii="Times New Roman" w:hAnsi="Times New Roman" w:eastAsia="宋体" w:cs="Times New Roman"/>
                <w:kern w:val="0"/>
                <w:sz w:val="24"/>
                <w:szCs w:val="24"/>
              </w:rPr>
              <w:t>。（平面布置详见附图2）</w:t>
            </w:r>
          </w:p>
          <w:p w14:paraId="46135A28">
            <w:pPr>
              <w:autoSpaceDE w:val="0"/>
              <w:autoSpaceDN w:val="0"/>
              <w:adjustRightInd w:val="0"/>
              <w:snapToGrid w:val="0"/>
              <w:spacing w:line="360" w:lineRule="auto"/>
              <w:jc w:val="left"/>
              <w:rPr>
                <w:rFonts w:hint="default" w:ascii="Times New Roman" w:hAnsi="Times New Roman" w:eastAsia="宋体" w:cs="Times New Roman"/>
                <w:kern w:val="0"/>
                <w:sz w:val="24"/>
                <w:szCs w:val="24"/>
              </w:rPr>
            </w:pPr>
            <w:r>
              <w:rPr>
                <w:rFonts w:hint="eastAsia" w:cs="Times New Roman"/>
                <w:b/>
                <w:bCs/>
                <w:kern w:val="0"/>
                <w:sz w:val="24"/>
                <w:szCs w:val="24"/>
                <w:lang w:val="en-US" w:eastAsia="zh-CN"/>
              </w:rPr>
              <w:t>8</w:t>
            </w:r>
            <w:r>
              <w:rPr>
                <w:rFonts w:hint="default" w:ascii="Times New Roman" w:hAnsi="Times New Roman" w:eastAsia="宋体" w:cs="Times New Roman"/>
                <w:b/>
                <w:bCs/>
                <w:kern w:val="0"/>
                <w:sz w:val="24"/>
                <w:szCs w:val="24"/>
              </w:rPr>
              <w:t>、工作制度和劳动定员</w:t>
            </w:r>
          </w:p>
          <w:p w14:paraId="5594C323">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本项目劳动定员</w:t>
            </w:r>
            <w:r>
              <w:rPr>
                <w:rFonts w:hint="default" w:ascii="Times New Roman" w:hAnsi="Times New Roman" w:cs="Times New Roman"/>
                <w:kern w:val="0"/>
                <w:sz w:val="24"/>
                <w:szCs w:val="24"/>
                <w:lang w:val="en-US" w:eastAsia="zh-CN"/>
              </w:rPr>
              <w:t>240人</w:t>
            </w:r>
            <w:r>
              <w:rPr>
                <w:rFonts w:hint="default" w:ascii="Times New Roman" w:hAnsi="Times New Roman" w:eastAsia="宋体" w:cs="Times New Roman"/>
                <w:kern w:val="0"/>
                <w:sz w:val="24"/>
                <w:szCs w:val="24"/>
              </w:rPr>
              <w:t>，医护人员采用3班制，一班8h，全年工作365天，</w:t>
            </w:r>
            <w:r>
              <w:rPr>
                <w:rFonts w:hint="default" w:ascii="Times New Roman" w:hAnsi="Times New Roman" w:cs="Times New Roman"/>
                <w:kern w:val="0"/>
                <w:sz w:val="24"/>
                <w:szCs w:val="24"/>
                <w:lang w:val="en-US" w:eastAsia="zh-CN"/>
              </w:rPr>
              <w:t>部分夜班护士、医生留宿</w:t>
            </w:r>
            <w:r>
              <w:rPr>
                <w:rFonts w:hint="default" w:ascii="Times New Roman" w:hAnsi="Times New Roman" w:eastAsia="宋体" w:cs="Times New Roman"/>
                <w:kern w:val="0"/>
                <w:sz w:val="24"/>
                <w:szCs w:val="24"/>
              </w:rPr>
              <w:t>。</w:t>
            </w:r>
          </w:p>
          <w:p w14:paraId="75F44A8A">
            <w:pPr>
              <w:autoSpaceDE w:val="0"/>
              <w:autoSpaceDN w:val="0"/>
              <w:adjustRightInd w:val="0"/>
              <w:snapToGrid w:val="0"/>
              <w:spacing w:line="360" w:lineRule="auto"/>
              <w:jc w:val="left"/>
              <w:rPr>
                <w:rFonts w:hint="default" w:ascii="Times New Roman" w:hAnsi="Times New Roman" w:eastAsia="宋体" w:cs="Times New Roman"/>
                <w:b/>
                <w:bCs/>
                <w:kern w:val="0"/>
                <w:sz w:val="24"/>
                <w:szCs w:val="24"/>
              </w:rPr>
            </w:pPr>
            <w:r>
              <w:rPr>
                <w:rFonts w:hint="eastAsia" w:cs="Times New Roman"/>
                <w:b/>
                <w:bCs/>
                <w:kern w:val="0"/>
                <w:sz w:val="24"/>
                <w:szCs w:val="24"/>
                <w:lang w:val="en-US" w:eastAsia="zh-CN"/>
              </w:rPr>
              <w:t>9</w:t>
            </w:r>
            <w:r>
              <w:rPr>
                <w:rFonts w:hint="default" w:ascii="Times New Roman" w:hAnsi="Times New Roman" w:eastAsia="宋体" w:cs="Times New Roman"/>
                <w:b/>
                <w:bCs/>
                <w:kern w:val="0"/>
                <w:sz w:val="24"/>
                <w:szCs w:val="24"/>
              </w:rPr>
              <w:t>、公用工程</w:t>
            </w:r>
          </w:p>
          <w:p w14:paraId="26F59296">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（1）供电</w:t>
            </w:r>
          </w:p>
          <w:p w14:paraId="5DCC41DC">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本项目用电由市政供电网供给，</w:t>
            </w:r>
            <w:r>
              <w:rPr>
                <w:rFonts w:hint="default" w:ascii="Times New Roman" w:hAnsi="Times New Roman" w:cs="Times New Roman"/>
                <w:kern w:val="0"/>
                <w:sz w:val="24"/>
                <w:szCs w:val="24"/>
                <w:lang w:val="en-US" w:eastAsia="zh-CN"/>
              </w:rPr>
              <w:t>备用电源为250KW柴油发电机</w:t>
            </w:r>
            <w:r>
              <w:rPr>
                <w:rFonts w:hint="default" w:ascii="Times New Roman" w:hAnsi="Times New Roman" w:eastAsia="宋体" w:cs="Times New Roman"/>
                <w:kern w:val="0"/>
                <w:sz w:val="24"/>
                <w:szCs w:val="24"/>
              </w:rPr>
              <w:t>。</w:t>
            </w:r>
          </w:p>
          <w:p w14:paraId="2BD4F7D6">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u w:val="none"/>
              </w:rPr>
            </w:pPr>
            <w:r>
              <w:rPr>
                <w:rFonts w:hint="default" w:ascii="Times New Roman" w:hAnsi="Times New Roman" w:eastAsia="宋体" w:cs="Times New Roman"/>
                <w:kern w:val="0"/>
                <w:sz w:val="24"/>
                <w:szCs w:val="24"/>
                <w:u w:val="none"/>
              </w:rPr>
              <w:t>（2）给水</w:t>
            </w:r>
          </w:p>
          <w:p w14:paraId="6FB19172">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本项目用水水源取自市政给水管网。</w:t>
            </w:r>
          </w:p>
          <w:p w14:paraId="0133CB3C">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（3）排水</w:t>
            </w:r>
          </w:p>
          <w:p w14:paraId="3E3431B2">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院内实行雨污分流。</w:t>
            </w:r>
          </w:p>
          <w:p w14:paraId="51AE5786">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cs="Times New Roman"/>
                <w:kern w:val="0"/>
                <w:sz w:val="24"/>
                <w:szCs w:val="24"/>
                <w:lang w:val="en-US" w:eastAsia="zh-CN"/>
              </w:rPr>
              <w:t>①</w:t>
            </w:r>
            <w:r>
              <w:rPr>
                <w:rFonts w:hint="default" w:ascii="Times New Roman" w:hAnsi="Times New Roman" w:eastAsia="宋体" w:cs="Times New Roman"/>
                <w:kern w:val="0"/>
                <w:sz w:val="24"/>
                <w:szCs w:val="24"/>
              </w:rPr>
              <w:t>雨水系统</w:t>
            </w:r>
          </w:p>
          <w:p w14:paraId="2E22A828">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院内</w:t>
            </w:r>
            <w:r>
              <w:rPr>
                <w:rFonts w:hint="eastAsia" w:cs="Times New Roman"/>
                <w:kern w:val="0"/>
                <w:sz w:val="24"/>
                <w:szCs w:val="24"/>
                <w:lang w:eastAsia="zh-CN"/>
              </w:rPr>
              <w:t>设置</w:t>
            </w:r>
            <w:r>
              <w:rPr>
                <w:rFonts w:hint="default" w:ascii="Times New Roman" w:hAnsi="Times New Roman" w:eastAsia="宋体" w:cs="Times New Roman"/>
                <w:kern w:val="0"/>
                <w:sz w:val="24"/>
                <w:szCs w:val="24"/>
              </w:rPr>
              <w:t>独立的雨水收集系统，建筑屋面雨水经雨水斗收集排至室外雨水管网，地面道路雨水经雨水口收集排至室外雨水管网，排至东</w:t>
            </w:r>
            <w:r>
              <w:rPr>
                <w:rFonts w:hint="eastAsia" w:cs="Times New Roman"/>
                <w:kern w:val="0"/>
                <w:sz w:val="24"/>
                <w:szCs w:val="24"/>
                <w:lang w:val="en-US" w:eastAsia="zh-CN"/>
              </w:rPr>
              <w:t>侧</w:t>
            </w:r>
            <w:r>
              <w:rPr>
                <w:rFonts w:hint="default" w:ascii="Times New Roman" w:hAnsi="Times New Roman" w:eastAsia="宋体" w:cs="Times New Roman"/>
                <w:kern w:val="0"/>
                <w:sz w:val="24"/>
                <w:szCs w:val="24"/>
              </w:rPr>
              <w:t>南湖大道路设置的市政雨水管道。</w:t>
            </w:r>
          </w:p>
          <w:p w14:paraId="0D841233">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cs="Times New Roman"/>
                <w:kern w:val="0"/>
                <w:sz w:val="24"/>
                <w:szCs w:val="24"/>
                <w:lang w:val="en-US" w:eastAsia="zh-CN"/>
              </w:rPr>
              <w:t>②</w:t>
            </w:r>
            <w:r>
              <w:rPr>
                <w:rFonts w:hint="default" w:ascii="Times New Roman" w:hAnsi="Times New Roman" w:eastAsia="宋体" w:cs="Times New Roman"/>
                <w:kern w:val="0"/>
                <w:sz w:val="24"/>
                <w:szCs w:val="24"/>
              </w:rPr>
              <w:t>污水系统</w:t>
            </w:r>
          </w:p>
          <w:p w14:paraId="169F15DE">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u w:val="single"/>
              </w:rPr>
              <w:t>医院内污水为单独管道收集系统，</w:t>
            </w:r>
            <w:r>
              <w:rPr>
                <w:rFonts w:hint="default" w:ascii="Times New Roman" w:hAnsi="Times New Roman" w:eastAsia="宋体" w:cs="Times New Roman"/>
                <w:color w:val="000000" w:themeColor="text1"/>
                <w:kern w:val="0"/>
                <w:sz w:val="24"/>
                <w:szCs w:val="24"/>
                <w:u w:val="single"/>
              </w:rPr>
              <w:t>其中</w:t>
            </w:r>
            <w:r>
              <w:rPr>
                <w:rFonts w:hint="eastAsia" w:cs="Times New Roman"/>
                <w:color w:val="000000" w:themeColor="text1"/>
                <w:kern w:val="0"/>
                <w:sz w:val="24"/>
                <w:szCs w:val="24"/>
                <w:u w:val="single"/>
                <w:lang w:val="en-US" w:eastAsia="zh-CN"/>
              </w:rPr>
              <w:t>食堂废水经隔油池预处理后排入医院的综合污水处理站处理，</w:t>
            </w:r>
            <w:r>
              <w:rPr>
                <w:rFonts w:hint="default" w:ascii="Times New Roman" w:hAnsi="Times New Roman" w:cs="Times New Roman"/>
                <w:color w:val="000000" w:themeColor="text1"/>
                <w:kern w:val="0"/>
                <w:sz w:val="24"/>
                <w:szCs w:val="24"/>
                <w:u w:val="single"/>
                <w:lang w:val="en-US" w:eastAsia="zh-CN"/>
              </w:rPr>
              <w:t>行政办公楼产生的生活污水经化粪池预处理后进入医院的综合污水处理站处理，</w:t>
            </w:r>
            <w:r>
              <w:rPr>
                <w:rFonts w:hint="default" w:ascii="Times New Roman" w:hAnsi="Times New Roman" w:eastAsia="宋体" w:cs="Times New Roman"/>
                <w:color w:val="000000" w:themeColor="text1"/>
                <w:kern w:val="0"/>
                <w:sz w:val="24"/>
                <w:szCs w:val="24"/>
                <w:u w:val="single"/>
              </w:rPr>
              <w:t>传染病楼废水经消毒预处理后</w:t>
            </w:r>
            <w:r>
              <w:rPr>
                <w:rFonts w:hint="eastAsia" w:cs="Times New Roman"/>
                <w:color w:val="000000" w:themeColor="text1"/>
                <w:kern w:val="0"/>
                <w:sz w:val="24"/>
                <w:szCs w:val="24"/>
                <w:u w:val="single"/>
                <w:lang w:val="en-US" w:eastAsia="zh-CN"/>
              </w:rPr>
              <w:t>排入医院的综合污水处理站处理，综合楼产生的废水直接和</w:t>
            </w:r>
            <w:r>
              <w:rPr>
                <w:rFonts w:hint="default" w:ascii="Times New Roman" w:hAnsi="Times New Roman" w:eastAsia="宋体" w:cs="Times New Roman"/>
                <w:color w:val="000000" w:themeColor="text1"/>
                <w:kern w:val="0"/>
                <w:sz w:val="24"/>
                <w:szCs w:val="24"/>
                <w:u w:val="single"/>
              </w:rPr>
              <w:t>其它</w:t>
            </w:r>
            <w:r>
              <w:rPr>
                <w:rFonts w:hint="eastAsia" w:cs="Times New Roman"/>
                <w:color w:val="000000" w:themeColor="text1"/>
                <w:kern w:val="0"/>
                <w:sz w:val="24"/>
                <w:szCs w:val="24"/>
                <w:u w:val="single"/>
                <w:lang w:val="en-US" w:eastAsia="zh-CN"/>
              </w:rPr>
              <w:t>废</w:t>
            </w:r>
            <w:r>
              <w:rPr>
                <w:rFonts w:hint="default" w:ascii="Times New Roman" w:hAnsi="Times New Roman" w:eastAsia="宋体" w:cs="Times New Roman"/>
                <w:color w:val="000000" w:themeColor="text1"/>
                <w:kern w:val="0"/>
                <w:sz w:val="24"/>
                <w:szCs w:val="24"/>
                <w:u w:val="single"/>
              </w:rPr>
              <w:t>水一起</w:t>
            </w:r>
            <w:r>
              <w:rPr>
                <w:rFonts w:hint="eastAsia" w:cs="Times New Roman"/>
                <w:color w:val="000000" w:themeColor="text1"/>
                <w:kern w:val="0"/>
                <w:sz w:val="24"/>
                <w:szCs w:val="24"/>
                <w:u w:val="single"/>
                <w:lang w:val="en-US" w:eastAsia="zh-CN"/>
              </w:rPr>
              <w:t>进入综合污水处理站处理，所有的废水一同进入综合</w:t>
            </w:r>
            <w:r>
              <w:rPr>
                <w:rFonts w:hint="default" w:ascii="Times New Roman" w:hAnsi="Times New Roman" w:eastAsia="宋体" w:cs="Times New Roman"/>
                <w:color w:val="000000" w:themeColor="text1"/>
                <w:kern w:val="0"/>
                <w:sz w:val="24"/>
                <w:szCs w:val="24"/>
                <w:u w:val="single"/>
              </w:rPr>
              <w:t>污水处</w:t>
            </w:r>
            <w:r>
              <w:rPr>
                <w:rFonts w:hint="default" w:ascii="Times New Roman" w:hAnsi="Times New Roman" w:eastAsia="宋体" w:cs="Times New Roman"/>
                <w:kern w:val="0"/>
                <w:sz w:val="24"/>
                <w:szCs w:val="24"/>
                <w:u w:val="single"/>
              </w:rPr>
              <w:t>理站内处理达到《医疗机构污水处理标准》(GB18466-2005)所规定的预处理</w:t>
            </w:r>
            <w:r>
              <w:rPr>
                <w:rFonts w:hint="eastAsia" w:cs="Times New Roman"/>
                <w:kern w:val="0"/>
                <w:sz w:val="24"/>
                <w:szCs w:val="24"/>
                <w:u w:val="single"/>
                <w:lang w:val="en-US" w:eastAsia="zh-CN"/>
              </w:rPr>
              <w:t>标准以及</w:t>
            </w:r>
            <w:r>
              <w:rPr>
                <w:rFonts w:hint="default" w:ascii="Times New Roman" w:hAnsi="Times New Roman" w:eastAsia="宋体" w:cs="Times New Roman"/>
                <w:kern w:val="0"/>
                <w:sz w:val="24"/>
                <w:szCs w:val="24"/>
                <w:u w:val="single"/>
              </w:rPr>
              <w:t>南津港污水处理厂接管标准之中严值要求</w:t>
            </w:r>
            <w:r>
              <w:rPr>
                <w:rFonts w:hint="eastAsia" w:cs="Times New Roman"/>
                <w:kern w:val="0"/>
                <w:sz w:val="24"/>
                <w:szCs w:val="24"/>
                <w:u w:val="single"/>
                <w:lang w:val="en-US" w:eastAsia="zh-CN"/>
              </w:rPr>
              <w:t>后</w:t>
            </w:r>
            <w:r>
              <w:rPr>
                <w:rFonts w:hint="default" w:ascii="Times New Roman" w:hAnsi="Times New Roman" w:eastAsia="宋体" w:cs="Times New Roman"/>
                <w:kern w:val="0"/>
                <w:sz w:val="24"/>
                <w:szCs w:val="24"/>
                <w:u w:val="single"/>
              </w:rPr>
              <w:t>排入东侧南湖大道市政污水管网进入南津港污水处理厂集中深度处理，达到《城镇污水处理厂污染物排放标准》(GB18918-2002及其修改单)中的一级A标准后排入东洞庭湖内</w:t>
            </w:r>
            <w:r>
              <w:rPr>
                <w:rFonts w:hint="default" w:ascii="Times New Roman" w:hAnsi="Times New Roman" w:eastAsia="宋体" w:cs="Times New Roman"/>
                <w:kern w:val="0"/>
                <w:sz w:val="24"/>
                <w:szCs w:val="24"/>
              </w:rPr>
              <w:t>。</w:t>
            </w:r>
          </w:p>
          <w:p w14:paraId="6DAE58B0">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4</w:t>
            </w:r>
            <w:r>
              <w:rPr>
                <w:rFonts w:hint="default" w:ascii="Times New Roman" w:hAnsi="Times New Roman" w:cs="Times New Roman"/>
                <w:kern w:val="0"/>
                <w:sz w:val="24"/>
                <w:szCs w:val="24"/>
                <w:lang w:eastAsia="zh-CN"/>
              </w:rPr>
              <w:t>）</w:t>
            </w:r>
            <w:r>
              <w:rPr>
                <w:rFonts w:hint="eastAsia" w:ascii="Times New Roman" w:hAnsi="Times New Roman" w:cs="Times New Roman"/>
                <w:kern w:val="0"/>
                <w:sz w:val="24"/>
                <w:szCs w:val="24"/>
                <w:lang w:val="en-US" w:eastAsia="zh-CN"/>
              </w:rPr>
              <w:t>供</w:t>
            </w:r>
            <w:r>
              <w:rPr>
                <w:rFonts w:hint="default" w:ascii="Times New Roman" w:hAnsi="Times New Roman" w:cs="Times New Roman"/>
                <w:kern w:val="0"/>
                <w:sz w:val="24"/>
                <w:szCs w:val="24"/>
                <w:lang w:val="en-US" w:eastAsia="zh-CN"/>
              </w:rPr>
              <w:t>热</w:t>
            </w:r>
            <w:r>
              <w:rPr>
                <w:rFonts w:hint="eastAsia" w:ascii="Times New Roman" w:hAnsi="Times New Roman" w:cs="Times New Roman"/>
                <w:kern w:val="0"/>
                <w:sz w:val="24"/>
                <w:szCs w:val="24"/>
                <w:lang w:val="en-US" w:eastAsia="zh-CN"/>
              </w:rPr>
              <w:t>水</w:t>
            </w:r>
          </w:p>
          <w:p w14:paraId="04C4C321">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rPr>
            </w:pPr>
            <w:r>
              <w:rPr>
                <w:rFonts w:hint="default" w:ascii="Times New Roman" w:hAnsi="Times New Roman" w:cs="Times New Roman"/>
                <w:kern w:val="0"/>
                <w:sz w:val="24"/>
                <w:szCs w:val="24"/>
                <w:lang w:val="en-US" w:eastAsia="zh-CN"/>
              </w:rPr>
              <w:t>冬季</w:t>
            </w:r>
            <w:r>
              <w:rPr>
                <w:rFonts w:hint="default" w:ascii="Times New Roman" w:hAnsi="Times New Roman" w:eastAsia="宋体" w:cs="Times New Roman"/>
                <w:kern w:val="0"/>
                <w:sz w:val="24"/>
                <w:szCs w:val="24"/>
              </w:rPr>
              <w:t>热水由</w:t>
            </w:r>
            <w:r>
              <w:rPr>
                <w:rFonts w:hint="default" w:ascii="Times New Roman" w:hAnsi="Times New Roman" w:cs="Times New Roman"/>
                <w:kern w:val="0"/>
                <w:sz w:val="24"/>
                <w:szCs w:val="24"/>
                <w:lang w:val="en-US" w:eastAsia="zh-CN"/>
              </w:rPr>
              <w:t>锅炉</w:t>
            </w:r>
            <w:r>
              <w:rPr>
                <w:rFonts w:hint="default" w:ascii="Times New Roman" w:hAnsi="Times New Roman" w:eastAsia="宋体" w:cs="Times New Roman"/>
                <w:kern w:val="0"/>
                <w:sz w:val="24"/>
                <w:szCs w:val="24"/>
              </w:rPr>
              <w:t>房内2</w:t>
            </w:r>
            <w:r>
              <w:rPr>
                <w:rFonts w:hint="default" w:ascii="Times New Roman" w:hAnsi="Times New Roman" w:cs="Times New Roman"/>
                <w:kern w:val="0"/>
                <w:sz w:val="24"/>
                <w:szCs w:val="24"/>
                <w:lang w:val="en-US" w:eastAsia="zh-CN"/>
              </w:rPr>
              <w:t>t/</w:t>
            </w:r>
            <w:r>
              <w:rPr>
                <w:rFonts w:hint="default" w:ascii="Times New Roman" w:hAnsi="Times New Roman" w:eastAsia="宋体" w:cs="Times New Roman"/>
                <w:kern w:val="0"/>
                <w:sz w:val="24"/>
                <w:szCs w:val="24"/>
              </w:rPr>
              <w:t>h的天然气</w:t>
            </w:r>
            <w:r>
              <w:rPr>
                <w:rFonts w:hint="default" w:ascii="Times New Roman" w:hAnsi="Times New Roman" w:eastAsia="宋体" w:cs="Times New Roman"/>
                <w:color w:val="000000" w:themeColor="text1"/>
                <w:kern w:val="0"/>
                <w:sz w:val="24"/>
                <w:szCs w:val="24"/>
              </w:rPr>
              <w:t>锅炉提供(年运行时间100天)</w:t>
            </w:r>
            <w:r>
              <w:rPr>
                <w:rFonts w:hint="eastAsia" w:ascii="Times New Roman" w:hAnsi="Times New Roman" w:cs="Times New Roman"/>
                <w:color w:val="000000" w:themeColor="text1"/>
                <w:kern w:val="0"/>
                <w:sz w:val="24"/>
                <w:szCs w:val="24"/>
                <w:lang w:eastAsia="zh-CN"/>
              </w:rPr>
              <w:t>，</w:t>
            </w:r>
            <w:r>
              <w:rPr>
                <w:rFonts w:hint="eastAsia" w:ascii="Times New Roman" w:hAnsi="Times New Roman" w:cs="Times New Roman"/>
                <w:color w:val="000000" w:themeColor="text1"/>
                <w:kern w:val="0"/>
                <w:sz w:val="24"/>
                <w:szCs w:val="24"/>
                <w:lang w:val="en-US" w:eastAsia="zh-CN"/>
              </w:rPr>
              <w:t>其余时间由太阳能热水器提供</w:t>
            </w:r>
            <w:r>
              <w:rPr>
                <w:rFonts w:hint="default" w:ascii="Times New Roman" w:hAnsi="Times New Roman" w:eastAsia="宋体" w:cs="Times New Roman"/>
                <w:color w:val="000000" w:themeColor="text1"/>
                <w:kern w:val="0"/>
                <w:sz w:val="24"/>
                <w:szCs w:val="24"/>
              </w:rPr>
              <w:t>。</w:t>
            </w:r>
          </w:p>
          <w:p w14:paraId="6B1D3A39">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lang w:val="en-US" w:eastAsia="zh-CN"/>
              </w:rPr>
            </w:pPr>
            <w:r>
              <w:rPr>
                <w:rFonts w:hint="eastAsia" w:ascii="Times New Roman" w:hAnsi="Times New Roman" w:cs="Times New Roman"/>
                <w:color w:val="000000" w:themeColor="text1"/>
                <w:kern w:val="0"/>
                <w:sz w:val="24"/>
                <w:szCs w:val="24"/>
                <w:lang w:eastAsia="zh-CN"/>
              </w:rPr>
              <w:t>（</w:t>
            </w:r>
            <w:r>
              <w:rPr>
                <w:rFonts w:hint="eastAsia" w:ascii="Times New Roman" w:hAnsi="Times New Roman" w:cs="Times New Roman"/>
                <w:color w:val="000000" w:themeColor="text1"/>
                <w:kern w:val="0"/>
                <w:sz w:val="24"/>
                <w:szCs w:val="24"/>
                <w:lang w:val="en-US" w:eastAsia="zh-CN"/>
              </w:rPr>
              <w:t>5</w:t>
            </w:r>
            <w:r>
              <w:rPr>
                <w:rFonts w:hint="eastAsia" w:ascii="Times New Roman" w:hAnsi="Times New Roman" w:cs="Times New Roman"/>
                <w:color w:val="000000" w:themeColor="text1"/>
                <w:kern w:val="0"/>
                <w:sz w:val="24"/>
                <w:szCs w:val="24"/>
                <w:lang w:eastAsia="zh-CN"/>
              </w:rPr>
              <w:t>）</w:t>
            </w:r>
            <w:r>
              <w:rPr>
                <w:rFonts w:hint="eastAsia" w:ascii="Times New Roman" w:hAnsi="Times New Roman" w:cs="Times New Roman"/>
                <w:color w:val="000000" w:themeColor="text1"/>
                <w:kern w:val="0"/>
                <w:sz w:val="24"/>
                <w:szCs w:val="24"/>
                <w:lang w:val="en-US" w:eastAsia="zh-CN"/>
              </w:rPr>
              <w:t>供暖</w:t>
            </w:r>
          </w:p>
          <w:p w14:paraId="17B0F332">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lang w:val="en-US" w:eastAsia="zh-CN"/>
              </w:rPr>
            </w:pPr>
            <w:r>
              <w:rPr>
                <w:rFonts w:hint="eastAsia" w:ascii="Times New Roman" w:hAnsi="Times New Roman" w:cs="Times New Roman"/>
                <w:color w:val="000000" w:themeColor="text1"/>
                <w:kern w:val="0"/>
                <w:sz w:val="24"/>
                <w:szCs w:val="24"/>
                <w:lang w:val="en-US" w:eastAsia="zh-CN"/>
              </w:rPr>
              <w:t>由中央空调提供。</w:t>
            </w:r>
          </w:p>
          <w:p w14:paraId="78E55B30">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eastAsia="zh-CN"/>
              </w:rPr>
              <w:t>（</w:t>
            </w:r>
            <w:r>
              <w:rPr>
                <w:rFonts w:hint="eastAsia" w:ascii="Times New Roman" w:hAnsi="Times New Roman" w:cs="Times New Roman"/>
                <w:kern w:val="0"/>
                <w:sz w:val="24"/>
                <w:szCs w:val="24"/>
                <w:lang w:val="en-US" w:eastAsia="zh-CN"/>
              </w:rPr>
              <w:t>6</w:t>
            </w: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消毒</w:t>
            </w:r>
          </w:p>
          <w:p w14:paraId="56ABF02D">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FF"/>
                <w:kern w:val="0"/>
                <w:sz w:val="24"/>
                <w:szCs w:val="24"/>
                <w:lang w:val="en-US" w:eastAsia="zh-CN"/>
              </w:rPr>
            </w:pPr>
            <w:r>
              <w:rPr>
                <w:rFonts w:hint="default" w:ascii="Times New Roman" w:hAnsi="Times New Roman" w:cs="Times New Roman"/>
                <w:kern w:val="0"/>
                <w:sz w:val="24"/>
                <w:szCs w:val="24"/>
                <w:lang w:val="en-US" w:eastAsia="zh-CN"/>
              </w:rPr>
              <w:t>项目在运营过程中，为防止病菌的交叉感染，定期或根据需要对地面、</w:t>
            </w:r>
            <w:r>
              <w:rPr>
                <w:rFonts w:hint="default" w:ascii="Times New Roman" w:hAnsi="Times New Roman" w:eastAsia="宋体" w:cs="Times New Roman"/>
                <w:kern w:val="0"/>
                <w:sz w:val="24"/>
                <w:szCs w:val="24"/>
              </w:rPr>
              <w:t>医疗器械</w:t>
            </w: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空气</w:t>
            </w:r>
            <w:r>
              <w:rPr>
                <w:rFonts w:hint="default" w:ascii="Times New Roman" w:hAnsi="Times New Roman" w:eastAsia="宋体" w:cs="Times New Roman"/>
                <w:kern w:val="0"/>
                <w:sz w:val="24"/>
                <w:szCs w:val="24"/>
              </w:rPr>
              <w:t>消毒，</w:t>
            </w:r>
            <w:r>
              <w:rPr>
                <w:rFonts w:hint="default" w:ascii="Times New Roman" w:hAnsi="Times New Roman" w:cs="Times New Roman"/>
                <w:color w:val="000000" w:themeColor="text1"/>
                <w:kern w:val="0"/>
                <w:sz w:val="24"/>
                <w:szCs w:val="24"/>
                <w:lang w:val="en-US" w:eastAsia="zh-CN"/>
              </w:rPr>
              <w:t>手术室采用空气净化消毒装置；对</w:t>
            </w:r>
            <w:r>
              <w:rPr>
                <w:rFonts w:hint="default" w:ascii="Times New Roman" w:hAnsi="Times New Roman" w:eastAsia="宋体" w:cs="Times New Roman"/>
                <w:color w:val="000000" w:themeColor="text1"/>
                <w:kern w:val="0"/>
                <w:sz w:val="24"/>
                <w:szCs w:val="24"/>
              </w:rPr>
              <w:t>医疗器械</w:t>
            </w:r>
            <w:r>
              <w:rPr>
                <w:rFonts w:hint="default" w:ascii="Times New Roman" w:hAnsi="Times New Roman" w:cs="Times New Roman"/>
                <w:color w:val="000000" w:themeColor="text1"/>
                <w:kern w:val="0"/>
                <w:sz w:val="24"/>
                <w:szCs w:val="24"/>
                <w:lang w:val="en-US" w:eastAsia="zh-CN"/>
              </w:rPr>
              <w:t>采用</w:t>
            </w:r>
            <w:r>
              <w:rPr>
                <w:rFonts w:hint="default" w:ascii="Times New Roman" w:hAnsi="Times New Roman" w:eastAsia="宋体" w:cs="Times New Roman"/>
                <w:color w:val="000000" w:themeColor="text1"/>
                <w:kern w:val="0"/>
                <w:sz w:val="24"/>
                <w:szCs w:val="24"/>
              </w:rPr>
              <w:t>高温蒸汽消毒;地面或物体表面消毒采用</w:t>
            </w:r>
            <w:r>
              <w:rPr>
                <w:rFonts w:hint="default" w:ascii="Times New Roman" w:hAnsi="Times New Roman" w:cs="Times New Roman"/>
                <w:color w:val="000000" w:themeColor="text1"/>
                <w:kern w:val="0"/>
                <w:sz w:val="24"/>
                <w:szCs w:val="24"/>
                <w:lang w:val="en-US" w:eastAsia="zh-CN"/>
              </w:rPr>
              <w:t>84消毒</w:t>
            </w:r>
            <w:r>
              <w:rPr>
                <w:rFonts w:hint="default" w:ascii="Times New Roman" w:hAnsi="Times New Roman" w:eastAsia="宋体" w:cs="Times New Roman"/>
                <w:color w:val="000000" w:themeColor="text1"/>
                <w:kern w:val="0"/>
                <w:sz w:val="24"/>
                <w:szCs w:val="24"/>
              </w:rPr>
              <w:t>液喷洒地面等</w:t>
            </w:r>
            <w:r>
              <w:rPr>
                <w:rFonts w:hint="default" w:ascii="Times New Roman" w:hAnsi="Times New Roman" w:cs="Times New Roman"/>
                <w:color w:val="000000" w:themeColor="text1"/>
                <w:kern w:val="0"/>
                <w:sz w:val="24"/>
                <w:szCs w:val="24"/>
                <w:lang w:eastAsia="zh-CN"/>
              </w:rPr>
              <w:t>；</w:t>
            </w:r>
            <w:r>
              <w:rPr>
                <w:rFonts w:hint="default" w:ascii="Times New Roman" w:hAnsi="Times New Roman" w:eastAsia="宋体" w:cs="Times New Roman"/>
                <w:color w:val="000000" w:themeColor="text1"/>
                <w:kern w:val="0"/>
                <w:sz w:val="24"/>
                <w:szCs w:val="24"/>
              </w:rPr>
              <w:t>空气消毒采用</w:t>
            </w:r>
            <w:r>
              <w:rPr>
                <w:rFonts w:hint="default" w:ascii="Times New Roman" w:hAnsi="Times New Roman" w:cs="Times New Roman"/>
                <w:color w:val="000000" w:themeColor="text1"/>
                <w:kern w:val="0"/>
                <w:sz w:val="24"/>
                <w:szCs w:val="24"/>
                <w:lang w:val="en-US" w:eastAsia="zh-CN"/>
              </w:rPr>
              <w:t>酒精</w:t>
            </w:r>
            <w:r>
              <w:rPr>
                <w:rFonts w:hint="default" w:ascii="Times New Roman" w:hAnsi="Times New Roman" w:eastAsia="宋体" w:cs="Times New Roman"/>
                <w:color w:val="000000" w:themeColor="text1"/>
                <w:kern w:val="0"/>
                <w:sz w:val="24"/>
                <w:szCs w:val="24"/>
              </w:rPr>
              <w:t>喷雾消毒和在无人的情况下，采用紫外线灯管照射消毒。</w:t>
            </w:r>
            <w:r>
              <w:rPr>
                <w:rFonts w:hint="eastAsia" w:ascii="Times New Roman" w:hAnsi="Times New Roman" w:cs="Times New Roman"/>
                <w:color w:val="000000" w:themeColor="text1"/>
                <w:kern w:val="0"/>
                <w:sz w:val="24"/>
                <w:szCs w:val="24"/>
                <w:lang w:val="en-US" w:eastAsia="zh-CN"/>
              </w:rPr>
              <w:t>传染病废水和综合废水均采用二氯异氰尿酸钠消毒；污泥采用熟石灰消毒。</w:t>
            </w:r>
          </w:p>
          <w:p w14:paraId="4A8055EC">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lang w:val="en-US" w:eastAsia="zh-CN"/>
              </w:rPr>
            </w:pPr>
            <w:r>
              <w:rPr>
                <w:rFonts w:hint="default" w:ascii="Times New Roman" w:hAnsi="Times New Roman" w:cs="Times New Roman"/>
                <w:kern w:val="0"/>
                <w:sz w:val="24"/>
                <w:szCs w:val="24"/>
                <w:lang w:eastAsia="zh-CN"/>
              </w:rPr>
              <w:t>（</w:t>
            </w:r>
            <w:r>
              <w:rPr>
                <w:rFonts w:hint="eastAsia" w:ascii="Times New Roman" w:hAnsi="Times New Roman" w:cs="Times New Roman"/>
                <w:kern w:val="0"/>
                <w:sz w:val="24"/>
                <w:szCs w:val="24"/>
                <w:lang w:val="en-US" w:eastAsia="zh-CN"/>
              </w:rPr>
              <w:t>7</w:t>
            </w: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氧气供应</w:t>
            </w:r>
          </w:p>
          <w:p w14:paraId="525BB5C5">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cs="Times New Roman"/>
                <w:kern w:val="0"/>
                <w:sz w:val="24"/>
                <w:szCs w:val="24"/>
                <w:lang w:val="en-US" w:eastAsia="zh-CN"/>
              </w:rPr>
              <w:t>利用原有</w:t>
            </w:r>
            <w:r>
              <w:rPr>
                <w:rFonts w:hint="default" w:ascii="Times New Roman" w:hAnsi="Times New Roman" w:eastAsia="宋体" w:cs="Times New Roman"/>
                <w:kern w:val="0"/>
                <w:sz w:val="24"/>
                <w:szCs w:val="24"/>
              </w:rPr>
              <w:t>制氧站1座为全院供应氧气，位于</w:t>
            </w:r>
            <w:r>
              <w:rPr>
                <w:rFonts w:hint="eastAsia" w:ascii="Times New Roman" w:hAnsi="Times New Roman" w:cs="Times New Roman"/>
                <w:kern w:val="0"/>
                <w:sz w:val="24"/>
                <w:szCs w:val="24"/>
                <w:lang w:val="en-US" w:eastAsia="zh-CN"/>
              </w:rPr>
              <w:t>传染病楼</w:t>
            </w:r>
            <w:r>
              <w:rPr>
                <w:rFonts w:hint="default" w:ascii="Times New Roman" w:hAnsi="Times New Roman" w:eastAsia="宋体" w:cs="Times New Roman"/>
                <w:kern w:val="0"/>
                <w:sz w:val="24"/>
                <w:szCs w:val="24"/>
              </w:rPr>
              <w:t>一层，供气压力0.6MPa，氧气管道通过院区直埋供给</w:t>
            </w:r>
            <w:r>
              <w:rPr>
                <w:rFonts w:hint="eastAsia" w:ascii="Times New Roman" w:hAnsi="Times New Roman" w:cs="Times New Roman"/>
                <w:kern w:val="0"/>
                <w:sz w:val="24"/>
                <w:szCs w:val="24"/>
                <w:lang w:val="en-US" w:eastAsia="zh-CN"/>
              </w:rPr>
              <w:t>传染病楼</w:t>
            </w:r>
            <w:r>
              <w:rPr>
                <w:rFonts w:hint="default" w:ascii="Times New Roman" w:hAnsi="Times New Roman" w:cs="Times New Roman"/>
                <w:kern w:val="0"/>
                <w:sz w:val="24"/>
                <w:szCs w:val="24"/>
                <w:lang w:val="en-US" w:eastAsia="zh-CN"/>
              </w:rPr>
              <w:t>、</w:t>
            </w:r>
            <w:r>
              <w:rPr>
                <w:rFonts w:hint="eastAsia" w:ascii="Times New Roman" w:hAnsi="Times New Roman" w:cs="Times New Roman"/>
                <w:kern w:val="0"/>
                <w:sz w:val="24"/>
                <w:szCs w:val="24"/>
                <w:lang w:val="en-US" w:eastAsia="zh-CN"/>
              </w:rPr>
              <w:t>综合楼</w:t>
            </w:r>
            <w:r>
              <w:rPr>
                <w:rFonts w:hint="default" w:ascii="Times New Roman" w:hAnsi="Times New Roman" w:eastAsia="宋体" w:cs="Times New Roman"/>
                <w:kern w:val="0"/>
                <w:sz w:val="24"/>
                <w:szCs w:val="24"/>
              </w:rPr>
              <w:t>的病人使用。制氧站内设2台10m</w:t>
            </w:r>
            <w:r>
              <w:rPr>
                <w:rFonts w:hint="default" w:ascii="Times New Roman" w:hAnsi="Times New Roman" w:cs="Times New Roman"/>
                <w:kern w:val="0"/>
                <w:sz w:val="24"/>
                <w:szCs w:val="24"/>
                <w:vertAlign w:val="superscript"/>
                <w:lang w:val="en-US" w:eastAsia="zh-CN"/>
              </w:rPr>
              <w:t>3</w:t>
            </w:r>
            <w:r>
              <w:rPr>
                <w:rFonts w:hint="default" w:ascii="Times New Roman" w:hAnsi="Times New Roman" w:cs="Times New Roman"/>
                <w:kern w:val="0"/>
                <w:sz w:val="24"/>
                <w:szCs w:val="24"/>
                <w:lang w:val="en-US" w:eastAsia="zh-CN"/>
              </w:rPr>
              <w:t>/</w:t>
            </w:r>
            <w:r>
              <w:rPr>
                <w:rFonts w:hint="default" w:ascii="Times New Roman" w:hAnsi="Times New Roman" w:eastAsia="宋体" w:cs="Times New Roman"/>
                <w:kern w:val="0"/>
                <w:sz w:val="24"/>
                <w:szCs w:val="24"/>
              </w:rPr>
              <w:t>h制氧机供院区用氧使用。同时设置全自动切换式汇流排放做应急备用气源。</w:t>
            </w:r>
            <w:r>
              <w:rPr>
                <w:rFonts w:hint="default" w:ascii="Times New Roman" w:hAnsi="Times New Roman" w:eastAsia="宋体" w:cs="Times New Roman"/>
                <w:color w:val="auto"/>
                <w:kern w:val="0"/>
                <w:sz w:val="24"/>
                <w:szCs w:val="24"/>
              </w:rPr>
              <w:t>设</w:t>
            </w:r>
            <w:r>
              <w:rPr>
                <w:rFonts w:hint="eastAsia" w:cs="Times New Roman"/>
                <w:color w:val="auto"/>
                <w:kern w:val="0"/>
                <w:sz w:val="24"/>
                <w:szCs w:val="24"/>
                <w:lang w:val="en-US" w:eastAsia="zh-CN"/>
              </w:rPr>
              <w:t>高压</w:t>
            </w:r>
            <w:r>
              <w:rPr>
                <w:rFonts w:hint="default" w:ascii="Times New Roman" w:hAnsi="Times New Roman" w:eastAsia="宋体" w:cs="Times New Roman"/>
                <w:color w:val="auto"/>
                <w:kern w:val="0"/>
                <w:sz w:val="24"/>
                <w:szCs w:val="24"/>
              </w:rPr>
              <w:t>储气罐</w:t>
            </w:r>
            <w:r>
              <w:rPr>
                <w:rFonts w:hint="default" w:ascii="Times New Roman" w:hAnsi="Times New Roman" w:cs="Times New Roman"/>
                <w:color w:val="auto"/>
                <w:kern w:val="0"/>
                <w:sz w:val="24"/>
                <w:szCs w:val="24"/>
                <w:lang w:val="en-US" w:eastAsia="zh-CN"/>
              </w:rPr>
              <w:t>1</w:t>
            </w:r>
            <w:r>
              <w:rPr>
                <w:rFonts w:hint="default" w:ascii="Times New Roman" w:hAnsi="Times New Roman" w:eastAsia="宋体" w:cs="Times New Roman"/>
                <w:color w:val="auto"/>
                <w:kern w:val="0"/>
                <w:sz w:val="24"/>
                <w:szCs w:val="24"/>
              </w:rPr>
              <w:t>个</w:t>
            </w:r>
            <w:r>
              <w:rPr>
                <w:rFonts w:hint="eastAsia" w:cs="Times New Roman"/>
                <w:color w:val="auto"/>
                <w:kern w:val="0"/>
                <w:sz w:val="24"/>
                <w:szCs w:val="24"/>
                <w:lang w:eastAsia="zh-CN"/>
              </w:rPr>
              <w:t>（</w:t>
            </w:r>
            <w:r>
              <w:rPr>
                <w:rFonts w:hint="eastAsia" w:cs="Times New Roman"/>
                <w:color w:val="auto"/>
                <w:kern w:val="0"/>
                <w:sz w:val="24"/>
                <w:szCs w:val="24"/>
                <w:lang w:val="en-US" w:eastAsia="zh-CN"/>
              </w:rPr>
              <w:t>压力15MPa</w:t>
            </w:r>
            <w:r>
              <w:rPr>
                <w:rFonts w:hint="eastAsia" w:cs="Times New Roman"/>
                <w:color w:val="auto"/>
                <w:kern w:val="0"/>
                <w:sz w:val="24"/>
                <w:szCs w:val="24"/>
                <w:lang w:eastAsia="zh-CN"/>
              </w:rPr>
              <w:t>）</w:t>
            </w:r>
            <w:r>
              <w:rPr>
                <w:rFonts w:hint="default" w:ascii="Times New Roman" w:hAnsi="Times New Roman" w:eastAsia="宋体" w:cs="Times New Roman"/>
                <w:color w:val="auto"/>
                <w:kern w:val="0"/>
                <w:sz w:val="24"/>
                <w:szCs w:val="24"/>
              </w:rPr>
              <w:t>，体积0.8m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eastAsia="宋体" w:cs="Times New Roman"/>
                <w:color w:val="auto"/>
                <w:kern w:val="0"/>
                <w:sz w:val="24"/>
                <w:szCs w:val="24"/>
              </w:rPr>
              <w:t>。制氧机经过氧压机接至储罐，供氧系统流程：</w:t>
            </w:r>
            <w:r>
              <w:rPr>
                <w:rFonts w:hint="eastAsia" w:cs="Times New Roman"/>
                <w:color w:val="auto"/>
                <w:kern w:val="0"/>
                <w:sz w:val="24"/>
                <w:szCs w:val="24"/>
                <w:lang w:val="en-US" w:eastAsia="zh-CN"/>
              </w:rPr>
              <w:t>储气罐→</w:t>
            </w:r>
            <w:r>
              <w:rPr>
                <w:rFonts w:hint="default" w:ascii="Times New Roman" w:hAnsi="Times New Roman" w:eastAsia="宋体" w:cs="Times New Roman"/>
                <w:color w:val="auto"/>
                <w:kern w:val="0"/>
                <w:sz w:val="24"/>
                <w:szCs w:val="24"/>
              </w:rPr>
              <w:t>供氧立管（OL）</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各层供氧干管（0）</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rPr>
              <w:t>氧气终端盒</w:t>
            </w:r>
            <w:r>
              <w:rPr>
                <w:rFonts w:hint="eastAsia" w:cs="Times New Roman"/>
                <w:color w:val="auto"/>
                <w:kern w:val="0"/>
                <w:sz w:val="24"/>
                <w:szCs w:val="24"/>
                <w:lang w:eastAsia="zh-CN"/>
              </w:rPr>
              <w:t>，为保证氧气站供气不中断，设计有自动或手动切换装置和低压报警装置。经专用供氧立管供至各层干管后，再分别向各用气点供气，为便于管理，每层干管上设一个控制阀门。供氧系统管道采用紫铜管，钎焊连接，明装敷设</w:t>
            </w:r>
            <w:r>
              <w:rPr>
                <w:rFonts w:hint="default" w:ascii="Times New Roman" w:hAnsi="Times New Roman" w:eastAsia="宋体" w:cs="Times New Roman"/>
                <w:color w:val="auto"/>
                <w:kern w:val="0"/>
                <w:sz w:val="24"/>
                <w:szCs w:val="24"/>
              </w:rPr>
              <w:t>。</w:t>
            </w:r>
          </w:p>
          <w:p w14:paraId="0053B3C4">
            <w:pPr>
              <w:autoSpaceDE w:val="0"/>
              <w:autoSpaceDN w:val="0"/>
              <w:adjustRightInd w:val="0"/>
              <w:snapToGrid w:val="0"/>
              <w:spacing w:line="360" w:lineRule="auto"/>
              <w:jc w:val="left"/>
              <w:rPr>
                <w:rFonts w:hint="default" w:ascii="Times New Roman" w:hAnsi="Times New Roman" w:eastAsia="宋体" w:cs="Times New Roman"/>
                <w:b/>
                <w:bCs/>
                <w:kern w:val="0"/>
                <w:sz w:val="24"/>
                <w:szCs w:val="24"/>
                <w:lang w:val="en-US" w:eastAsia="zh-CN"/>
              </w:rPr>
            </w:pPr>
            <w:r>
              <w:rPr>
                <w:rFonts w:hint="eastAsia" w:cs="Times New Roman"/>
                <w:b/>
                <w:bCs/>
                <w:kern w:val="0"/>
                <w:sz w:val="24"/>
                <w:szCs w:val="24"/>
                <w:lang w:val="en-US" w:eastAsia="zh-CN"/>
              </w:rPr>
              <w:t>10</w:t>
            </w:r>
            <w:r>
              <w:rPr>
                <w:rFonts w:hint="default" w:ascii="Times New Roman" w:hAnsi="Times New Roman" w:cs="Times New Roman"/>
                <w:b/>
                <w:bCs/>
                <w:kern w:val="0"/>
                <w:sz w:val="24"/>
                <w:szCs w:val="24"/>
                <w:lang w:val="en-US" w:eastAsia="zh-CN"/>
              </w:rPr>
              <w:t>、水平衡</w:t>
            </w:r>
          </w:p>
          <w:p w14:paraId="69251602">
            <w:pPr>
              <w:autoSpaceDE w:val="0"/>
              <w:autoSpaceDN w:val="0"/>
              <w:adjustRightInd w:val="0"/>
              <w:snapToGrid w:val="0"/>
              <w:spacing w:line="360" w:lineRule="auto"/>
              <w:ind w:firstLine="480" w:firstLineChars="200"/>
              <w:jc w:val="left"/>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本项目用水主要包括：生活污水、食堂用水、地面拖洗水、住院用水、门诊病人用水和喷淋塔用水。</w:t>
            </w:r>
          </w:p>
          <w:p w14:paraId="09853C8A">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（1）生活污水</w:t>
            </w:r>
          </w:p>
          <w:p w14:paraId="0BD6D807">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本项目员工人数为240人（其中行政管理人员约20人，主要位于行政办公楼中），根据</w:t>
            </w:r>
            <w:r>
              <w:rPr>
                <w:rFonts w:hint="eastAsia" w:ascii="Times New Roman" w:hAnsi="Times New Roman" w:cs="Times New Roman"/>
                <w:color w:val="auto"/>
                <w:kern w:val="0"/>
                <w:sz w:val="24"/>
                <w:szCs w:val="24"/>
                <w:lang w:val="en-US" w:eastAsia="zh-CN"/>
              </w:rPr>
              <w:t>《综合医院建筑设计标准》（GB 51039-2014）</w:t>
            </w:r>
            <w:r>
              <w:rPr>
                <w:rFonts w:hint="eastAsia" w:cs="Times New Roman"/>
                <w:color w:val="auto"/>
                <w:kern w:val="0"/>
                <w:sz w:val="24"/>
                <w:szCs w:val="24"/>
                <w:lang w:val="en-US" w:eastAsia="zh-CN"/>
              </w:rPr>
              <w:t>中 表6.2.2</w:t>
            </w:r>
            <w:r>
              <w:rPr>
                <w:rFonts w:hint="default" w:ascii="Times New Roman" w:hAnsi="Times New Roman" w:cs="Times New Roman"/>
                <w:color w:val="auto"/>
                <w:kern w:val="0"/>
                <w:sz w:val="24"/>
                <w:szCs w:val="24"/>
                <w:lang w:val="en-US" w:eastAsia="zh-CN"/>
              </w:rPr>
              <w:t>，职工用水量按150L/人·d计，则用水量为36m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/d（13140m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/a）（其中行政办公楼员工的用水量为3m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/d，1095m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/a）；排污系数取0.8，则项目生活污水排放量为28.8m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/d（10512m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/a）（其中行政办公楼员工的排水量为2.4m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/d，876m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w:t>
            </w:r>
          </w:p>
          <w:p w14:paraId="1B6E3FEA">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（2）食堂用水</w:t>
            </w:r>
          </w:p>
          <w:p w14:paraId="5EA30BB7">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sz w:val="24"/>
                <w:szCs w:val="24"/>
              </w:rPr>
              <w:t>根据建设单位提供资料，本项目</w:t>
            </w:r>
            <w:r>
              <w:rPr>
                <w:rFonts w:hint="eastAsia" w:cs="Times New Roman"/>
                <w:color w:val="auto"/>
                <w:sz w:val="24"/>
                <w:szCs w:val="24"/>
                <w:lang w:val="en-US" w:eastAsia="zh-CN"/>
              </w:rPr>
              <w:t>空间较紧凑，食堂规模较小，</w:t>
            </w:r>
            <w:r>
              <w:rPr>
                <w:rFonts w:hint="default" w:ascii="Times New Roman" w:hAnsi="Times New Roman" w:cs="Times New Roman"/>
                <w:color w:val="auto"/>
                <w:sz w:val="24"/>
                <w:szCs w:val="24"/>
                <w:lang w:val="en-US" w:eastAsia="zh-CN"/>
              </w:rPr>
              <w:t>食堂</w:t>
            </w:r>
            <w:r>
              <w:rPr>
                <w:rFonts w:hint="default" w:ascii="Times New Roman" w:hAnsi="Times New Roman" w:eastAsia="宋体" w:cs="Times New Roman"/>
                <w:color w:val="auto"/>
                <w:sz w:val="24"/>
                <w:szCs w:val="24"/>
              </w:rPr>
              <w:t>全天设计供应500人次/日</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kern w:val="0"/>
                <w:sz w:val="24"/>
                <w:szCs w:val="24"/>
                <w:lang w:val="en-US" w:eastAsia="zh-CN"/>
              </w:rPr>
              <w:t>根据</w:t>
            </w:r>
            <w:r>
              <w:rPr>
                <w:rFonts w:hint="eastAsia" w:ascii="Times New Roman" w:hAnsi="Times New Roman" w:cs="Times New Roman"/>
                <w:color w:val="auto"/>
                <w:kern w:val="0"/>
                <w:sz w:val="24"/>
                <w:szCs w:val="24"/>
                <w:lang w:val="en-US" w:eastAsia="zh-CN"/>
              </w:rPr>
              <w:t>《综合医院建筑设计规范》（GB51039-2014）</w:t>
            </w:r>
            <w:r>
              <w:rPr>
                <w:rFonts w:hint="eastAsia" w:cs="Times New Roman"/>
                <w:color w:val="auto"/>
                <w:kern w:val="0"/>
                <w:sz w:val="24"/>
                <w:szCs w:val="24"/>
                <w:lang w:val="en-US" w:eastAsia="zh-CN"/>
              </w:rPr>
              <w:t>中 表6.2.2</w:t>
            </w:r>
            <w:r>
              <w:rPr>
                <w:rFonts w:hint="default" w:ascii="Times New Roman" w:hAnsi="Times New Roman" w:cs="Times New Roman"/>
                <w:color w:val="auto"/>
                <w:kern w:val="0"/>
                <w:sz w:val="24"/>
                <w:szCs w:val="24"/>
                <w:lang w:val="en-US" w:eastAsia="zh-CN"/>
              </w:rPr>
              <w:t>，食堂用水量按照20L/（人•餐），食堂用水量为10m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/d（3650m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/a），排污系数取0.8，则项目食堂污水排放量为8m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/d（2920m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w:t>
            </w:r>
          </w:p>
          <w:p w14:paraId="49B04FE2">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（3）地面拖洗水</w:t>
            </w:r>
          </w:p>
          <w:p w14:paraId="40E8F8CC">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本项目建筑面积为35692m</w:t>
            </w:r>
            <w:r>
              <w:rPr>
                <w:rFonts w:hint="default" w:ascii="Times New Roman" w:hAnsi="Times New Roman" w:cs="Times New Roman"/>
                <w:color w:val="auto"/>
                <w:kern w:val="0"/>
                <w:sz w:val="24"/>
                <w:szCs w:val="24"/>
                <w:vertAlign w:val="superscript"/>
                <w:lang w:val="en-US" w:eastAsia="zh-CN"/>
              </w:rPr>
              <w:t>2</w:t>
            </w:r>
            <w:r>
              <w:rPr>
                <w:rFonts w:hint="default" w:ascii="Times New Roman" w:hAnsi="Times New Roman" w:cs="Times New Roman"/>
                <w:color w:val="auto"/>
                <w:kern w:val="0"/>
                <w:sz w:val="24"/>
                <w:szCs w:val="24"/>
                <w:lang w:val="en-US" w:eastAsia="zh-CN"/>
              </w:rPr>
              <w:t>，每日用拖把进行清洁，用水量按0.05L/m</w:t>
            </w:r>
            <w:r>
              <w:rPr>
                <w:rFonts w:hint="default" w:ascii="Times New Roman" w:hAnsi="Times New Roman" w:cs="Times New Roman"/>
                <w:color w:val="auto"/>
                <w:kern w:val="0"/>
                <w:sz w:val="24"/>
                <w:szCs w:val="24"/>
                <w:vertAlign w:val="superscript"/>
                <w:lang w:val="en-US" w:eastAsia="zh-CN"/>
              </w:rPr>
              <w:t>2</w:t>
            </w:r>
            <w:r>
              <w:rPr>
                <w:rFonts w:hint="default" w:ascii="Times New Roman" w:hAnsi="Times New Roman" w:cs="Times New Roman"/>
                <w:color w:val="auto"/>
                <w:kern w:val="0"/>
                <w:sz w:val="24"/>
                <w:szCs w:val="24"/>
                <w:lang w:val="en-US" w:eastAsia="zh-CN"/>
              </w:rPr>
              <w:t>·d 计，则地面拖洗用水量约为1.78m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/d(651.38m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/a)，地面拖洗水全部蒸发不外排。</w:t>
            </w:r>
          </w:p>
          <w:p w14:paraId="1664C780">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（4）住院用水</w:t>
            </w:r>
          </w:p>
          <w:p w14:paraId="5AC9C004">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本项目共设360张住院床位，根据</w:t>
            </w:r>
            <w:r>
              <w:rPr>
                <w:rFonts w:hint="eastAsia" w:ascii="Times New Roman" w:hAnsi="Times New Roman" w:cs="Times New Roman"/>
                <w:color w:val="auto"/>
                <w:kern w:val="0"/>
                <w:sz w:val="24"/>
                <w:szCs w:val="24"/>
                <w:lang w:val="en-US" w:eastAsia="zh-CN"/>
              </w:rPr>
              <w:t>《综合医院建筑设计标准》（GB 51039-</w:t>
            </w:r>
            <w:r>
              <w:rPr>
                <w:rFonts w:hint="eastAsia" w:cs="Times New Roman"/>
                <w:color w:val="auto"/>
                <w:kern w:val="0"/>
                <w:sz w:val="24"/>
                <w:szCs w:val="24"/>
                <w:lang w:val="en-US" w:eastAsia="zh-CN"/>
              </w:rPr>
              <w:t xml:space="preserve"> </w:t>
            </w:r>
            <w:r>
              <w:rPr>
                <w:rFonts w:hint="eastAsia" w:ascii="Times New Roman" w:hAnsi="Times New Roman" w:cs="Times New Roman"/>
                <w:color w:val="auto"/>
                <w:kern w:val="0"/>
                <w:sz w:val="24"/>
                <w:szCs w:val="24"/>
                <w:lang w:val="en-US" w:eastAsia="zh-CN"/>
              </w:rPr>
              <w:t>2014）</w:t>
            </w:r>
            <w:r>
              <w:rPr>
                <w:rFonts w:hint="eastAsia" w:cs="Times New Roman"/>
                <w:color w:val="auto"/>
                <w:kern w:val="0"/>
                <w:sz w:val="24"/>
                <w:szCs w:val="24"/>
                <w:lang w:val="en-US" w:eastAsia="zh-CN"/>
              </w:rPr>
              <w:t>中 表6.2.2</w:t>
            </w:r>
            <w:r>
              <w:rPr>
                <w:rFonts w:hint="eastAsia" w:ascii="Times New Roman" w:hAnsi="Times New Roman" w:cs="Times New Roman"/>
                <w:color w:val="auto"/>
                <w:kern w:val="0"/>
                <w:sz w:val="24"/>
                <w:szCs w:val="24"/>
                <w:lang w:val="en-US" w:eastAsia="zh-CN"/>
              </w:rPr>
              <w:t>，住院部设单独卫生间用水定额为250~400L/床•d</w:t>
            </w:r>
            <w:r>
              <w:rPr>
                <w:rFonts w:hint="default" w:ascii="Times New Roman" w:hAnsi="Times New Roman" w:cs="Times New Roman"/>
                <w:color w:val="auto"/>
                <w:kern w:val="0"/>
                <w:sz w:val="24"/>
                <w:szCs w:val="24"/>
                <w:lang w:val="en-US" w:eastAsia="zh-CN"/>
              </w:rPr>
              <w:t>，</w:t>
            </w:r>
            <w:r>
              <w:rPr>
                <w:rFonts w:hint="eastAsia" w:ascii="Times New Roman" w:hAnsi="Times New Roman" w:cs="Times New Roman"/>
                <w:color w:val="auto"/>
                <w:kern w:val="0"/>
                <w:sz w:val="24"/>
                <w:szCs w:val="24"/>
                <w:lang w:val="en-US" w:eastAsia="zh-CN"/>
              </w:rPr>
              <w:t>本项目</w:t>
            </w:r>
            <w:r>
              <w:rPr>
                <w:rFonts w:hint="default" w:ascii="Times New Roman" w:hAnsi="Times New Roman" w:cs="Times New Roman"/>
                <w:color w:val="auto"/>
                <w:kern w:val="0"/>
                <w:sz w:val="24"/>
                <w:szCs w:val="24"/>
                <w:lang w:val="en-US" w:eastAsia="zh-CN"/>
              </w:rPr>
              <w:t>住院病人及其陪护人员用水按400L/床·天计，则住院用水量为144m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/d（52560m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/a），排污系数取0.8，则项目住院废水排放量为115.2m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/d（42048m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w:t>
            </w:r>
          </w:p>
          <w:p w14:paraId="66E892F1">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eastAsia" w:cs="Times New Roman"/>
                <w:color w:val="auto"/>
                <w:kern w:val="0"/>
                <w:sz w:val="24"/>
                <w:szCs w:val="24"/>
                <w:highlight w:val="none"/>
                <w:lang w:val="en-US" w:eastAsia="zh-CN"/>
              </w:rPr>
              <w:t>住院床位中，</w:t>
            </w:r>
            <w:r>
              <w:rPr>
                <w:rFonts w:hint="default" w:ascii="Times New Roman" w:hAnsi="Times New Roman" w:cs="Times New Roman"/>
                <w:color w:val="auto"/>
                <w:kern w:val="0"/>
                <w:sz w:val="24"/>
                <w:szCs w:val="24"/>
                <w:highlight w:val="none"/>
                <w:lang w:val="en-US" w:eastAsia="zh-CN"/>
              </w:rPr>
              <w:t>传染病楼</w:t>
            </w:r>
            <w:r>
              <w:rPr>
                <w:rFonts w:hint="eastAsia" w:cs="Times New Roman"/>
                <w:color w:val="auto"/>
                <w:kern w:val="0"/>
                <w:sz w:val="24"/>
                <w:szCs w:val="24"/>
                <w:highlight w:val="none"/>
                <w:lang w:val="en-US" w:eastAsia="zh-CN"/>
              </w:rPr>
              <w:t>共设38个床位</w:t>
            </w:r>
            <w:r>
              <w:rPr>
                <w:rFonts w:hint="default" w:ascii="Times New Roman" w:hAnsi="Times New Roman" w:cs="Times New Roman"/>
                <w:color w:val="auto"/>
                <w:kern w:val="0"/>
                <w:sz w:val="24"/>
                <w:szCs w:val="24"/>
                <w:lang w:val="en-US" w:eastAsia="zh-CN"/>
              </w:rPr>
              <w:t>，主要为结核病人，少量肝病、艾滋病人，</w:t>
            </w:r>
            <w:r>
              <w:rPr>
                <w:rFonts w:hint="eastAsia" w:cs="Times New Roman"/>
                <w:color w:val="auto"/>
                <w:kern w:val="0"/>
                <w:sz w:val="24"/>
                <w:szCs w:val="24"/>
                <w:lang w:val="en-US" w:eastAsia="zh-CN"/>
              </w:rPr>
              <w:t>则</w:t>
            </w:r>
            <w:r>
              <w:rPr>
                <w:rFonts w:hint="default" w:ascii="Times New Roman" w:hAnsi="Times New Roman" w:cs="Times New Roman"/>
                <w:color w:val="auto"/>
                <w:kern w:val="0"/>
                <w:sz w:val="24"/>
                <w:szCs w:val="24"/>
                <w:lang w:val="en-US" w:eastAsia="zh-CN"/>
              </w:rPr>
              <w:t>传染病楼</w:t>
            </w:r>
            <w:r>
              <w:rPr>
                <w:rFonts w:hint="eastAsia" w:cs="Times New Roman"/>
                <w:color w:val="auto"/>
                <w:kern w:val="0"/>
                <w:sz w:val="24"/>
                <w:szCs w:val="24"/>
                <w:lang w:val="en-US" w:eastAsia="zh-CN"/>
              </w:rPr>
              <w:t>最大</w:t>
            </w:r>
            <w:r>
              <w:rPr>
                <w:rFonts w:hint="default" w:ascii="Times New Roman" w:hAnsi="Times New Roman" w:cs="Times New Roman"/>
                <w:color w:val="auto"/>
                <w:kern w:val="0"/>
                <w:sz w:val="24"/>
                <w:szCs w:val="24"/>
                <w:lang w:val="en-US" w:eastAsia="zh-CN"/>
              </w:rPr>
              <w:t>住院用水量为</w:t>
            </w:r>
            <w:r>
              <w:rPr>
                <w:rFonts w:hint="eastAsia" w:cs="Times New Roman"/>
                <w:color w:val="auto"/>
                <w:kern w:val="0"/>
                <w:sz w:val="24"/>
                <w:szCs w:val="24"/>
                <w:lang w:val="en-US" w:eastAsia="zh-CN"/>
              </w:rPr>
              <w:t>15.2</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w:t>
            </w:r>
            <w:r>
              <w:rPr>
                <w:rFonts w:hint="eastAsia" w:cs="Times New Roman"/>
                <w:color w:val="auto"/>
                <w:kern w:val="0"/>
                <w:sz w:val="24"/>
                <w:szCs w:val="24"/>
                <w:lang w:val="en-US" w:eastAsia="zh-CN"/>
              </w:rPr>
              <w:t>5548</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w:t>
            </w:r>
            <w:r>
              <w:rPr>
                <w:rFonts w:hint="eastAsia" w:cs="Times New Roman"/>
                <w:color w:val="auto"/>
                <w:kern w:val="0"/>
                <w:sz w:val="24"/>
                <w:szCs w:val="24"/>
                <w:lang w:val="en-US" w:eastAsia="zh-CN"/>
              </w:rPr>
              <w:t>排污系数取0.8，</w:t>
            </w:r>
            <w:r>
              <w:rPr>
                <w:rFonts w:hint="default" w:ascii="Times New Roman" w:hAnsi="Times New Roman" w:cs="Times New Roman"/>
                <w:color w:val="auto"/>
                <w:kern w:val="0"/>
                <w:sz w:val="24"/>
                <w:szCs w:val="24"/>
                <w:lang w:val="en-US" w:eastAsia="zh-CN"/>
              </w:rPr>
              <w:t>排放量为</w:t>
            </w:r>
            <w:r>
              <w:rPr>
                <w:rFonts w:hint="eastAsia" w:cs="Times New Roman"/>
                <w:color w:val="auto"/>
                <w:kern w:val="0"/>
                <w:sz w:val="24"/>
                <w:szCs w:val="24"/>
                <w:lang w:val="en-US" w:eastAsia="zh-CN"/>
              </w:rPr>
              <w:t>12.2</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w:t>
            </w:r>
            <w:r>
              <w:rPr>
                <w:rFonts w:hint="eastAsia" w:cs="Times New Roman"/>
                <w:color w:val="auto"/>
                <w:kern w:val="0"/>
                <w:sz w:val="24"/>
                <w:szCs w:val="24"/>
                <w:lang w:val="en-US" w:eastAsia="zh-CN"/>
              </w:rPr>
              <w:t>4438.4</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/a），计入总体住院用、排水中。</w:t>
            </w:r>
          </w:p>
          <w:p w14:paraId="64CC3C97">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（5）门诊病人用水</w:t>
            </w:r>
          </w:p>
          <w:p w14:paraId="4C291535">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根据院方提供的数据，本院门诊规模为800人次/天，根据</w:t>
            </w:r>
            <w:r>
              <w:rPr>
                <w:rFonts w:hint="eastAsia" w:ascii="Times New Roman" w:hAnsi="Times New Roman" w:cs="Times New Roman"/>
                <w:color w:val="auto"/>
                <w:kern w:val="0"/>
                <w:sz w:val="24"/>
                <w:szCs w:val="24"/>
                <w:lang w:val="en-US" w:eastAsia="zh-CN"/>
              </w:rPr>
              <w:t>《综合医院建筑设计标准》（GB 51039-2014）</w:t>
            </w:r>
            <w:r>
              <w:rPr>
                <w:rFonts w:hint="eastAsia" w:cs="Times New Roman"/>
                <w:color w:val="auto"/>
                <w:kern w:val="0"/>
                <w:sz w:val="24"/>
                <w:szCs w:val="24"/>
                <w:lang w:val="en-US" w:eastAsia="zh-CN"/>
              </w:rPr>
              <w:t>中表6.2.2</w:t>
            </w:r>
            <w:r>
              <w:rPr>
                <w:rFonts w:hint="default" w:ascii="Times New Roman" w:hAnsi="Times New Roman" w:cs="Times New Roman"/>
                <w:color w:val="auto"/>
                <w:kern w:val="0"/>
                <w:sz w:val="24"/>
                <w:szCs w:val="24"/>
                <w:lang w:val="en-US" w:eastAsia="zh-CN"/>
              </w:rPr>
              <w:t>，</w:t>
            </w:r>
            <w:r>
              <w:rPr>
                <w:rFonts w:hint="eastAsia" w:cs="Times New Roman"/>
                <w:color w:val="auto"/>
                <w:kern w:val="0"/>
                <w:sz w:val="24"/>
                <w:szCs w:val="24"/>
                <w:lang w:val="en-US" w:eastAsia="zh-CN"/>
              </w:rPr>
              <w:t>门、急诊患者最高日用水量为：10-15L/（人·次），本项目</w:t>
            </w:r>
            <w:r>
              <w:rPr>
                <w:rFonts w:hint="default" w:ascii="Times New Roman" w:hAnsi="Times New Roman" w:cs="Times New Roman"/>
                <w:color w:val="auto"/>
                <w:kern w:val="0"/>
                <w:sz w:val="24"/>
                <w:szCs w:val="24"/>
                <w:lang w:val="en-US" w:eastAsia="zh-CN"/>
              </w:rPr>
              <w:t>门诊用水量按</w:t>
            </w:r>
            <w:r>
              <w:rPr>
                <w:rFonts w:hint="eastAsia" w:cs="Times New Roman"/>
                <w:color w:val="auto"/>
                <w:kern w:val="0"/>
                <w:sz w:val="24"/>
                <w:szCs w:val="24"/>
                <w:lang w:val="en-US" w:eastAsia="zh-CN"/>
              </w:rPr>
              <w:t>1</w:t>
            </w:r>
            <w:r>
              <w:rPr>
                <w:rFonts w:hint="default" w:ascii="Times New Roman" w:hAnsi="Times New Roman" w:cs="Times New Roman"/>
                <w:color w:val="auto"/>
                <w:kern w:val="0"/>
                <w:sz w:val="24"/>
                <w:szCs w:val="24"/>
                <w:lang w:val="en-US" w:eastAsia="zh-CN"/>
              </w:rPr>
              <w:t>5L/人·d计，则用水量为</w:t>
            </w:r>
            <w:r>
              <w:rPr>
                <w:rFonts w:hint="eastAsia" w:cs="Times New Roman"/>
                <w:color w:val="auto"/>
                <w:kern w:val="0"/>
                <w:sz w:val="24"/>
                <w:szCs w:val="24"/>
                <w:lang w:val="en-US" w:eastAsia="zh-CN"/>
              </w:rPr>
              <w:t>12</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w:t>
            </w:r>
            <w:r>
              <w:rPr>
                <w:rFonts w:hint="eastAsia" w:cs="Times New Roman"/>
                <w:color w:val="auto"/>
                <w:kern w:val="0"/>
                <w:sz w:val="24"/>
                <w:szCs w:val="24"/>
                <w:lang w:val="en-US" w:eastAsia="zh-CN"/>
              </w:rPr>
              <w:t>4380</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/a）；排污系数取0.8，则项目生活污水排放量为</w:t>
            </w:r>
            <w:r>
              <w:rPr>
                <w:rFonts w:hint="eastAsia" w:cs="Times New Roman"/>
                <w:color w:val="auto"/>
                <w:kern w:val="0"/>
                <w:sz w:val="24"/>
                <w:szCs w:val="24"/>
                <w:lang w:val="en-US" w:eastAsia="zh-CN"/>
              </w:rPr>
              <w:t>9.6</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/d（</w:t>
            </w:r>
            <w:r>
              <w:rPr>
                <w:rFonts w:hint="eastAsia" w:cs="Times New Roman"/>
                <w:color w:val="auto"/>
                <w:kern w:val="0"/>
                <w:sz w:val="24"/>
                <w:szCs w:val="24"/>
                <w:lang w:val="en-US" w:eastAsia="zh-CN"/>
              </w:rPr>
              <w:t>3504</w:t>
            </w:r>
            <w:r>
              <w:rPr>
                <w:rFonts w:hint="default" w:ascii="Times New Roman" w:hAnsi="Times New Roman" w:cs="Times New Roman"/>
                <w:color w:val="auto"/>
                <w:kern w:val="0"/>
                <w:sz w:val="24"/>
                <w:szCs w:val="24"/>
                <w:lang w:val="en-US" w:eastAsia="zh-CN"/>
              </w:rPr>
              <w:t>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w:t>
            </w:r>
          </w:p>
          <w:p w14:paraId="10390ECE">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eastAsia="zh-CN"/>
              </w:rPr>
              <w:t>（</w:t>
            </w:r>
            <w:r>
              <w:rPr>
                <w:rFonts w:hint="default" w:ascii="Times New Roman" w:hAnsi="Times New Roman" w:cs="Times New Roman"/>
                <w:color w:val="auto"/>
                <w:kern w:val="0"/>
                <w:sz w:val="24"/>
                <w:szCs w:val="24"/>
                <w:lang w:val="en-US" w:eastAsia="zh-CN"/>
              </w:rPr>
              <w:t>6</w:t>
            </w:r>
            <w:r>
              <w:rPr>
                <w:rFonts w:hint="default" w:ascii="Times New Roman" w:hAnsi="Times New Roman" w:cs="Times New Roman"/>
                <w:color w:val="auto"/>
                <w:kern w:val="0"/>
                <w:sz w:val="24"/>
                <w:szCs w:val="24"/>
                <w:lang w:eastAsia="zh-CN"/>
              </w:rPr>
              <w:t>）</w:t>
            </w:r>
            <w:r>
              <w:rPr>
                <w:rFonts w:hint="default" w:ascii="Times New Roman" w:hAnsi="Times New Roman" w:cs="Times New Roman"/>
                <w:color w:val="auto"/>
                <w:kern w:val="0"/>
                <w:sz w:val="24"/>
                <w:szCs w:val="24"/>
                <w:lang w:val="en-US" w:eastAsia="zh-CN"/>
              </w:rPr>
              <w:t>喷淋塔用水</w:t>
            </w:r>
          </w:p>
          <w:p w14:paraId="2A2C1F11">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项目污水站格栅间中设有一套碱水喷淋+活性炭吸附用于</w:t>
            </w:r>
            <w:r>
              <w:rPr>
                <w:rFonts w:hint="eastAsia" w:cs="Times New Roman"/>
                <w:color w:val="auto"/>
                <w:kern w:val="0"/>
                <w:sz w:val="24"/>
                <w:szCs w:val="24"/>
                <w:lang w:val="en-US" w:eastAsia="zh-CN"/>
              </w:rPr>
              <w:t>处理污水站各操作井逸散出</w:t>
            </w:r>
            <w:r>
              <w:rPr>
                <w:rFonts w:hint="default" w:ascii="Times New Roman" w:hAnsi="Times New Roman" w:cs="Times New Roman"/>
                <w:color w:val="auto"/>
                <w:kern w:val="0"/>
                <w:sz w:val="24"/>
                <w:szCs w:val="24"/>
                <w:lang w:val="en-US" w:eastAsia="zh-CN"/>
              </w:rPr>
              <w:t>的臭气，</w:t>
            </w:r>
            <w:r>
              <w:rPr>
                <w:rFonts w:hint="eastAsia" w:cs="Times New Roman"/>
                <w:color w:val="auto"/>
                <w:kern w:val="0"/>
                <w:sz w:val="24"/>
                <w:szCs w:val="24"/>
                <w:lang w:val="en-US" w:eastAsia="zh-CN"/>
              </w:rPr>
              <w:t>根据企业提供的数据，</w:t>
            </w:r>
            <w:r>
              <w:rPr>
                <w:rFonts w:hint="default" w:ascii="Times New Roman" w:hAnsi="Times New Roman" w:cs="Times New Roman"/>
                <w:color w:val="auto"/>
                <w:kern w:val="0"/>
                <w:sz w:val="24"/>
                <w:szCs w:val="24"/>
                <w:lang w:val="en-US" w:eastAsia="zh-CN"/>
              </w:rPr>
              <w:t>喷淋系统循环量为1m</w:t>
            </w:r>
            <w:r>
              <w:rPr>
                <w:rFonts w:hint="default" w:ascii="Times New Roman" w:hAnsi="Times New Roman" w:cs="Times New Roman"/>
                <w:color w:val="auto"/>
                <w:kern w:val="0"/>
                <w:sz w:val="24"/>
                <w:szCs w:val="24"/>
                <w:vertAlign w:val="superscript"/>
                <w:lang w:val="en-US" w:eastAsia="zh-CN"/>
              </w:rPr>
              <w:t>3</w:t>
            </w:r>
            <w:r>
              <w:rPr>
                <w:rFonts w:hint="eastAsia" w:cs="Times New Roman"/>
                <w:color w:val="auto"/>
                <w:kern w:val="0"/>
                <w:sz w:val="24"/>
                <w:szCs w:val="24"/>
                <w:vertAlign w:val="baseline"/>
                <w:lang w:val="en-US" w:eastAsia="zh-CN"/>
              </w:rPr>
              <w:t>/d</w:t>
            </w:r>
            <w:r>
              <w:rPr>
                <w:rFonts w:hint="default" w:ascii="Times New Roman" w:hAnsi="Times New Roman" w:cs="Times New Roman"/>
                <w:color w:val="auto"/>
                <w:kern w:val="0"/>
                <w:sz w:val="24"/>
                <w:szCs w:val="24"/>
                <w:lang w:val="en-US" w:eastAsia="zh-CN"/>
              </w:rPr>
              <w:t>，年补水量为3m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/a，水量全部蒸发，不外排。</w:t>
            </w:r>
          </w:p>
          <w:p w14:paraId="011E2D06">
            <w:pPr>
              <w:autoSpaceDE w:val="0"/>
              <w:autoSpaceDN w:val="0"/>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本项目水平衡图见下图。</w:t>
            </w:r>
          </w:p>
          <w:p w14:paraId="49D93D3E">
            <w:pPr>
              <w:autoSpaceDE w:val="0"/>
              <w:autoSpaceDN w:val="0"/>
              <w:adjustRightInd w:val="0"/>
              <w:snapToGrid w:val="0"/>
              <w:spacing w:line="360" w:lineRule="auto"/>
              <w:jc w:val="left"/>
              <w:rPr>
                <w:rFonts w:hint="default" w:ascii="Times New Roman" w:hAnsi="Times New Roman" w:eastAsia="宋体" w:cs="Times New Roman"/>
                <w:kern w:val="0"/>
                <w:sz w:val="21"/>
                <w:szCs w:val="21"/>
                <w:lang w:val="en-US" w:eastAsia="zh-CN"/>
              </w:rPr>
            </w:pPr>
            <w:r>
              <w:drawing>
                <wp:inline distT="0" distB="0" distL="114300" distR="114300">
                  <wp:extent cx="5044440" cy="4885690"/>
                  <wp:effectExtent l="0" t="0" r="3810" b="10160"/>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10"/>
                          <a:stretch>
                            <a:fillRect/>
                          </a:stretch>
                        </pic:blipFill>
                        <pic:spPr>
                          <a:xfrm>
                            <a:off x="0" y="0"/>
                            <a:ext cx="5044440" cy="4885690"/>
                          </a:xfrm>
                          <a:prstGeom prst="rect">
                            <a:avLst/>
                          </a:prstGeom>
                          <a:noFill/>
                          <a:ln>
                            <a:noFill/>
                          </a:ln>
                        </pic:spPr>
                      </pic:pic>
                    </a:graphicData>
                  </a:graphic>
                </wp:inline>
              </w:drawing>
            </w:r>
          </w:p>
          <w:p w14:paraId="4A1E7DCF">
            <w:pPr>
              <w:autoSpaceDE w:val="0"/>
              <w:autoSpaceDN w:val="0"/>
              <w:adjustRightInd w:val="0"/>
              <w:snapToGrid w:val="0"/>
              <w:spacing w:line="360" w:lineRule="auto"/>
              <w:jc w:val="center"/>
              <w:rPr>
                <w:rFonts w:hint="default" w:ascii="Times New Roman" w:hAnsi="Times New Roman" w:eastAsia="宋体" w:cs="Times New Roman"/>
                <w:b w:val="0"/>
                <w:bCs w:val="0"/>
                <w:kern w:val="0"/>
                <w:sz w:val="21"/>
                <w:szCs w:val="21"/>
                <w:lang w:val="en-US" w:eastAsia="zh-CN"/>
              </w:rPr>
            </w:pPr>
            <w:r>
              <w:rPr>
                <w:rFonts w:hint="default" w:ascii="Times New Roman" w:hAnsi="Times New Roman" w:eastAsia="宋体" w:cs="Times New Roman"/>
                <w:b/>
                <w:bCs/>
                <w:kern w:val="0"/>
                <w:sz w:val="21"/>
                <w:szCs w:val="21"/>
              </w:rPr>
              <w:t xml:space="preserve">图2-1 </w:t>
            </w:r>
            <w:r>
              <w:rPr>
                <w:rFonts w:hint="default" w:ascii="Times New Roman" w:hAnsi="Times New Roman" w:eastAsia="宋体" w:cs="Times New Roman"/>
                <w:b/>
                <w:bCs/>
                <w:color w:val="000000" w:themeColor="text1"/>
                <w:kern w:val="0"/>
                <w:sz w:val="21"/>
                <w:szCs w:val="21"/>
              </w:rPr>
              <w:t>项目水平衡图</w:t>
            </w:r>
            <w:r>
              <w:rPr>
                <w:rFonts w:hint="default" w:ascii="Times New Roman" w:hAnsi="Times New Roman" w:cs="Times New Roman"/>
                <w:b/>
                <w:bCs/>
                <w:color w:val="000000" w:themeColor="text1"/>
                <w:kern w:val="0"/>
                <w:sz w:val="21"/>
                <w:szCs w:val="21"/>
                <w:lang w:val="en-US" w:eastAsia="zh-CN"/>
              </w:rPr>
              <w:t xml:space="preserve">  </w:t>
            </w:r>
            <w:r>
              <w:rPr>
                <w:rFonts w:hint="default" w:ascii="Times New Roman" w:hAnsi="Times New Roman" w:cs="Times New Roman"/>
                <w:b w:val="0"/>
                <w:bCs w:val="0"/>
                <w:color w:val="000000" w:themeColor="text1"/>
                <w:kern w:val="0"/>
                <w:sz w:val="21"/>
                <w:szCs w:val="21"/>
                <w:lang w:val="en-US" w:eastAsia="zh-CN"/>
              </w:rPr>
              <w:t>单位：</w:t>
            </w:r>
            <w:r>
              <w:rPr>
                <w:rFonts w:hint="default" w:ascii="Times New Roman" w:hAnsi="Times New Roman" w:cs="Times New Roman"/>
                <w:kern w:val="0"/>
                <w:sz w:val="21"/>
                <w:szCs w:val="21"/>
                <w:lang w:val="en-US" w:eastAsia="zh-CN"/>
              </w:rPr>
              <w:t>m</w:t>
            </w:r>
            <w:r>
              <w:rPr>
                <w:rFonts w:hint="default" w:ascii="Times New Roman" w:hAnsi="Times New Roman" w:cs="Times New Roman"/>
                <w:kern w:val="0"/>
                <w:sz w:val="21"/>
                <w:szCs w:val="21"/>
                <w:vertAlign w:val="superscript"/>
                <w:lang w:val="en-US" w:eastAsia="zh-CN"/>
              </w:rPr>
              <w:t>3</w:t>
            </w:r>
            <w:r>
              <w:rPr>
                <w:rFonts w:hint="default" w:ascii="Times New Roman" w:hAnsi="Times New Roman" w:cs="Times New Roman"/>
                <w:kern w:val="0"/>
                <w:sz w:val="21"/>
                <w:szCs w:val="21"/>
                <w:lang w:val="en-US" w:eastAsia="zh-CN"/>
              </w:rPr>
              <w:t>/a</w:t>
            </w:r>
          </w:p>
          <w:p w14:paraId="62DACD4A">
            <w:pPr>
              <w:autoSpaceDE w:val="0"/>
              <w:autoSpaceDN w:val="0"/>
              <w:adjustRightInd w:val="0"/>
              <w:snapToGrid w:val="0"/>
              <w:spacing w:line="360" w:lineRule="auto"/>
              <w:jc w:val="left"/>
              <w:rPr>
                <w:rFonts w:hint="default" w:ascii="Times New Roman" w:hAnsi="Times New Roman" w:eastAsia="宋体" w:cs="Times New Roman"/>
                <w:kern w:val="0"/>
                <w:sz w:val="21"/>
                <w:szCs w:val="21"/>
                <w:lang w:val="en-US" w:eastAsia="zh-CN"/>
              </w:rPr>
            </w:pPr>
          </w:p>
        </w:tc>
      </w:tr>
      <w:tr w14:paraId="4E771F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823" w:type="dxa"/>
            <w:vAlign w:val="center"/>
          </w:tcPr>
          <w:p w14:paraId="5BD33F36">
            <w:pPr>
              <w:pStyle w:val="21"/>
              <w:adjustRightInd w:val="0"/>
              <w:snapToGrid w:val="0"/>
              <w:spacing w:before="0" w:beforeAutospacing="0" w:after="0" w:afterAutospacing="0" w:line="360" w:lineRule="auto"/>
              <w:jc w:val="center"/>
              <w:rPr>
                <w:rFonts w:hint="eastAsia" w:ascii="宋体" w:hAnsi="宋体" w:eastAsia="宋体" w:cs="宋体"/>
                <w:sz w:val="21"/>
                <w:szCs w:val="21"/>
              </w:rPr>
            </w:pPr>
            <w:r>
              <w:rPr>
                <w:rFonts w:hint="eastAsia" w:ascii="宋体" w:hAnsi="宋体" w:eastAsia="宋体" w:cs="宋体"/>
                <w:sz w:val="21"/>
                <w:szCs w:val="21"/>
              </w:rPr>
              <w:t>工艺流程和产排污环节</w:t>
            </w:r>
          </w:p>
        </w:tc>
        <w:tc>
          <w:tcPr>
            <w:tcW w:w="8161" w:type="dxa"/>
          </w:tcPr>
          <w:p w14:paraId="1582CE43">
            <w:pPr>
              <w:numPr>
                <w:ilvl w:val="0"/>
                <w:numId w:val="3"/>
              </w:numPr>
              <w:adjustRightInd w:val="0"/>
              <w:snapToGrid w:val="0"/>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施工期</w:t>
            </w:r>
          </w:p>
          <w:p w14:paraId="6DA71610">
            <w:pPr>
              <w:adjustRightInd w:val="0"/>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鉴于本项目</w:t>
            </w:r>
            <w:r>
              <w:rPr>
                <w:rFonts w:hint="default" w:ascii="Times New Roman" w:hAnsi="Times New Roman" w:cs="Times New Roman"/>
                <w:bCs/>
                <w:sz w:val="24"/>
                <w:szCs w:val="24"/>
                <w:lang w:val="en-US" w:eastAsia="zh-CN"/>
              </w:rPr>
              <w:t>利用原岳阳市中心医院金鹗山院区现有建筑物进行简单装修即可投入使用，不涉及土建工程，建设周期极短，污染物排放量很少，仅少量装修噪声和装修垃圾排放</w:t>
            </w:r>
            <w:r>
              <w:rPr>
                <w:rFonts w:hint="default" w:ascii="Times New Roman" w:hAnsi="Times New Roman" w:eastAsia="宋体" w:cs="Times New Roman"/>
                <w:bCs/>
                <w:sz w:val="24"/>
                <w:szCs w:val="24"/>
              </w:rPr>
              <w:t>，故不进行施工期工艺流程及产污环节分析。</w:t>
            </w:r>
          </w:p>
          <w:p w14:paraId="73452C4C">
            <w:pPr>
              <w:adjustRightInd w:val="0"/>
              <w:snapToGrid w:val="0"/>
              <w:spacing w:line="360" w:lineRule="auto"/>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2、营运期</w:t>
            </w:r>
          </w:p>
          <w:p w14:paraId="04673EDD">
            <w:pPr>
              <w:adjustRightInd w:val="0"/>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根据建设单位提供资料，本项目工艺流程及产污环节见下图2-2。</w:t>
            </w:r>
          </w:p>
          <w:p w14:paraId="58A308EB">
            <w:pPr>
              <w:adjustRightInd w:val="0"/>
              <w:snapToGrid w:val="0"/>
              <w:spacing w:line="360" w:lineRule="auto"/>
              <w:jc w:val="center"/>
              <w:rPr>
                <w:rFonts w:hint="default" w:ascii="Times New Roman" w:hAnsi="Times New Roman" w:eastAsia="宋体" w:cs="Times New Roman"/>
                <w:bCs/>
                <w:sz w:val="21"/>
                <w:szCs w:val="21"/>
                <w:lang w:eastAsia="zh-CN"/>
              </w:rPr>
            </w:pPr>
            <w:r>
              <w:rPr>
                <w:rFonts w:hint="default" w:ascii="Times New Roman" w:hAnsi="Times New Roman" w:cs="Times New Roman"/>
                <w:sz w:val="21"/>
              </w:rPr>
              <w:pict>
                <v:shape id="_x0000_s2155" o:spid="_x0000_s2155" o:spt="202" type="#_x0000_t202" style="position:absolute;left:0pt;margin-left:97.4pt;margin-top:116.9pt;height:29.4pt;width:31.5pt;z-index:251672576;mso-width-relative:page;mso-height-relative:page;" filled="f" stroked="f" coordsize="21600,21600">
                  <v:path/>
                  <v:fill on="f" focussize="0,0"/>
                  <v:stroke on="f"/>
                  <v:imagedata o:title=""/>
                  <o:lock v:ext="edit" aspectratio="f"/>
                  <v:textbox>
                    <w:txbxContent>
                      <w:p w14:paraId="530E5D9A">
                        <w:pPr>
                          <w:rPr>
                            <w:rFonts w:hint="default" w:eastAsia="宋体"/>
                            <w:color w:val="auto"/>
                            <w:sz w:val="16"/>
                            <w:szCs w:val="20"/>
                            <w:lang w:val="en-US" w:eastAsia="zh-CN"/>
                          </w:rPr>
                        </w:pPr>
                        <w:r>
                          <w:rPr>
                            <w:rFonts w:hint="eastAsia"/>
                            <w:color w:val="auto"/>
                            <w:sz w:val="16"/>
                            <w:szCs w:val="20"/>
                            <w:lang w:val="en-US" w:eastAsia="zh-CN"/>
                          </w:rPr>
                          <w:t>供热水</w:t>
                        </w:r>
                      </w:p>
                    </w:txbxContent>
                  </v:textbox>
                </v:shape>
              </w:pict>
            </w:r>
            <w:r>
              <w:rPr>
                <w:sz w:val="21"/>
              </w:rPr>
              <w:pict>
                <v:rect id="_x0000_s2156" o:spid="_x0000_s2156" o:spt="1" style="position:absolute;left:0pt;margin-left:101.4pt;margin-top:115.9pt;height:26.35pt;width:21pt;z-index:251671552;mso-width-relative:page;mso-height-relative:page;" fillcolor="#FFFFFF" filled="t" stroked="f" coordsize="21600,21600">
                  <v:path/>
                  <v:fill on="t" color2="#FFFFFF" focussize="0,0"/>
                  <v:stroke on="f"/>
                  <v:imagedata o:title=""/>
                  <o:lock v:ext="edit" aspectratio="f"/>
                </v:rect>
              </w:pict>
            </w:r>
            <w:r>
              <w:rPr>
                <w:rFonts w:hint="default" w:ascii="Times New Roman" w:hAnsi="Times New Roman" w:eastAsia="宋体" w:cs="Times New Roman"/>
                <w:bCs/>
                <w:sz w:val="21"/>
                <w:szCs w:val="21"/>
                <w:lang w:eastAsia="zh-CN"/>
              </w:rPr>
              <w:drawing>
                <wp:inline distT="0" distB="0" distL="114300" distR="114300">
                  <wp:extent cx="5106670" cy="4598670"/>
                  <wp:effectExtent l="0" t="0" r="17780" b="11430"/>
                  <wp:docPr id="12" name="图片 12" descr="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工艺流程"/>
                          <pic:cNvPicPr>
                            <a:picLocks noChangeAspect="1"/>
                          </pic:cNvPicPr>
                        </pic:nvPicPr>
                        <pic:blipFill>
                          <a:blip r:embed="rId11"/>
                          <a:stretch>
                            <a:fillRect/>
                          </a:stretch>
                        </pic:blipFill>
                        <pic:spPr>
                          <a:xfrm>
                            <a:off x="0" y="0"/>
                            <a:ext cx="5106670" cy="4598670"/>
                          </a:xfrm>
                          <a:prstGeom prst="rect">
                            <a:avLst/>
                          </a:prstGeom>
                        </pic:spPr>
                      </pic:pic>
                    </a:graphicData>
                  </a:graphic>
                </wp:inline>
              </w:drawing>
            </w:r>
            <w:r>
              <w:rPr>
                <w:rFonts w:hint="default" w:ascii="Times New Roman" w:hAnsi="Times New Roman" w:cs="Times New Roman"/>
                <w:sz w:val="21"/>
              </w:rPr>
              <w:pict>
                <v:shape id="_x0000_s2050" o:spid="_x0000_s2050" o:spt="202" type="#_x0000_t202" style="position:absolute;left:0pt;margin-left:356.95pt;margin-top:311.15pt;height:27.85pt;width:48.75pt;z-index:251670528;mso-width-relative:page;mso-height-relative:page;" filled="f" stroked="f" coordsize="21600,21600">
                  <v:path/>
                  <v:fill on="f" focussize="0,0"/>
                  <v:stroke on="f"/>
                  <v:imagedata o:title=""/>
                  <o:lock v:ext="edit" aspectratio="f"/>
                  <v:textbox>
                    <w:txbxContent>
                      <w:p w14:paraId="0A044D43">
                        <w:pPr>
                          <w:jc w:val="center"/>
                          <w:rPr>
                            <w:rFonts w:hint="default" w:eastAsia="宋体"/>
                            <w:color w:val="auto"/>
                            <w:sz w:val="16"/>
                            <w:szCs w:val="20"/>
                            <w:lang w:val="en-US" w:eastAsia="zh-CN"/>
                          </w:rPr>
                        </w:pPr>
                        <w:r>
                          <w:rPr>
                            <w:rFonts w:hint="eastAsia"/>
                            <w:color w:val="auto"/>
                            <w:sz w:val="16"/>
                            <w:szCs w:val="20"/>
                            <w:lang w:val="en-US" w:eastAsia="zh-CN"/>
                          </w:rPr>
                          <w:t>处理后高空排放</w:t>
                        </w:r>
                      </w:p>
                    </w:txbxContent>
                  </v:textbox>
                </v:shape>
              </w:pict>
            </w:r>
            <w:r>
              <w:rPr>
                <w:rFonts w:hint="default" w:ascii="Times New Roman" w:hAnsi="Times New Roman" w:cs="Times New Roman"/>
                <w:sz w:val="21"/>
              </w:rPr>
              <w:pict>
                <v:shape id="_x0000_s2051" o:spid="_x0000_s2051" o:spt="202" type="#_x0000_t202" style="position:absolute;left:0pt;margin-left:326.95pt;margin-top:290.15pt;height:18.1pt;width:48.75pt;z-index:251668480;mso-width-relative:page;mso-height-relative:page;" filled="f" stroked="f" coordsize="21600,21600">
                  <v:path/>
                  <v:fill on="f" focussize="0,0"/>
                  <v:stroke on="f" joinstyle="miter"/>
                  <v:imagedata o:title=""/>
                  <o:lock v:ext="edit" aspectratio="f"/>
                  <v:textbox>
                    <w:txbxContent>
                      <w:p w14:paraId="536C079E">
                        <w:pPr>
                          <w:rPr>
                            <w:rFonts w:hint="default" w:eastAsia="宋体"/>
                            <w:color w:val="auto"/>
                            <w:sz w:val="16"/>
                            <w:szCs w:val="20"/>
                            <w:lang w:val="en-US" w:eastAsia="zh-CN"/>
                          </w:rPr>
                        </w:pPr>
                        <w:r>
                          <w:rPr>
                            <w:rFonts w:hint="eastAsia"/>
                            <w:color w:val="auto"/>
                            <w:sz w:val="16"/>
                            <w:szCs w:val="20"/>
                            <w:lang w:val="en-US" w:eastAsia="zh-CN"/>
                          </w:rPr>
                          <w:t>市政管网</w:t>
                        </w:r>
                      </w:p>
                    </w:txbxContent>
                  </v:textbox>
                </v:shape>
              </w:pict>
            </w:r>
            <w:r>
              <w:rPr>
                <w:rFonts w:hint="default" w:ascii="Times New Roman" w:hAnsi="Times New Roman" w:cs="Times New Roman"/>
                <w:sz w:val="21"/>
              </w:rPr>
              <w:pict>
                <v:shape id="_x0000_s2052" o:spid="_x0000_s2052" o:spt="202" type="#_x0000_t202" style="position:absolute;left:0pt;margin-left:368.95pt;margin-top:278.45pt;height:18.1pt;width:31.5pt;z-index:251666432;mso-width-relative:page;mso-height-relative:page;" fillcolor="#FFFFFF" filled="t" stroked="t" coordsize="21600,21600">
                  <v:path/>
                  <v:fill on="t" color2="#FFFFFF" focussize="0,0"/>
                  <v:stroke color="#000000"/>
                  <v:imagedata o:title=""/>
                  <o:lock v:ext="edit" aspectratio="f"/>
                  <v:textbox>
                    <w:txbxContent>
                      <w:p w14:paraId="64079A17">
                        <w:pPr>
                          <w:rPr>
                            <w:rFonts w:hint="eastAsia" w:eastAsia="宋体"/>
                            <w:color w:val="auto"/>
                            <w:sz w:val="16"/>
                            <w:szCs w:val="20"/>
                            <w:lang w:val="en-US" w:eastAsia="zh-CN"/>
                          </w:rPr>
                        </w:pPr>
                        <w:r>
                          <w:rPr>
                            <w:rFonts w:hint="eastAsia"/>
                            <w:color w:val="auto"/>
                            <w:sz w:val="16"/>
                            <w:szCs w:val="20"/>
                            <w:lang w:val="en-US" w:eastAsia="zh-CN"/>
                          </w:rPr>
                          <w:t>恶臭</w:t>
                        </w:r>
                      </w:p>
                    </w:txbxContent>
                  </v:textbox>
                </v:shape>
              </w:pict>
            </w:r>
            <w:r>
              <w:rPr>
                <w:rFonts w:hint="default" w:ascii="Times New Roman" w:hAnsi="Times New Roman" w:cs="Times New Roman"/>
                <w:sz w:val="21"/>
              </w:rPr>
              <w:pict>
                <v:line id="_x0000_s2053" o:spid="_x0000_s2053" o:spt="20" style="position:absolute;left:0pt;margin-left:384.7pt;margin-top:296.45pt;height:17.25pt;width:0.05pt;z-index:251669504;mso-width-relative:page;mso-height-relative:page;" filled="f" stroked="t" coordsize="21600,21600">
                  <v:path arrowok="t"/>
                  <v:fill on="f" focussize="0,0"/>
                  <v:stroke color="#000000" dashstyle="dash" endarrow="open"/>
                  <v:imagedata o:title=""/>
                  <o:lock v:ext="edit" aspectratio="f"/>
                </v:line>
              </w:pict>
            </w:r>
            <w:r>
              <w:rPr>
                <w:rFonts w:hint="default" w:ascii="Times New Roman" w:hAnsi="Times New Roman" w:cs="Times New Roman"/>
                <w:sz w:val="21"/>
              </w:rPr>
              <w:pict>
                <v:line id="_x0000_s2054" o:spid="_x0000_s2054" o:spt="20" style="position:absolute;left:0pt;flip:x;margin-left:352.5pt;margin-top:265.4pt;height:27pt;width:0.7pt;z-index:251667456;mso-width-relative:page;mso-height-relative:page;" fillcolor="#FFFFFF" filled="t" stroked="t" coordsize="21600,21600">
                  <v:path arrowok="t"/>
                  <v:fill on="t" color2="#FFFFFF" focussize="0,0"/>
                  <v:stroke color="#000000" dashstyle="dash" endarrow="open"/>
                  <v:imagedata o:title=""/>
                  <o:lock v:ext="edit" aspectratio="f"/>
                </v:line>
              </w:pict>
            </w:r>
            <w:r>
              <w:rPr>
                <w:rFonts w:hint="default" w:ascii="Times New Roman" w:hAnsi="Times New Roman" w:cs="Times New Roman"/>
                <w:sz w:val="21"/>
              </w:rPr>
              <w:pict>
                <v:shape id="_x0000_s2055" o:spid="_x0000_s2055" o:spt="32" type="#_x0000_t32" style="position:absolute;left:0pt;flip:x;margin-left:385.45pt;margin-top:263.2pt;height:15.7pt;width:0.05pt;z-index:251665408;mso-width-relative:page;mso-height-relative:page;" filled="f" stroked="t" coordsize="21600,21600">
                  <v:path arrowok="t"/>
                  <v:fill on="f" focussize="0,0"/>
                  <v:stroke color="#000000" dashstyle="dash" endarrow="open"/>
                  <v:imagedata o:title=""/>
                  <o:lock v:ext="edit" aspectratio="f"/>
                </v:shape>
              </w:pict>
            </w:r>
            <w:r>
              <w:rPr>
                <w:rFonts w:hint="default" w:ascii="Times New Roman" w:hAnsi="Times New Roman" w:cs="Times New Roman"/>
                <w:sz w:val="21"/>
              </w:rPr>
              <w:pict>
                <v:line id="_x0000_s2056" o:spid="_x0000_s2056" o:spt="20" style="position:absolute;left:0pt;flip:y;margin-left:371.25pt;margin-top:263.2pt;height:0.7pt;width:14.25pt;z-index:251664384;mso-width-relative:page;mso-height-relative:page;" fillcolor="#FFFFFF" filled="t" stroked="t" coordsize="21600,21600">
                  <v:path arrowok="t"/>
                  <v:fill on="t" color2="#FFFFFF" focussize="0,0"/>
                  <v:stroke color="#000000" dashstyle="dash"/>
                  <v:imagedata o:title=""/>
                  <o:lock v:ext="edit" aspectratio="f"/>
                </v:line>
              </w:pict>
            </w:r>
          </w:p>
          <w:p w14:paraId="61490274">
            <w:pPr>
              <w:adjustRightInd w:val="0"/>
              <w:snapToGrid w:val="0"/>
              <w:spacing w:line="36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图2-2 营运期工艺流程及产污节点示意图</w:t>
            </w:r>
          </w:p>
          <w:p w14:paraId="3DF84DFC">
            <w:pPr>
              <w:adjustRightInd w:val="0"/>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cs="Times New Roman"/>
                <w:b w:val="0"/>
                <w:bCs/>
                <w:sz w:val="24"/>
                <w:szCs w:val="24"/>
                <w:lang w:val="en-US" w:eastAsia="zh-CN"/>
              </w:rPr>
              <w:t>本项目属于医疗社会服务业，为来医院就医的病人提供专业的诊断治疗服务。医院内病人挂号后赴门诊进行检查，若无需住院，则取药后可返回；若需住院，则办理相关入院手续后留在医院内进行手术、治疗、检查和护理，待复查康复后，即可出院；若遇传染病人直接送入传染病科进行就诊</w:t>
            </w:r>
            <w:r>
              <w:rPr>
                <w:rFonts w:hint="default" w:ascii="Times New Roman" w:hAnsi="Times New Roman" w:eastAsia="宋体" w:cs="Times New Roman"/>
                <w:bCs/>
                <w:sz w:val="24"/>
                <w:szCs w:val="24"/>
              </w:rPr>
              <w:t>。</w:t>
            </w:r>
          </w:p>
          <w:p w14:paraId="4111613A">
            <w:pPr>
              <w:adjustRightInd w:val="0"/>
              <w:snapToGrid w:val="0"/>
              <w:spacing w:line="360" w:lineRule="auto"/>
              <w:ind w:firstLine="480" w:firstLineChars="200"/>
              <w:rPr>
                <w:rFonts w:hint="default" w:ascii="Times New Roman" w:hAnsi="Times New Roman" w:eastAsia="宋体" w:cs="Times New Roman"/>
                <w:b/>
                <w:sz w:val="24"/>
                <w:szCs w:val="24"/>
              </w:rPr>
            </w:pPr>
            <w:r>
              <w:rPr>
                <w:rFonts w:hint="default" w:ascii="Times New Roman" w:hAnsi="Times New Roman" w:eastAsia="宋体" w:cs="Times New Roman"/>
                <w:bCs/>
                <w:sz w:val="24"/>
                <w:szCs w:val="24"/>
              </w:rPr>
              <w:t>根据工艺流程，本项目产污环节一览表如下表2-</w:t>
            </w:r>
            <w:r>
              <w:rPr>
                <w:rFonts w:hint="default" w:ascii="Times New Roman" w:hAnsi="Times New Roman" w:cs="Times New Roman"/>
                <w:bCs/>
                <w:sz w:val="24"/>
                <w:szCs w:val="24"/>
                <w:lang w:val="en-US" w:eastAsia="zh-CN"/>
              </w:rPr>
              <w:t>7</w:t>
            </w:r>
            <w:r>
              <w:rPr>
                <w:rFonts w:hint="default" w:ascii="Times New Roman" w:hAnsi="Times New Roman" w:eastAsia="宋体" w:cs="Times New Roman"/>
                <w:bCs/>
                <w:sz w:val="24"/>
                <w:szCs w:val="24"/>
              </w:rPr>
              <w:t>。</w:t>
            </w:r>
          </w:p>
          <w:p w14:paraId="3AA614EF">
            <w:pPr>
              <w:adjustRightInd w:val="0"/>
              <w:snapToGrid w:val="0"/>
              <w:spacing w:line="36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表2-</w:t>
            </w:r>
            <w:r>
              <w:rPr>
                <w:rFonts w:hint="eastAsia" w:cs="Times New Roman"/>
                <w:b/>
                <w:sz w:val="21"/>
                <w:szCs w:val="21"/>
                <w:lang w:val="en-US" w:eastAsia="zh-CN"/>
              </w:rPr>
              <w:t>10</w:t>
            </w:r>
            <w:r>
              <w:rPr>
                <w:rFonts w:hint="default" w:ascii="Times New Roman" w:hAnsi="Times New Roman" w:eastAsia="宋体" w:cs="Times New Roman"/>
                <w:b/>
                <w:sz w:val="21"/>
                <w:szCs w:val="21"/>
              </w:rPr>
              <w:t xml:space="preserve"> 项目产污一览表</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678"/>
              <w:gridCol w:w="1915"/>
              <w:gridCol w:w="3441"/>
              <w:gridCol w:w="1155"/>
            </w:tblGrid>
            <w:tr w14:paraId="2983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0" w:type="pct"/>
                  <w:shd w:val="clear" w:color="auto" w:fill="auto"/>
                  <w:vAlign w:val="center"/>
                </w:tcPr>
                <w:p w14:paraId="296C293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种类</w:t>
                  </w:r>
                </w:p>
              </w:tc>
              <w:tc>
                <w:tcPr>
                  <w:tcW w:w="427" w:type="pct"/>
                  <w:shd w:val="clear" w:color="auto" w:fill="auto"/>
                  <w:vAlign w:val="center"/>
                </w:tcPr>
                <w:p w14:paraId="216F461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序号</w:t>
                  </w:r>
                </w:p>
              </w:tc>
              <w:tc>
                <w:tcPr>
                  <w:tcW w:w="1206" w:type="pct"/>
                  <w:shd w:val="clear" w:color="auto" w:fill="auto"/>
                  <w:vAlign w:val="center"/>
                </w:tcPr>
                <w:p w14:paraId="0FEA1A7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来源</w:t>
                  </w:r>
                </w:p>
              </w:tc>
              <w:tc>
                <w:tcPr>
                  <w:tcW w:w="2168" w:type="pct"/>
                  <w:shd w:val="clear" w:color="auto" w:fill="auto"/>
                  <w:vAlign w:val="center"/>
                </w:tcPr>
                <w:p w14:paraId="4C6F719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主要污染物</w:t>
                  </w:r>
                </w:p>
              </w:tc>
              <w:tc>
                <w:tcPr>
                  <w:tcW w:w="727" w:type="pct"/>
                  <w:shd w:val="clear" w:color="auto" w:fill="auto"/>
                  <w:vAlign w:val="center"/>
                </w:tcPr>
                <w:p w14:paraId="3F56170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产生特征</w:t>
                  </w:r>
                </w:p>
              </w:tc>
            </w:tr>
            <w:tr w14:paraId="1DD9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70" w:type="pct"/>
                  <w:vMerge w:val="restart"/>
                  <w:shd w:val="clear" w:color="auto" w:fill="auto"/>
                  <w:vAlign w:val="center"/>
                </w:tcPr>
                <w:p w14:paraId="703E4E2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废气</w:t>
                  </w:r>
                </w:p>
              </w:tc>
              <w:tc>
                <w:tcPr>
                  <w:tcW w:w="427" w:type="pct"/>
                  <w:shd w:val="clear" w:color="auto" w:fill="auto"/>
                  <w:vAlign w:val="center"/>
                </w:tcPr>
                <w:p w14:paraId="3CA9377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G1</w:t>
                  </w:r>
                </w:p>
              </w:tc>
              <w:tc>
                <w:tcPr>
                  <w:tcW w:w="1206" w:type="pct"/>
                  <w:shd w:val="clear" w:color="auto" w:fill="auto"/>
                  <w:vAlign w:val="center"/>
                </w:tcPr>
                <w:p w14:paraId="524D1E1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污水处理站</w:t>
                  </w:r>
                </w:p>
              </w:tc>
              <w:tc>
                <w:tcPr>
                  <w:tcW w:w="2168" w:type="pct"/>
                  <w:shd w:val="clear" w:color="auto" w:fill="auto"/>
                  <w:vAlign w:val="center"/>
                </w:tcPr>
                <w:p w14:paraId="66C22D2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氨、硫化氢、臭气浓度、甲烷</w:t>
                  </w:r>
                </w:p>
              </w:tc>
              <w:tc>
                <w:tcPr>
                  <w:tcW w:w="727" w:type="pct"/>
                  <w:shd w:val="clear" w:color="auto" w:fill="auto"/>
                  <w:vAlign w:val="center"/>
                </w:tcPr>
                <w:p w14:paraId="7234E5D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连续</w:t>
                  </w:r>
                </w:p>
              </w:tc>
            </w:tr>
            <w:tr w14:paraId="5AD5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70" w:type="pct"/>
                  <w:vMerge w:val="continue"/>
                  <w:shd w:val="clear" w:color="auto" w:fill="auto"/>
                  <w:vAlign w:val="center"/>
                </w:tcPr>
                <w:p w14:paraId="544EAB9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111EF6D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G2</w:t>
                  </w:r>
                </w:p>
              </w:tc>
              <w:tc>
                <w:tcPr>
                  <w:tcW w:w="1206" w:type="pct"/>
                  <w:shd w:val="clear" w:color="auto" w:fill="auto"/>
                  <w:vAlign w:val="center"/>
                </w:tcPr>
                <w:p w14:paraId="15C4988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天然气锅炉</w:t>
                  </w:r>
                </w:p>
              </w:tc>
              <w:tc>
                <w:tcPr>
                  <w:tcW w:w="2168" w:type="pct"/>
                  <w:shd w:val="clear" w:color="auto" w:fill="auto"/>
                  <w:vAlign w:val="center"/>
                </w:tcPr>
                <w:p w14:paraId="407A69F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颗粒物</w:t>
                  </w:r>
                  <w:r>
                    <w:rPr>
                      <w:rFonts w:hint="default" w:ascii="Times New Roman" w:hAnsi="Times New Roman" w:cs="Times New Roman"/>
                      <w:bCs/>
                      <w:sz w:val="21"/>
                      <w:szCs w:val="21"/>
                      <w:lang w:val="en-US" w:eastAsia="zh-CN"/>
                    </w:rPr>
                    <w:t>、SO</w:t>
                  </w:r>
                  <w:r>
                    <w:rPr>
                      <w:rFonts w:hint="default" w:ascii="Times New Roman" w:hAnsi="Times New Roman" w:cs="Times New Roman"/>
                      <w:bCs/>
                      <w:sz w:val="21"/>
                      <w:szCs w:val="21"/>
                      <w:vertAlign w:val="subscript"/>
                      <w:lang w:val="en-US" w:eastAsia="zh-CN"/>
                    </w:rPr>
                    <w:t>2</w:t>
                  </w:r>
                  <w:r>
                    <w:rPr>
                      <w:rFonts w:hint="default" w:ascii="Times New Roman" w:hAnsi="Times New Roman" w:cs="Times New Roman"/>
                      <w:bCs/>
                      <w:sz w:val="21"/>
                      <w:szCs w:val="21"/>
                      <w:lang w:val="en-US" w:eastAsia="zh-CN"/>
                    </w:rPr>
                    <w:t>、NO</w:t>
                  </w:r>
                  <w:r>
                    <w:rPr>
                      <w:rFonts w:hint="default" w:ascii="Times New Roman" w:hAnsi="Times New Roman" w:cs="Times New Roman"/>
                      <w:bCs/>
                      <w:sz w:val="21"/>
                      <w:szCs w:val="21"/>
                      <w:vertAlign w:val="subscript"/>
                      <w:lang w:val="en-US" w:eastAsia="zh-CN"/>
                    </w:rPr>
                    <w:t>X</w:t>
                  </w:r>
                </w:p>
              </w:tc>
              <w:tc>
                <w:tcPr>
                  <w:tcW w:w="727" w:type="pct"/>
                  <w:shd w:val="clear" w:color="auto" w:fill="auto"/>
                  <w:vAlign w:val="center"/>
                </w:tcPr>
                <w:p w14:paraId="1F49C1B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间歇</w:t>
                  </w:r>
                </w:p>
              </w:tc>
            </w:tr>
            <w:tr w14:paraId="48C0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70" w:type="pct"/>
                  <w:vMerge w:val="continue"/>
                  <w:shd w:val="clear" w:color="auto" w:fill="auto"/>
                  <w:vAlign w:val="center"/>
                </w:tcPr>
                <w:p w14:paraId="5D775AB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3FE303E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G3</w:t>
                  </w:r>
                </w:p>
              </w:tc>
              <w:tc>
                <w:tcPr>
                  <w:tcW w:w="1206" w:type="pct"/>
                  <w:shd w:val="clear" w:color="auto" w:fill="auto"/>
                  <w:vAlign w:val="center"/>
                </w:tcPr>
                <w:p w14:paraId="706827D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食堂</w:t>
                  </w:r>
                </w:p>
              </w:tc>
              <w:tc>
                <w:tcPr>
                  <w:tcW w:w="2168" w:type="pct"/>
                  <w:shd w:val="clear" w:color="auto" w:fill="auto"/>
                  <w:vAlign w:val="center"/>
                </w:tcPr>
                <w:p w14:paraId="2510695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油烟</w:t>
                  </w:r>
                </w:p>
              </w:tc>
              <w:tc>
                <w:tcPr>
                  <w:tcW w:w="727" w:type="pct"/>
                  <w:shd w:val="clear" w:color="auto" w:fill="auto"/>
                  <w:vAlign w:val="center"/>
                </w:tcPr>
                <w:p w14:paraId="2201C13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间歇</w:t>
                  </w:r>
                </w:p>
              </w:tc>
            </w:tr>
            <w:tr w14:paraId="1777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70" w:type="pct"/>
                  <w:vMerge w:val="continue"/>
                  <w:shd w:val="clear" w:color="auto" w:fill="auto"/>
                  <w:vAlign w:val="center"/>
                </w:tcPr>
                <w:p w14:paraId="3D0F2BC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3962E37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eastAsia="宋体" w:cs="Times New Roman"/>
                      <w:bCs/>
                      <w:sz w:val="21"/>
                      <w:szCs w:val="21"/>
                      <w:lang w:val="en-US" w:eastAsia="zh-CN"/>
                    </w:rPr>
                    <w:t>G</w:t>
                  </w:r>
                  <w:r>
                    <w:rPr>
                      <w:rFonts w:hint="default" w:ascii="Times New Roman" w:hAnsi="Times New Roman" w:cs="Times New Roman"/>
                      <w:bCs/>
                      <w:sz w:val="21"/>
                      <w:szCs w:val="21"/>
                      <w:lang w:val="en-US" w:eastAsia="zh-CN"/>
                    </w:rPr>
                    <w:t>4</w:t>
                  </w:r>
                </w:p>
              </w:tc>
              <w:tc>
                <w:tcPr>
                  <w:tcW w:w="1206" w:type="pct"/>
                  <w:shd w:val="clear" w:color="auto" w:fill="auto"/>
                  <w:vAlign w:val="center"/>
                </w:tcPr>
                <w:p w14:paraId="42CC9CC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备用柴油发电机</w:t>
                  </w:r>
                </w:p>
              </w:tc>
              <w:tc>
                <w:tcPr>
                  <w:tcW w:w="2168" w:type="pct"/>
                  <w:shd w:val="clear" w:color="auto" w:fill="auto"/>
                  <w:vAlign w:val="center"/>
                </w:tcPr>
                <w:p w14:paraId="0E590A5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eastAsia" w:cs="Times New Roman"/>
                      <w:bCs/>
                      <w:sz w:val="21"/>
                      <w:szCs w:val="21"/>
                      <w:lang w:val="en-US" w:eastAsia="zh-CN"/>
                    </w:rPr>
                    <w:t>颗粒物</w:t>
                  </w:r>
                  <w:r>
                    <w:rPr>
                      <w:rFonts w:hint="default" w:ascii="Times New Roman" w:hAnsi="Times New Roman" w:cs="Times New Roman"/>
                      <w:bCs/>
                      <w:sz w:val="21"/>
                      <w:szCs w:val="21"/>
                      <w:lang w:val="en-US" w:eastAsia="zh-CN"/>
                    </w:rPr>
                    <w:t>、SO</w:t>
                  </w:r>
                  <w:r>
                    <w:rPr>
                      <w:rFonts w:hint="default" w:ascii="Times New Roman" w:hAnsi="Times New Roman" w:cs="Times New Roman"/>
                      <w:bCs/>
                      <w:sz w:val="21"/>
                      <w:szCs w:val="21"/>
                      <w:vertAlign w:val="subscript"/>
                      <w:lang w:val="en-US" w:eastAsia="zh-CN"/>
                    </w:rPr>
                    <w:t>2</w:t>
                  </w:r>
                  <w:r>
                    <w:rPr>
                      <w:rFonts w:hint="default" w:ascii="Times New Roman" w:hAnsi="Times New Roman" w:cs="Times New Roman"/>
                      <w:bCs/>
                      <w:sz w:val="21"/>
                      <w:szCs w:val="21"/>
                      <w:lang w:val="en-US" w:eastAsia="zh-CN"/>
                    </w:rPr>
                    <w:t>、NO</w:t>
                  </w:r>
                  <w:r>
                    <w:rPr>
                      <w:rFonts w:hint="default" w:ascii="Times New Roman" w:hAnsi="Times New Roman" w:cs="Times New Roman"/>
                      <w:bCs/>
                      <w:sz w:val="21"/>
                      <w:szCs w:val="21"/>
                      <w:vertAlign w:val="subscript"/>
                      <w:lang w:val="en-US" w:eastAsia="zh-CN"/>
                    </w:rPr>
                    <w:t>X</w:t>
                  </w:r>
                </w:p>
              </w:tc>
              <w:tc>
                <w:tcPr>
                  <w:tcW w:w="727" w:type="pct"/>
                  <w:shd w:val="clear" w:color="auto" w:fill="auto"/>
                  <w:vAlign w:val="center"/>
                </w:tcPr>
                <w:p w14:paraId="52D249F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间歇</w:t>
                  </w:r>
                </w:p>
              </w:tc>
            </w:tr>
            <w:tr w14:paraId="1378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70" w:type="pct"/>
                  <w:vMerge w:val="continue"/>
                  <w:shd w:val="clear" w:color="auto" w:fill="auto"/>
                  <w:vAlign w:val="center"/>
                </w:tcPr>
                <w:p w14:paraId="20F8739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752DD17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G5</w:t>
                  </w:r>
                </w:p>
              </w:tc>
              <w:tc>
                <w:tcPr>
                  <w:tcW w:w="1206" w:type="pct"/>
                  <w:shd w:val="clear" w:color="auto" w:fill="auto"/>
                  <w:vAlign w:val="center"/>
                </w:tcPr>
                <w:p w14:paraId="740DEF8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sz w:val="21"/>
                      <w:szCs w:val="21"/>
                      <w:lang w:val="en-US" w:eastAsia="zh-CN"/>
                    </w:rPr>
                  </w:pPr>
                  <w:r>
                    <w:rPr>
                      <w:rFonts w:hint="default" w:ascii="Times New Roman" w:hAnsi="Times New Roman" w:cs="Times New Roman"/>
                      <w:bCs/>
                      <w:sz w:val="21"/>
                      <w:szCs w:val="21"/>
                      <w:lang w:val="en-US" w:eastAsia="zh-CN"/>
                    </w:rPr>
                    <w:t>汽车尾气</w:t>
                  </w:r>
                </w:p>
              </w:tc>
              <w:tc>
                <w:tcPr>
                  <w:tcW w:w="2168" w:type="pct"/>
                  <w:shd w:val="clear" w:color="auto" w:fill="auto"/>
                  <w:vAlign w:val="center"/>
                </w:tcPr>
                <w:p w14:paraId="50E139D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sz w:val="21"/>
                      <w:szCs w:val="21"/>
                      <w:lang w:val="en-US" w:eastAsia="zh-CN"/>
                    </w:rPr>
                  </w:pPr>
                  <w:r>
                    <w:rPr>
                      <w:rFonts w:hint="default" w:ascii="Times New Roman" w:hAnsi="Times New Roman" w:cs="Times New Roman"/>
                      <w:bCs/>
                      <w:sz w:val="21"/>
                      <w:szCs w:val="21"/>
                      <w:lang w:val="en-US" w:eastAsia="zh-CN"/>
                    </w:rPr>
                    <w:t>HC、CO、NO</w:t>
                  </w:r>
                  <w:r>
                    <w:rPr>
                      <w:rFonts w:hint="default" w:ascii="Times New Roman" w:hAnsi="Times New Roman" w:cs="Times New Roman"/>
                      <w:bCs/>
                      <w:sz w:val="21"/>
                      <w:szCs w:val="21"/>
                      <w:vertAlign w:val="subscript"/>
                      <w:lang w:val="en-US" w:eastAsia="zh-CN"/>
                    </w:rPr>
                    <w:t>2</w:t>
                  </w:r>
                </w:p>
              </w:tc>
              <w:tc>
                <w:tcPr>
                  <w:tcW w:w="727" w:type="pct"/>
                  <w:shd w:val="clear" w:color="auto" w:fill="auto"/>
                  <w:vAlign w:val="center"/>
                </w:tcPr>
                <w:p w14:paraId="5A35AB7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sz w:val="21"/>
                      <w:szCs w:val="21"/>
                      <w:lang w:val="en-US" w:eastAsia="zh-CN"/>
                    </w:rPr>
                  </w:pPr>
                  <w:r>
                    <w:rPr>
                      <w:rFonts w:hint="default" w:ascii="Times New Roman" w:hAnsi="Times New Roman" w:cs="Times New Roman"/>
                      <w:bCs/>
                      <w:sz w:val="21"/>
                      <w:szCs w:val="21"/>
                      <w:lang w:val="en-US" w:eastAsia="zh-CN"/>
                    </w:rPr>
                    <w:t>间歇</w:t>
                  </w:r>
                </w:p>
              </w:tc>
            </w:tr>
            <w:tr w14:paraId="5071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470" w:type="pct"/>
                  <w:vMerge w:val="continue"/>
                  <w:shd w:val="clear" w:color="auto" w:fill="auto"/>
                  <w:vAlign w:val="center"/>
                </w:tcPr>
                <w:p w14:paraId="4A1C84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74631A1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G6</w:t>
                  </w:r>
                </w:p>
              </w:tc>
              <w:tc>
                <w:tcPr>
                  <w:tcW w:w="1206" w:type="pct"/>
                  <w:shd w:val="clear" w:color="auto" w:fill="auto"/>
                  <w:vAlign w:val="center"/>
                </w:tcPr>
                <w:p w14:paraId="0D2F79D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危废暂存间</w:t>
                  </w:r>
                </w:p>
              </w:tc>
              <w:tc>
                <w:tcPr>
                  <w:tcW w:w="2168" w:type="pct"/>
                  <w:shd w:val="clear" w:color="auto" w:fill="auto"/>
                  <w:vAlign w:val="center"/>
                </w:tcPr>
                <w:p w14:paraId="5DF958C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臭气浓度</w:t>
                  </w:r>
                </w:p>
              </w:tc>
              <w:tc>
                <w:tcPr>
                  <w:tcW w:w="727" w:type="pct"/>
                  <w:shd w:val="clear" w:color="auto" w:fill="auto"/>
                  <w:vAlign w:val="center"/>
                </w:tcPr>
                <w:p w14:paraId="4D4E565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间歇</w:t>
                  </w:r>
                </w:p>
              </w:tc>
            </w:tr>
          </w:tbl>
          <w:p w14:paraId="5193ADD0"/>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678"/>
              <w:gridCol w:w="1862"/>
              <w:gridCol w:w="3494"/>
              <w:gridCol w:w="1155"/>
            </w:tblGrid>
            <w:tr w14:paraId="78C3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0" w:type="pct"/>
                  <w:vMerge w:val="restart"/>
                  <w:shd w:val="clear" w:color="auto" w:fill="auto"/>
                  <w:vAlign w:val="center"/>
                </w:tcPr>
                <w:p w14:paraId="7D92461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废水</w:t>
                  </w:r>
                </w:p>
              </w:tc>
              <w:tc>
                <w:tcPr>
                  <w:tcW w:w="427" w:type="pct"/>
                  <w:shd w:val="clear" w:color="auto" w:fill="auto"/>
                  <w:vAlign w:val="center"/>
                </w:tcPr>
                <w:p w14:paraId="5D7E8A8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eastAsia="zh-CN"/>
                    </w:rPr>
                  </w:pPr>
                  <w:r>
                    <w:rPr>
                      <w:rFonts w:hint="default" w:ascii="Times New Roman" w:hAnsi="Times New Roman" w:eastAsia="宋体" w:cs="Times New Roman"/>
                      <w:bCs/>
                      <w:color w:val="000000" w:themeColor="text1"/>
                      <w:sz w:val="21"/>
                      <w:szCs w:val="21"/>
                    </w:rPr>
                    <w:t>W1</w:t>
                  </w:r>
                </w:p>
              </w:tc>
              <w:tc>
                <w:tcPr>
                  <w:tcW w:w="1173" w:type="pct"/>
                  <w:shd w:val="clear" w:color="auto" w:fill="auto"/>
                  <w:vAlign w:val="center"/>
                </w:tcPr>
                <w:p w14:paraId="100277D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办公楼</w:t>
                  </w:r>
                  <w:r>
                    <w:rPr>
                      <w:rFonts w:hint="default" w:ascii="Times New Roman" w:hAnsi="Times New Roman" w:cs="Times New Roman"/>
                      <w:bCs/>
                      <w:color w:val="000000" w:themeColor="text1"/>
                      <w:sz w:val="21"/>
                      <w:szCs w:val="21"/>
                      <w:lang w:val="en-US" w:eastAsia="zh-CN"/>
                    </w:rPr>
                    <w:t>生活污水</w:t>
                  </w:r>
                </w:p>
              </w:tc>
              <w:tc>
                <w:tcPr>
                  <w:tcW w:w="2201" w:type="pct"/>
                  <w:shd w:val="clear" w:color="auto" w:fill="auto"/>
                  <w:vAlign w:val="center"/>
                </w:tcPr>
                <w:p w14:paraId="403CF1C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pH、</w:t>
                  </w:r>
                  <w:r>
                    <w:rPr>
                      <w:rFonts w:hint="default" w:ascii="Times New Roman" w:hAnsi="Times New Roman" w:eastAsia="宋体" w:cs="Times New Roman"/>
                      <w:bCs/>
                      <w:color w:val="000000" w:themeColor="text1"/>
                      <w:sz w:val="21"/>
                      <w:szCs w:val="21"/>
                    </w:rPr>
                    <w:t>粪大肠菌群数、</w:t>
                  </w:r>
                  <w:r>
                    <w:rPr>
                      <w:rFonts w:hint="eastAsia" w:cs="Times New Roman"/>
                      <w:bCs/>
                      <w:color w:val="000000" w:themeColor="text1"/>
                      <w:sz w:val="21"/>
                      <w:szCs w:val="21"/>
                      <w:lang w:val="en-US" w:eastAsia="zh-CN"/>
                    </w:rPr>
                    <w:t>COD、BOD</w:t>
                  </w:r>
                  <w:r>
                    <w:rPr>
                      <w:rFonts w:hint="eastAsia" w:cs="Times New Roman"/>
                      <w:bCs/>
                      <w:color w:val="000000" w:themeColor="text1"/>
                      <w:sz w:val="21"/>
                      <w:szCs w:val="21"/>
                      <w:vertAlign w:val="subscript"/>
                      <w:lang w:val="en-US" w:eastAsia="zh-CN"/>
                    </w:rPr>
                    <w:t>5</w:t>
                  </w:r>
                  <w:r>
                    <w:rPr>
                      <w:rFonts w:hint="default" w:ascii="Times New Roman" w:hAnsi="Times New Roman" w:eastAsia="宋体" w:cs="Times New Roman"/>
                      <w:bCs/>
                      <w:color w:val="000000" w:themeColor="text1"/>
                      <w:sz w:val="21"/>
                      <w:szCs w:val="21"/>
                    </w:rPr>
                    <w:t>、</w:t>
                  </w:r>
                  <w:r>
                    <w:rPr>
                      <w:rFonts w:hint="eastAsia" w:cs="Times New Roman"/>
                      <w:bCs/>
                      <w:color w:val="000000" w:themeColor="text1"/>
                      <w:sz w:val="21"/>
                      <w:szCs w:val="21"/>
                      <w:lang w:val="en-US" w:eastAsia="zh-CN"/>
                    </w:rPr>
                    <w:t>SS</w:t>
                  </w:r>
                  <w:r>
                    <w:rPr>
                      <w:rFonts w:hint="default" w:ascii="Times New Roman" w:hAnsi="Times New Roman" w:eastAsia="宋体" w:cs="Times New Roman"/>
                      <w:bCs/>
                      <w:color w:val="000000" w:themeColor="text1"/>
                      <w:sz w:val="21"/>
                      <w:szCs w:val="21"/>
                    </w:rPr>
                    <w:t>、</w:t>
                  </w:r>
                  <w:r>
                    <w:rPr>
                      <w:rFonts w:hint="eastAsia" w:cs="Times New Roman"/>
                      <w:bCs/>
                      <w:color w:val="000000" w:themeColor="text1"/>
                      <w:sz w:val="21"/>
                      <w:szCs w:val="21"/>
                      <w:lang w:val="en-US" w:eastAsia="zh-CN"/>
                    </w:rPr>
                    <w:t>LAS、氨氮</w:t>
                  </w:r>
                </w:p>
              </w:tc>
              <w:tc>
                <w:tcPr>
                  <w:tcW w:w="727" w:type="pct"/>
                  <w:shd w:val="clear" w:color="auto" w:fill="auto"/>
                  <w:vAlign w:val="center"/>
                </w:tcPr>
                <w:p w14:paraId="4DB913C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间歇</w:t>
                  </w:r>
                </w:p>
              </w:tc>
            </w:tr>
            <w:tr w14:paraId="0384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0" w:type="pct"/>
                  <w:vMerge w:val="continue"/>
                  <w:shd w:val="clear" w:color="auto" w:fill="auto"/>
                  <w:vAlign w:val="center"/>
                </w:tcPr>
                <w:p w14:paraId="5AA432B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4617A58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W2</w:t>
                  </w:r>
                </w:p>
              </w:tc>
              <w:tc>
                <w:tcPr>
                  <w:tcW w:w="1173" w:type="pct"/>
                  <w:shd w:val="clear" w:color="auto" w:fill="auto"/>
                  <w:vAlign w:val="center"/>
                </w:tcPr>
                <w:p w14:paraId="152C404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食堂废水</w:t>
                  </w:r>
                </w:p>
              </w:tc>
              <w:tc>
                <w:tcPr>
                  <w:tcW w:w="2201" w:type="pct"/>
                  <w:shd w:val="clear" w:color="auto" w:fill="auto"/>
                  <w:vAlign w:val="center"/>
                </w:tcPr>
                <w:p w14:paraId="1AA50C5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pH、SS、动植物油、LAS、氨氮、COD、BOD</w:t>
                  </w:r>
                  <w:r>
                    <w:rPr>
                      <w:rFonts w:hint="eastAsia" w:cs="Times New Roman"/>
                      <w:bCs/>
                      <w:color w:val="000000" w:themeColor="text1"/>
                      <w:sz w:val="21"/>
                      <w:szCs w:val="21"/>
                      <w:vertAlign w:val="subscript"/>
                      <w:lang w:val="en-US" w:eastAsia="zh-CN"/>
                    </w:rPr>
                    <w:t>5</w:t>
                  </w:r>
                </w:p>
              </w:tc>
              <w:tc>
                <w:tcPr>
                  <w:tcW w:w="727" w:type="pct"/>
                  <w:shd w:val="clear" w:color="auto" w:fill="auto"/>
                  <w:vAlign w:val="center"/>
                </w:tcPr>
                <w:p w14:paraId="69FFF53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间歇</w:t>
                  </w:r>
                </w:p>
              </w:tc>
            </w:tr>
            <w:tr w14:paraId="41BC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0" w:type="pct"/>
                  <w:vMerge w:val="continue"/>
                  <w:shd w:val="clear" w:color="auto" w:fill="auto"/>
                  <w:vAlign w:val="center"/>
                </w:tcPr>
                <w:p w14:paraId="2D4D5D0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32F1A82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W3</w:t>
                  </w:r>
                </w:p>
              </w:tc>
              <w:tc>
                <w:tcPr>
                  <w:tcW w:w="1173" w:type="pct"/>
                  <w:shd w:val="clear" w:color="auto" w:fill="auto"/>
                  <w:vAlign w:val="center"/>
                </w:tcPr>
                <w:p w14:paraId="423EE5A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000000" w:themeColor="text1"/>
                      <w:sz w:val="21"/>
                      <w:szCs w:val="21"/>
                      <w:lang w:val="en-US" w:eastAsia="zh-CN"/>
                    </w:rPr>
                  </w:pPr>
                  <w:r>
                    <w:rPr>
                      <w:rFonts w:hint="eastAsia" w:cs="Times New Roman"/>
                      <w:bCs/>
                      <w:color w:val="000000" w:themeColor="text1"/>
                      <w:sz w:val="21"/>
                      <w:szCs w:val="21"/>
                      <w:lang w:val="en-US" w:eastAsia="zh-CN"/>
                    </w:rPr>
                    <w:t>综合楼废水</w:t>
                  </w:r>
                </w:p>
              </w:tc>
              <w:tc>
                <w:tcPr>
                  <w:tcW w:w="2201" w:type="pct"/>
                  <w:shd w:val="clear" w:color="auto" w:fill="auto"/>
                  <w:vAlign w:val="center"/>
                </w:tcPr>
                <w:p w14:paraId="6E850E1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default" w:ascii="Times New Roman" w:hAnsi="Times New Roman" w:eastAsia="宋体" w:cs="Times New Roman"/>
                      <w:color w:val="000000" w:themeColor="text1"/>
                      <w:sz w:val="21"/>
                      <w:szCs w:val="21"/>
                      <w:lang w:eastAsia="zh-CN"/>
                    </w:rPr>
                    <w:t>、肠道致病菌、肠道病毒、结核杆菌</w:t>
                  </w:r>
                  <w:r>
                    <w:rPr>
                      <w:rFonts w:hint="default" w:ascii="Times New Roman" w:hAnsi="Times New Roman" w:eastAsia="宋体" w:cs="Times New Roman"/>
                      <w:color w:val="000000" w:themeColor="text1"/>
                      <w:sz w:val="21"/>
                      <w:szCs w:val="21"/>
                    </w:rPr>
                    <w:t>、石油类</w:t>
                  </w:r>
                  <w:r>
                    <w:rPr>
                      <w:rFonts w:hint="default" w:ascii="Times New Roman" w:hAnsi="Times New Roman" w:eastAsia="宋体" w:cs="Times New Roman"/>
                      <w:color w:val="000000" w:themeColor="text1"/>
                      <w:sz w:val="21"/>
                      <w:szCs w:val="21"/>
                      <w:lang w:eastAsia="zh-CN"/>
                    </w:rPr>
                    <w:t>、</w:t>
                  </w:r>
                  <w:r>
                    <w:rPr>
                      <w:rFonts w:hint="eastAsia" w:cs="Times New Roman"/>
                      <w:color w:val="000000" w:themeColor="text1"/>
                      <w:sz w:val="21"/>
                      <w:szCs w:val="21"/>
                      <w:lang w:val="en-US" w:eastAsia="zh-CN"/>
                    </w:rPr>
                    <w:t>LAS</w:t>
                  </w:r>
                  <w:r>
                    <w:rPr>
                      <w:rFonts w:hint="default" w:ascii="Times New Roman" w:hAnsi="Times New Roman" w:eastAsia="宋体" w:cs="Times New Roman"/>
                      <w:color w:val="000000" w:themeColor="text1"/>
                      <w:sz w:val="21"/>
                      <w:szCs w:val="21"/>
                    </w:rPr>
                    <w:t>、挥发酚、总余氯</w:t>
                  </w:r>
                  <w:r>
                    <w:rPr>
                      <w:rFonts w:hint="eastAsia" w:cs="Times New Roman"/>
                      <w:color w:val="000000" w:themeColor="text1"/>
                      <w:sz w:val="21"/>
                      <w:szCs w:val="21"/>
                      <w:lang w:eastAsia="zh-CN"/>
                    </w:rPr>
                    <w:t>、</w:t>
                  </w:r>
                  <w:r>
                    <w:rPr>
                      <w:rFonts w:hint="eastAsia" w:cs="Times New Roman"/>
                      <w:color w:val="000000" w:themeColor="text1"/>
                      <w:sz w:val="21"/>
                      <w:szCs w:val="21"/>
                      <w:lang w:val="en-US" w:eastAsia="zh-CN"/>
                    </w:rPr>
                    <w:t>氨氮</w:t>
                  </w:r>
                </w:p>
              </w:tc>
              <w:tc>
                <w:tcPr>
                  <w:tcW w:w="727" w:type="pct"/>
                  <w:shd w:val="clear" w:color="auto" w:fill="auto"/>
                  <w:vAlign w:val="center"/>
                </w:tcPr>
                <w:p w14:paraId="143F08C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间歇</w:t>
                  </w:r>
                </w:p>
              </w:tc>
            </w:tr>
            <w:tr w14:paraId="01E5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470" w:type="pct"/>
                  <w:vMerge w:val="continue"/>
                  <w:shd w:val="clear" w:color="auto" w:fill="auto"/>
                  <w:vAlign w:val="center"/>
                </w:tcPr>
                <w:p w14:paraId="55D3E7A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6CA27FE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W4</w:t>
                  </w:r>
                </w:p>
              </w:tc>
              <w:tc>
                <w:tcPr>
                  <w:tcW w:w="1173" w:type="pct"/>
                  <w:shd w:val="clear" w:color="auto" w:fill="auto"/>
                  <w:vAlign w:val="center"/>
                </w:tcPr>
                <w:p w14:paraId="4C3161D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000000" w:themeColor="text1"/>
                      <w:sz w:val="21"/>
                      <w:szCs w:val="21"/>
                      <w:lang w:val="en-US" w:eastAsia="zh-CN"/>
                    </w:rPr>
                  </w:pPr>
                  <w:r>
                    <w:rPr>
                      <w:rFonts w:hint="eastAsia" w:cs="Times New Roman"/>
                      <w:bCs/>
                      <w:color w:val="000000" w:themeColor="text1"/>
                      <w:sz w:val="21"/>
                      <w:szCs w:val="21"/>
                      <w:lang w:val="en-US" w:eastAsia="zh-CN"/>
                    </w:rPr>
                    <w:t>传染病楼废水</w:t>
                  </w:r>
                </w:p>
              </w:tc>
              <w:tc>
                <w:tcPr>
                  <w:tcW w:w="2201" w:type="pct"/>
                  <w:shd w:val="clear" w:color="auto" w:fill="auto"/>
                  <w:vAlign w:val="center"/>
                </w:tcPr>
                <w:p w14:paraId="3CEB2C3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Cs/>
                      <w:color w:val="000000" w:themeColor="text1"/>
                      <w:sz w:val="21"/>
                      <w:szCs w:val="21"/>
                      <w:lang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default" w:ascii="Times New Roman" w:hAnsi="Times New Roman" w:eastAsia="宋体" w:cs="Times New Roman"/>
                      <w:color w:val="000000" w:themeColor="text1"/>
                      <w:sz w:val="21"/>
                      <w:szCs w:val="21"/>
                      <w:lang w:eastAsia="zh-CN"/>
                    </w:rPr>
                    <w:t>、肠道致病菌、肠道病毒、结核杆菌</w:t>
                  </w:r>
                  <w:r>
                    <w:rPr>
                      <w:rFonts w:hint="default" w:ascii="Times New Roman" w:hAnsi="Times New Roman" w:eastAsia="宋体" w:cs="Times New Roman"/>
                      <w:color w:val="000000" w:themeColor="text1"/>
                      <w:sz w:val="21"/>
                      <w:szCs w:val="21"/>
                    </w:rPr>
                    <w:t>、总余氯</w:t>
                  </w:r>
                  <w:r>
                    <w:rPr>
                      <w:rFonts w:hint="eastAsia" w:cs="Times New Roman"/>
                      <w:color w:val="000000" w:themeColor="text1"/>
                      <w:sz w:val="21"/>
                      <w:szCs w:val="21"/>
                      <w:lang w:eastAsia="zh-CN"/>
                    </w:rPr>
                    <w:t>、</w:t>
                  </w:r>
                  <w:r>
                    <w:rPr>
                      <w:rFonts w:hint="eastAsia" w:cs="Times New Roman"/>
                      <w:color w:val="000000" w:themeColor="text1"/>
                      <w:sz w:val="21"/>
                      <w:szCs w:val="21"/>
                      <w:lang w:val="en-US" w:eastAsia="zh-CN"/>
                    </w:rPr>
                    <w:t>氨氮</w:t>
                  </w:r>
                </w:p>
              </w:tc>
              <w:tc>
                <w:tcPr>
                  <w:tcW w:w="727" w:type="pct"/>
                  <w:shd w:val="clear" w:color="auto" w:fill="auto"/>
                  <w:vAlign w:val="center"/>
                </w:tcPr>
                <w:p w14:paraId="3390393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间歇</w:t>
                  </w:r>
                </w:p>
              </w:tc>
            </w:tr>
            <w:tr w14:paraId="51007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70" w:type="pct"/>
                  <w:vMerge w:val="restart"/>
                  <w:shd w:val="clear" w:color="auto" w:fill="auto"/>
                  <w:vAlign w:val="center"/>
                </w:tcPr>
                <w:p w14:paraId="68A24C7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固废</w:t>
                  </w:r>
                </w:p>
              </w:tc>
              <w:tc>
                <w:tcPr>
                  <w:tcW w:w="427" w:type="pct"/>
                  <w:shd w:val="clear" w:color="auto" w:fill="auto"/>
                  <w:vAlign w:val="center"/>
                </w:tcPr>
                <w:p w14:paraId="75B0DC0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S1</w:t>
                  </w:r>
                </w:p>
              </w:tc>
              <w:tc>
                <w:tcPr>
                  <w:tcW w:w="1173" w:type="pct"/>
                  <w:vMerge w:val="restart"/>
                  <w:shd w:val="clear" w:color="auto" w:fill="auto"/>
                  <w:vAlign w:val="center"/>
                </w:tcPr>
                <w:p w14:paraId="1742DCD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各科室、手术室、</w:t>
                  </w:r>
                  <w:r>
                    <w:rPr>
                      <w:rFonts w:hint="eastAsia" w:ascii="Times New Roman" w:hAnsi="Times New Roman" w:cs="Times New Roman"/>
                      <w:bCs/>
                      <w:color w:val="000000" w:themeColor="text1"/>
                      <w:sz w:val="21"/>
                      <w:szCs w:val="21"/>
                      <w:lang w:val="en-US" w:eastAsia="zh-CN"/>
                    </w:rPr>
                    <w:t>药房、</w:t>
                  </w:r>
                  <w:r>
                    <w:rPr>
                      <w:rFonts w:hint="default" w:ascii="Times New Roman" w:hAnsi="Times New Roman" w:cs="Times New Roman"/>
                      <w:bCs/>
                      <w:color w:val="000000" w:themeColor="text1"/>
                      <w:sz w:val="21"/>
                      <w:szCs w:val="21"/>
                      <w:lang w:val="en-US" w:eastAsia="zh-CN"/>
                    </w:rPr>
                    <w:t>病人</w:t>
                  </w:r>
                </w:p>
              </w:tc>
              <w:tc>
                <w:tcPr>
                  <w:tcW w:w="2201" w:type="pct"/>
                  <w:shd w:val="clear" w:color="auto" w:fill="auto"/>
                  <w:vAlign w:val="center"/>
                </w:tcPr>
                <w:p w14:paraId="545B62D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医疗废物</w:t>
                  </w:r>
                </w:p>
              </w:tc>
              <w:tc>
                <w:tcPr>
                  <w:tcW w:w="727" w:type="pct"/>
                  <w:vMerge w:val="restart"/>
                  <w:shd w:val="clear" w:color="auto" w:fill="auto"/>
                  <w:vAlign w:val="center"/>
                </w:tcPr>
                <w:p w14:paraId="035120B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间歇</w:t>
                  </w:r>
                </w:p>
              </w:tc>
            </w:tr>
            <w:tr w14:paraId="11636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70" w:type="pct"/>
                  <w:vMerge w:val="continue"/>
                  <w:shd w:val="clear" w:color="auto" w:fill="auto"/>
                  <w:vAlign w:val="center"/>
                </w:tcPr>
                <w:p w14:paraId="70FAF38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5D250AA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Cs/>
                      <w:color w:val="000000" w:themeColor="text1"/>
                      <w:sz w:val="21"/>
                      <w:szCs w:val="21"/>
                      <w:lang w:val="en-US" w:eastAsia="zh-CN"/>
                    </w:rPr>
                  </w:pPr>
                  <w:r>
                    <w:rPr>
                      <w:rFonts w:hint="default" w:ascii="Times New Roman" w:hAnsi="Times New Roman" w:eastAsia="宋体" w:cs="Times New Roman"/>
                      <w:bCs/>
                      <w:color w:val="000000" w:themeColor="text1"/>
                      <w:sz w:val="21"/>
                      <w:szCs w:val="21"/>
                    </w:rPr>
                    <w:t>S2</w:t>
                  </w:r>
                </w:p>
              </w:tc>
              <w:tc>
                <w:tcPr>
                  <w:tcW w:w="1173" w:type="pct"/>
                  <w:vMerge w:val="continue"/>
                  <w:shd w:val="clear" w:color="auto" w:fill="auto"/>
                  <w:vAlign w:val="center"/>
                </w:tcPr>
                <w:p w14:paraId="6583A3B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000000" w:themeColor="text1"/>
                      <w:sz w:val="21"/>
                      <w:szCs w:val="21"/>
                      <w:lang w:val="en-US" w:eastAsia="zh-CN"/>
                    </w:rPr>
                  </w:pPr>
                </w:p>
              </w:tc>
              <w:tc>
                <w:tcPr>
                  <w:tcW w:w="2201" w:type="pct"/>
                  <w:shd w:val="clear" w:color="auto" w:fill="auto"/>
                  <w:vAlign w:val="center"/>
                </w:tcPr>
                <w:p w14:paraId="7F27716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未被污染的医用一次医用玻璃、输液瓶(袋)</w:t>
                  </w:r>
                </w:p>
              </w:tc>
              <w:tc>
                <w:tcPr>
                  <w:tcW w:w="727" w:type="pct"/>
                  <w:vMerge w:val="continue"/>
                  <w:shd w:val="clear" w:color="auto" w:fill="auto"/>
                  <w:vAlign w:val="center"/>
                </w:tcPr>
                <w:p w14:paraId="0397B09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r>
            <w:tr w14:paraId="38DE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70" w:type="pct"/>
                  <w:vMerge w:val="continue"/>
                  <w:shd w:val="clear" w:color="auto" w:fill="auto"/>
                  <w:vAlign w:val="center"/>
                </w:tcPr>
                <w:p w14:paraId="71062C0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5215AF4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eastAsia="宋体" w:cs="Times New Roman"/>
                      <w:bCs/>
                      <w:color w:val="000000" w:themeColor="text1"/>
                      <w:sz w:val="21"/>
                      <w:szCs w:val="21"/>
                    </w:rPr>
                    <w:t>S3</w:t>
                  </w:r>
                </w:p>
              </w:tc>
              <w:tc>
                <w:tcPr>
                  <w:tcW w:w="1173" w:type="pct"/>
                  <w:shd w:val="clear" w:color="auto" w:fill="auto"/>
                  <w:vAlign w:val="center"/>
                </w:tcPr>
                <w:p w14:paraId="2CB8649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000000" w:themeColor="text1"/>
                      <w:sz w:val="21"/>
                      <w:szCs w:val="21"/>
                      <w:lang w:val="en-US" w:eastAsia="zh-CN"/>
                    </w:rPr>
                  </w:pPr>
                  <w:r>
                    <w:rPr>
                      <w:rFonts w:hint="eastAsia" w:cs="Times New Roman"/>
                      <w:bCs/>
                      <w:color w:val="000000" w:themeColor="text1"/>
                      <w:sz w:val="21"/>
                      <w:szCs w:val="21"/>
                      <w:lang w:val="en-US" w:eastAsia="zh-CN"/>
                    </w:rPr>
                    <w:t>药房、仓库</w:t>
                  </w:r>
                </w:p>
              </w:tc>
              <w:tc>
                <w:tcPr>
                  <w:tcW w:w="2201" w:type="pct"/>
                  <w:shd w:val="clear" w:color="auto" w:fill="auto"/>
                  <w:vAlign w:val="center"/>
                </w:tcPr>
                <w:p w14:paraId="67E25AE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000000" w:themeColor="text1"/>
                      <w:sz w:val="21"/>
                      <w:szCs w:val="21"/>
                      <w:lang w:val="en-US" w:eastAsia="zh-CN"/>
                    </w:rPr>
                  </w:pPr>
                  <w:r>
                    <w:rPr>
                      <w:rFonts w:hint="eastAsia" w:cs="Times New Roman"/>
                      <w:bCs/>
                      <w:color w:val="000000" w:themeColor="text1"/>
                      <w:sz w:val="21"/>
                      <w:szCs w:val="21"/>
                      <w:lang w:val="en-US" w:eastAsia="zh-CN"/>
                    </w:rPr>
                    <w:t>废包装材料</w:t>
                  </w:r>
                </w:p>
              </w:tc>
              <w:tc>
                <w:tcPr>
                  <w:tcW w:w="727" w:type="pct"/>
                  <w:vMerge w:val="continue"/>
                  <w:shd w:val="clear" w:color="auto" w:fill="auto"/>
                  <w:vAlign w:val="center"/>
                </w:tcPr>
                <w:p w14:paraId="159B5F2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r>
            <w:tr w14:paraId="6684A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70" w:type="pct"/>
                  <w:vMerge w:val="continue"/>
                  <w:shd w:val="clear" w:color="auto" w:fill="auto"/>
                  <w:vAlign w:val="center"/>
                </w:tcPr>
                <w:p w14:paraId="2A12A95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5E3DB68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cs="Times New Roman"/>
                      <w:bCs/>
                      <w:color w:val="000000" w:themeColor="text1"/>
                      <w:sz w:val="21"/>
                      <w:szCs w:val="21"/>
                      <w:lang w:val="en-US" w:eastAsia="zh-CN"/>
                    </w:rPr>
                    <w:t>S4</w:t>
                  </w:r>
                </w:p>
              </w:tc>
              <w:tc>
                <w:tcPr>
                  <w:tcW w:w="1173" w:type="pct"/>
                  <w:shd w:val="clear" w:color="auto" w:fill="auto"/>
                  <w:vAlign w:val="center"/>
                </w:tcPr>
                <w:p w14:paraId="525C5BE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医务人员、病人</w:t>
                  </w:r>
                </w:p>
              </w:tc>
              <w:tc>
                <w:tcPr>
                  <w:tcW w:w="2201" w:type="pct"/>
                  <w:shd w:val="clear" w:color="auto" w:fill="auto"/>
                  <w:vAlign w:val="center"/>
                </w:tcPr>
                <w:p w14:paraId="06A7DE0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生活垃圾</w:t>
                  </w:r>
                </w:p>
              </w:tc>
              <w:tc>
                <w:tcPr>
                  <w:tcW w:w="727" w:type="pct"/>
                  <w:vMerge w:val="continue"/>
                  <w:shd w:val="clear" w:color="auto" w:fill="auto"/>
                  <w:vAlign w:val="center"/>
                </w:tcPr>
                <w:p w14:paraId="0017BCA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r>
            <w:tr w14:paraId="2326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70" w:type="pct"/>
                  <w:vMerge w:val="continue"/>
                  <w:shd w:val="clear" w:color="auto" w:fill="auto"/>
                  <w:vAlign w:val="center"/>
                </w:tcPr>
                <w:p w14:paraId="3EC7AA3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74C780B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rPr>
                  </w:pPr>
                  <w:r>
                    <w:rPr>
                      <w:rFonts w:hint="default" w:ascii="Times New Roman" w:hAnsi="Times New Roman" w:cs="Times New Roman"/>
                      <w:bCs/>
                      <w:color w:val="000000" w:themeColor="text1"/>
                      <w:sz w:val="21"/>
                      <w:szCs w:val="21"/>
                      <w:lang w:val="en-US" w:eastAsia="zh-CN"/>
                    </w:rPr>
                    <w:t>S</w:t>
                  </w:r>
                  <w:r>
                    <w:rPr>
                      <w:rFonts w:hint="eastAsia" w:ascii="Times New Roman" w:hAnsi="Times New Roman" w:cs="Times New Roman"/>
                      <w:bCs/>
                      <w:color w:val="000000" w:themeColor="text1"/>
                      <w:sz w:val="21"/>
                      <w:szCs w:val="21"/>
                      <w:lang w:val="en-US" w:eastAsia="zh-CN"/>
                    </w:rPr>
                    <w:t>5</w:t>
                  </w:r>
                </w:p>
              </w:tc>
              <w:tc>
                <w:tcPr>
                  <w:tcW w:w="1173" w:type="pct"/>
                  <w:vMerge w:val="restart"/>
                  <w:shd w:val="clear" w:color="auto" w:fill="auto"/>
                  <w:vAlign w:val="center"/>
                </w:tcPr>
                <w:p w14:paraId="5CEAC55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eastAsia" w:cs="Times New Roman"/>
                      <w:bCs/>
                      <w:color w:val="000000" w:themeColor="text1"/>
                      <w:sz w:val="21"/>
                      <w:szCs w:val="21"/>
                      <w:lang w:val="en-US" w:eastAsia="zh-CN"/>
                    </w:rPr>
                    <w:t>综合</w:t>
                  </w:r>
                  <w:r>
                    <w:rPr>
                      <w:rFonts w:hint="default" w:ascii="Times New Roman" w:hAnsi="Times New Roman" w:cs="Times New Roman"/>
                      <w:bCs/>
                      <w:color w:val="000000" w:themeColor="text1"/>
                      <w:sz w:val="21"/>
                      <w:szCs w:val="21"/>
                      <w:lang w:val="en-US" w:eastAsia="zh-CN"/>
                    </w:rPr>
                    <w:t>污水站</w:t>
                  </w:r>
                </w:p>
              </w:tc>
              <w:tc>
                <w:tcPr>
                  <w:tcW w:w="2201" w:type="pct"/>
                  <w:shd w:val="clear" w:color="auto" w:fill="auto"/>
                  <w:vAlign w:val="center"/>
                </w:tcPr>
                <w:p w14:paraId="4BB287A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000000" w:themeColor="text1"/>
                      <w:sz w:val="21"/>
                      <w:szCs w:val="21"/>
                      <w:lang w:val="en-US" w:eastAsia="zh-CN"/>
                    </w:rPr>
                  </w:pPr>
                  <w:r>
                    <w:rPr>
                      <w:rFonts w:hint="default" w:ascii="Times New Roman" w:hAnsi="Times New Roman" w:cs="Times New Roman"/>
                      <w:bCs/>
                      <w:color w:val="000000" w:themeColor="text1"/>
                      <w:sz w:val="21"/>
                      <w:szCs w:val="21"/>
                      <w:lang w:val="en-US" w:eastAsia="zh-CN"/>
                    </w:rPr>
                    <w:t>污泥</w:t>
                  </w:r>
                  <w:r>
                    <w:rPr>
                      <w:rFonts w:hint="eastAsia" w:cs="Times New Roman"/>
                      <w:bCs/>
                      <w:color w:val="000000" w:themeColor="text1"/>
                      <w:sz w:val="21"/>
                      <w:szCs w:val="21"/>
                      <w:lang w:val="en-US" w:eastAsia="zh-CN"/>
                    </w:rPr>
                    <w:t>、栅渣</w:t>
                  </w:r>
                </w:p>
              </w:tc>
              <w:tc>
                <w:tcPr>
                  <w:tcW w:w="727" w:type="pct"/>
                  <w:vMerge w:val="continue"/>
                  <w:shd w:val="clear" w:color="auto" w:fill="auto"/>
                  <w:vAlign w:val="center"/>
                </w:tcPr>
                <w:p w14:paraId="2FCD390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r>
            <w:tr w14:paraId="68AE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470" w:type="pct"/>
                  <w:vMerge w:val="continue"/>
                  <w:shd w:val="clear" w:color="auto" w:fill="auto"/>
                  <w:vAlign w:val="center"/>
                </w:tcPr>
                <w:p w14:paraId="129A27A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4B850B2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S6</w:t>
                  </w:r>
                </w:p>
              </w:tc>
              <w:tc>
                <w:tcPr>
                  <w:tcW w:w="1173" w:type="pct"/>
                  <w:vMerge w:val="continue"/>
                  <w:shd w:val="clear" w:color="auto" w:fill="auto"/>
                  <w:vAlign w:val="center"/>
                </w:tcPr>
                <w:p w14:paraId="18B99C2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p>
              </w:tc>
              <w:tc>
                <w:tcPr>
                  <w:tcW w:w="2201" w:type="pct"/>
                  <w:shd w:val="clear" w:color="auto" w:fill="auto"/>
                  <w:vAlign w:val="center"/>
                </w:tcPr>
                <w:p w14:paraId="56A5BB8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default" w:ascii="Times New Roman" w:hAnsi="Times New Roman" w:cs="Times New Roman"/>
                      <w:bCs/>
                      <w:color w:val="auto"/>
                      <w:sz w:val="21"/>
                      <w:szCs w:val="21"/>
                      <w:lang w:val="en-US" w:eastAsia="zh-CN"/>
                    </w:rPr>
                    <w:t>废活性炭</w:t>
                  </w:r>
                </w:p>
              </w:tc>
              <w:tc>
                <w:tcPr>
                  <w:tcW w:w="727" w:type="pct"/>
                  <w:vMerge w:val="continue"/>
                  <w:shd w:val="clear" w:color="auto" w:fill="auto"/>
                  <w:vAlign w:val="center"/>
                </w:tcPr>
                <w:p w14:paraId="6817A8E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r>
            <w:tr w14:paraId="7C886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0" w:type="pct"/>
                  <w:vMerge w:val="continue"/>
                  <w:shd w:val="clear" w:color="auto" w:fill="auto"/>
                  <w:vAlign w:val="center"/>
                </w:tcPr>
                <w:p w14:paraId="2DBA2A9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5B7557A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S7</w:t>
                  </w:r>
                </w:p>
              </w:tc>
              <w:tc>
                <w:tcPr>
                  <w:tcW w:w="1173" w:type="pct"/>
                  <w:shd w:val="clear" w:color="auto" w:fill="auto"/>
                  <w:vAlign w:val="center"/>
                </w:tcPr>
                <w:p w14:paraId="3BF4742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病房、危废暂存间</w:t>
                  </w:r>
                </w:p>
              </w:tc>
              <w:tc>
                <w:tcPr>
                  <w:tcW w:w="2201" w:type="pct"/>
                  <w:vMerge w:val="restart"/>
                  <w:shd w:val="clear" w:color="auto" w:fill="auto"/>
                  <w:vAlign w:val="center"/>
                </w:tcPr>
                <w:p w14:paraId="0AAFFFD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Cs/>
                      <w:color w:val="auto"/>
                      <w:sz w:val="21"/>
                      <w:szCs w:val="21"/>
                      <w:lang w:val="en-US" w:eastAsia="zh-CN"/>
                    </w:rPr>
                  </w:pPr>
                  <w:r>
                    <w:rPr>
                      <w:rFonts w:hint="eastAsia" w:cs="Times New Roman"/>
                      <w:bCs/>
                      <w:color w:val="auto"/>
                      <w:sz w:val="21"/>
                      <w:szCs w:val="21"/>
                      <w:lang w:val="en-US" w:eastAsia="zh-CN"/>
                    </w:rPr>
                    <w:t>废紫外线灯管</w:t>
                  </w:r>
                </w:p>
              </w:tc>
              <w:tc>
                <w:tcPr>
                  <w:tcW w:w="727" w:type="pct"/>
                  <w:vMerge w:val="continue"/>
                  <w:shd w:val="clear" w:color="auto" w:fill="auto"/>
                  <w:vAlign w:val="center"/>
                </w:tcPr>
                <w:p w14:paraId="3AC2CD9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r>
            <w:tr w14:paraId="25E10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70" w:type="pct"/>
                  <w:vMerge w:val="restart"/>
                  <w:shd w:val="clear" w:color="auto" w:fill="auto"/>
                  <w:vAlign w:val="center"/>
                </w:tcPr>
                <w:p w14:paraId="4A472BE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噪声</w:t>
                  </w:r>
                </w:p>
              </w:tc>
              <w:tc>
                <w:tcPr>
                  <w:tcW w:w="427" w:type="pct"/>
                  <w:shd w:val="clear" w:color="auto" w:fill="auto"/>
                  <w:vAlign w:val="center"/>
                </w:tcPr>
                <w:p w14:paraId="4E3CCF2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N1</w:t>
                  </w:r>
                </w:p>
              </w:tc>
              <w:tc>
                <w:tcPr>
                  <w:tcW w:w="1173" w:type="pct"/>
                  <w:shd w:val="clear" w:color="auto" w:fill="auto"/>
                  <w:vAlign w:val="center"/>
                </w:tcPr>
                <w:p w14:paraId="0148DC8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设备噪声</w:t>
                  </w:r>
                </w:p>
              </w:tc>
              <w:tc>
                <w:tcPr>
                  <w:tcW w:w="2201" w:type="pct"/>
                  <w:vMerge w:val="restart"/>
                  <w:shd w:val="clear" w:color="auto" w:fill="auto"/>
                  <w:vAlign w:val="center"/>
                </w:tcPr>
                <w:p w14:paraId="00B7A5E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等效连续A声级</w:t>
                  </w:r>
                </w:p>
              </w:tc>
              <w:tc>
                <w:tcPr>
                  <w:tcW w:w="727" w:type="pct"/>
                  <w:vMerge w:val="restart"/>
                  <w:shd w:val="clear" w:color="auto" w:fill="auto"/>
                  <w:vAlign w:val="center"/>
                </w:tcPr>
                <w:p w14:paraId="11E92DA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间歇</w:t>
                  </w:r>
                </w:p>
              </w:tc>
            </w:tr>
            <w:tr w14:paraId="5A80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470" w:type="pct"/>
                  <w:vMerge w:val="continue"/>
                  <w:shd w:val="clear" w:color="auto" w:fill="auto"/>
                  <w:vAlign w:val="center"/>
                </w:tcPr>
                <w:p w14:paraId="651EB02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427" w:type="pct"/>
                  <w:shd w:val="clear" w:color="auto" w:fill="auto"/>
                  <w:vAlign w:val="center"/>
                </w:tcPr>
                <w:p w14:paraId="7B0AA1B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N2</w:t>
                  </w:r>
                </w:p>
              </w:tc>
              <w:tc>
                <w:tcPr>
                  <w:tcW w:w="1173" w:type="pct"/>
                  <w:shd w:val="clear" w:color="auto" w:fill="auto"/>
                  <w:vAlign w:val="center"/>
                </w:tcPr>
                <w:p w14:paraId="125AD6E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lang w:val="en-US" w:eastAsia="zh-CN"/>
                    </w:rPr>
                  </w:pPr>
                  <w:r>
                    <w:rPr>
                      <w:rFonts w:hint="default" w:ascii="Times New Roman" w:hAnsi="Times New Roman" w:cs="Times New Roman"/>
                      <w:bCs/>
                      <w:sz w:val="21"/>
                      <w:szCs w:val="21"/>
                      <w:lang w:val="en-US" w:eastAsia="zh-CN"/>
                    </w:rPr>
                    <w:t>社会生活噪声</w:t>
                  </w:r>
                </w:p>
              </w:tc>
              <w:tc>
                <w:tcPr>
                  <w:tcW w:w="2201" w:type="pct"/>
                  <w:vMerge w:val="continue"/>
                  <w:shd w:val="clear" w:color="auto" w:fill="auto"/>
                  <w:vAlign w:val="center"/>
                </w:tcPr>
                <w:p w14:paraId="3D79D91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c>
                <w:tcPr>
                  <w:tcW w:w="727" w:type="pct"/>
                  <w:vMerge w:val="continue"/>
                  <w:shd w:val="clear" w:color="auto" w:fill="auto"/>
                  <w:vAlign w:val="center"/>
                </w:tcPr>
                <w:p w14:paraId="6790577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rPr>
                  </w:pPr>
                </w:p>
              </w:tc>
            </w:tr>
          </w:tbl>
          <w:p w14:paraId="42B828B4">
            <w:pPr>
              <w:adjustRightInd w:val="0"/>
              <w:snapToGrid w:val="0"/>
              <w:spacing w:line="360" w:lineRule="auto"/>
              <w:rPr>
                <w:rFonts w:hint="default" w:ascii="Times New Roman" w:hAnsi="Times New Roman" w:eastAsia="宋体" w:cs="Times New Roman"/>
                <w:bCs/>
                <w:sz w:val="21"/>
                <w:szCs w:val="21"/>
              </w:rPr>
            </w:pPr>
          </w:p>
        </w:tc>
      </w:tr>
      <w:tr w14:paraId="3B677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3" w:type="dxa"/>
            <w:vAlign w:val="center"/>
          </w:tcPr>
          <w:p w14:paraId="7D8D34BB">
            <w:pPr>
              <w:pStyle w:val="21"/>
              <w:adjustRightInd w:val="0"/>
              <w:snapToGrid w:val="0"/>
              <w:spacing w:before="0" w:beforeAutospacing="0" w:after="0" w:afterAutospacing="0" w:line="360" w:lineRule="auto"/>
              <w:jc w:val="center"/>
              <w:rPr>
                <w:rFonts w:hint="eastAsia" w:ascii="宋体" w:hAnsi="宋体" w:eastAsia="宋体" w:cs="宋体"/>
                <w:sz w:val="21"/>
                <w:szCs w:val="21"/>
              </w:rPr>
            </w:pPr>
            <w:r>
              <w:rPr>
                <w:rFonts w:hint="eastAsia" w:ascii="宋体" w:hAnsi="宋体" w:eastAsia="宋体" w:cs="宋体"/>
                <w:bCs/>
                <w:kern w:val="2"/>
                <w:sz w:val="21"/>
                <w:szCs w:val="21"/>
              </w:rPr>
              <w:t>与项目有关的原有环境污染问题</w:t>
            </w:r>
          </w:p>
        </w:tc>
        <w:tc>
          <w:tcPr>
            <w:tcW w:w="8161" w:type="dxa"/>
          </w:tcPr>
          <w:p w14:paraId="00F91A1B">
            <w:pPr>
              <w:adjustRightInd w:val="0"/>
              <w:snapToGrid w:val="0"/>
              <w:spacing w:line="360" w:lineRule="auto"/>
              <w:rPr>
                <w:rFonts w:hint="default" w:ascii="Times New Roman" w:hAnsi="Times New Roman" w:eastAsia="宋体" w:cs="Times New Roman"/>
                <w:b/>
                <w:bCs w:val="0"/>
                <w:sz w:val="28"/>
                <w:szCs w:val="28"/>
                <w:lang w:val="en-US" w:eastAsia="zh-CN"/>
              </w:rPr>
            </w:pPr>
            <w:r>
              <w:rPr>
                <w:rFonts w:hint="default" w:ascii="Times New Roman" w:hAnsi="Times New Roman" w:eastAsia="宋体" w:cs="Times New Roman"/>
                <w:b/>
                <w:bCs w:val="0"/>
                <w:sz w:val="28"/>
                <w:szCs w:val="28"/>
              </w:rPr>
              <w:t>1、原</w:t>
            </w:r>
            <w:r>
              <w:rPr>
                <w:rFonts w:hint="default" w:ascii="Times New Roman" w:hAnsi="Times New Roman" w:cs="Times New Roman"/>
                <w:b/>
                <w:bCs w:val="0"/>
                <w:sz w:val="28"/>
                <w:szCs w:val="28"/>
                <w:lang w:val="en-US" w:eastAsia="zh-CN"/>
              </w:rPr>
              <w:t>有</w:t>
            </w:r>
            <w:r>
              <w:rPr>
                <w:rFonts w:hint="default" w:ascii="Times New Roman" w:hAnsi="Times New Roman" w:eastAsia="宋体" w:cs="Times New Roman"/>
                <w:b/>
                <w:bCs w:val="0"/>
                <w:sz w:val="28"/>
                <w:szCs w:val="28"/>
              </w:rPr>
              <w:t>项目</w:t>
            </w:r>
            <w:r>
              <w:rPr>
                <w:rFonts w:hint="default" w:ascii="Times New Roman" w:hAnsi="Times New Roman" w:cs="Times New Roman"/>
                <w:b/>
                <w:bCs w:val="0"/>
                <w:sz w:val="28"/>
                <w:szCs w:val="28"/>
                <w:lang w:val="en-US" w:eastAsia="zh-CN"/>
              </w:rPr>
              <w:t>基本情况</w:t>
            </w:r>
          </w:p>
          <w:p w14:paraId="668C69A9">
            <w:pPr>
              <w:adjustRightInd w:val="0"/>
              <w:snapToGrid w:val="0"/>
              <w:spacing w:line="360" w:lineRule="auto"/>
              <w:rPr>
                <w:rFonts w:hint="default" w:ascii="Times New Roman" w:hAnsi="Times New Roman" w:eastAsia="宋体" w:cs="Times New Roman"/>
                <w:b/>
                <w:bCs w:val="0"/>
                <w:sz w:val="24"/>
                <w:szCs w:val="24"/>
                <w:u w:val="none"/>
                <w:lang w:val="en-US" w:eastAsia="zh-CN"/>
              </w:rPr>
            </w:pPr>
            <w:r>
              <w:rPr>
                <w:rFonts w:hint="default" w:ascii="Times New Roman" w:hAnsi="Times New Roman" w:cs="Times New Roman"/>
                <w:b/>
                <w:bCs w:val="0"/>
                <w:sz w:val="24"/>
                <w:szCs w:val="24"/>
                <w:u w:val="none"/>
                <w:lang w:val="en-US" w:eastAsia="zh-CN"/>
              </w:rPr>
              <w:t>1.1、岳阳楼区人民医院（岳阳肛肠病医院）基本情况</w:t>
            </w:r>
          </w:p>
          <w:p w14:paraId="2DC65466">
            <w:pPr>
              <w:adjustRightInd w:val="0"/>
              <w:snapToGrid w:val="0"/>
              <w:spacing w:line="360" w:lineRule="auto"/>
              <w:ind w:firstLine="480" w:firstLineChars="200"/>
              <w:rPr>
                <w:rFonts w:hint="default" w:ascii="Times New Roman" w:hAnsi="Times New Roman" w:cs="Times New Roman"/>
                <w:color w:val="auto"/>
                <w:kern w:val="0"/>
                <w:sz w:val="24"/>
                <w:szCs w:val="24"/>
                <w:u w:val="none"/>
                <w:lang w:val="en-US" w:eastAsia="zh-CN"/>
              </w:rPr>
            </w:pPr>
            <w:r>
              <w:rPr>
                <w:rFonts w:hint="default" w:ascii="Times New Roman" w:hAnsi="Times New Roman" w:eastAsia="宋体" w:cs="Times New Roman"/>
                <w:kern w:val="0"/>
                <w:sz w:val="24"/>
                <w:szCs w:val="24"/>
                <w:u w:val="none"/>
                <w:lang w:val="en-US" w:eastAsia="zh-CN"/>
              </w:rPr>
              <w:t>岳阳市岳阳楼区人民医院</w:t>
            </w:r>
            <w:r>
              <w:rPr>
                <w:rFonts w:hint="default" w:ascii="Times New Roman" w:hAnsi="Times New Roman" w:cs="Times New Roman"/>
                <w:kern w:val="0"/>
                <w:sz w:val="24"/>
                <w:szCs w:val="24"/>
                <w:u w:val="none"/>
                <w:lang w:val="en-US" w:eastAsia="zh-CN"/>
              </w:rPr>
              <w:t>（岳阳肛肠病医院）旧址</w:t>
            </w:r>
            <w:r>
              <w:rPr>
                <w:rFonts w:hint="default" w:ascii="Times New Roman" w:hAnsi="Times New Roman" w:eastAsia="宋体" w:cs="Times New Roman"/>
                <w:kern w:val="0"/>
                <w:sz w:val="24"/>
                <w:szCs w:val="24"/>
                <w:u w:val="none"/>
                <w:lang w:val="en-US" w:eastAsia="zh-CN"/>
              </w:rPr>
              <w:t>位于岳阳市岳阳楼区巴陵西路与庙前街交叉口西北50米处，建筑面积12000平方米。项目主体建设内容为1栋7层的大楼</w:t>
            </w:r>
            <w:r>
              <w:rPr>
                <w:rFonts w:hint="default" w:ascii="Times New Roman" w:hAnsi="Times New Roman" w:cs="Times New Roman"/>
                <w:kern w:val="0"/>
                <w:sz w:val="24"/>
                <w:szCs w:val="24"/>
                <w:u w:val="none"/>
                <w:lang w:val="en-US" w:eastAsia="zh-CN"/>
              </w:rPr>
              <w:t>；</w:t>
            </w:r>
            <w:r>
              <w:rPr>
                <w:rFonts w:hint="default" w:ascii="Times New Roman" w:hAnsi="Times New Roman" w:eastAsia="宋体" w:cs="Times New Roman"/>
                <w:kern w:val="0"/>
                <w:sz w:val="24"/>
                <w:szCs w:val="24"/>
                <w:u w:val="none"/>
                <w:lang w:val="en-US" w:eastAsia="zh-CN"/>
              </w:rPr>
              <w:t>另有医院厨房、餐厅、污水处理站等配套工程。医院共设置床位206张。开设了内科、神经内科、康复内科、外科、妇产科、儿科、肛肠科、五官科、急诊科、中医科、理疗科、健康管理中心等23个临床医技科室。岳阳楼区人民医院创建于</w:t>
            </w:r>
            <w:r>
              <w:rPr>
                <w:rFonts w:hint="default" w:ascii="Times New Roman" w:hAnsi="Times New Roman" w:cs="Times New Roman"/>
                <w:kern w:val="0"/>
                <w:sz w:val="24"/>
                <w:szCs w:val="24"/>
                <w:u w:val="none"/>
                <w:lang w:val="en-US" w:eastAsia="zh-CN"/>
              </w:rPr>
              <w:t>1956年并投入运营，医院于2018年9月补办了环评手续，于2018年10月18日取得了环评批复，批复文号：岳环楼批[2018]18号（附件3），于2019年4月12日完成了验收备案，备案编号：2019-003（附件4），2020年6月17日申领了排污许可证，证书编号：</w:t>
            </w:r>
            <w:r>
              <w:rPr>
                <w:rFonts w:hint="default" w:ascii="Times New Roman" w:hAnsi="Times New Roman" w:cs="Times New Roman"/>
                <w:color w:val="auto"/>
                <w:kern w:val="0"/>
                <w:sz w:val="24"/>
                <w:szCs w:val="24"/>
                <w:u w:val="none"/>
                <w:lang w:val="en-US" w:eastAsia="zh-CN"/>
              </w:rPr>
              <w:t>124306024461733874001R（附件5）。</w:t>
            </w:r>
          </w:p>
          <w:p w14:paraId="74692D3A">
            <w:pPr>
              <w:adjustRightInd w:val="0"/>
              <w:snapToGrid w:val="0"/>
              <w:spacing w:line="360" w:lineRule="auto"/>
              <w:ind w:firstLine="480" w:firstLineChars="200"/>
              <w:rPr>
                <w:rFonts w:hint="default" w:ascii="Times New Roman" w:hAnsi="Times New Roman" w:cs="Times New Roman"/>
                <w:bCs/>
                <w:color w:val="auto"/>
                <w:sz w:val="24"/>
                <w:szCs w:val="24"/>
                <w:u w:val="none"/>
                <w:lang w:val="en-US" w:eastAsia="zh-CN"/>
              </w:rPr>
            </w:pPr>
            <w:r>
              <w:rPr>
                <w:rFonts w:hint="default" w:ascii="Times New Roman" w:hAnsi="Times New Roman" w:cs="Times New Roman"/>
                <w:color w:val="auto"/>
                <w:kern w:val="0"/>
                <w:sz w:val="24"/>
                <w:szCs w:val="24"/>
                <w:u w:val="none"/>
                <w:lang w:val="en-US" w:eastAsia="zh-CN"/>
              </w:rPr>
              <w:t>另外，在该址还有一家医院：</w:t>
            </w:r>
            <w:r>
              <w:rPr>
                <w:rFonts w:hint="default" w:ascii="Times New Roman" w:hAnsi="Times New Roman" w:cs="Times New Roman"/>
                <w:color w:val="auto"/>
                <w:kern w:val="0"/>
                <w:sz w:val="24"/>
                <w:szCs w:val="24"/>
                <w:highlight w:val="none"/>
                <w:u w:val="none"/>
                <w:lang w:val="en-US" w:eastAsia="zh-CN"/>
              </w:rPr>
              <w:t>岳阳楼街道社区卫生服务中心</w:t>
            </w:r>
            <w:r>
              <w:rPr>
                <w:rFonts w:hint="default" w:ascii="Times New Roman" w:hAnsi="Times New Roman" w:cs="Times New Roman"/>
                <w:color w:val="auto"/>
                <w:kern w:val="0"/>
                <w:sz w:val="24"/>
                <w:szCs w:val="24"/>
                <w:u w:val="none"/>
                <w:lang w:val="en-US" w:eastAsia="zh-CN"/>
              </w:rPr>
              <w:t>，该医院与岳阳楼区人民医院共用环保设施。</w:t>
            </w:r>
          </w:p>
          <w:p w14:paraId="2C24F8E3">
            <w:pPr>
              <w:adjustRightInd w:val="0"/>
              <w:snapToGrid w:val="0"/>
              <w:spacing w:line="360" w:lineRule="auto"/>
              <w:rPr>
                <w:rFonts w:hint="default" w:ascii="Times New Roman" w:hAnsi="Times New Roman" w:cs="Times New Roman"/>
                <w:b/>
                <w:bCs w:val="0"/>
                <w:sz w:val="24"/>
                <w:szCs w:val="24"/>
                <w:u w:val="none"/>
                <w:lang w:val="en-US" w:eastAsia="zh-CN"/>
              </w:rPr>
            </w:pPr>
            <w:r>
              <w:rPr>
                <w:rFonts w:hint="default" w:ascii="Times New Roman" w:hAnsi="Times New Roman" w:cs="Times New Roman"/>
                <w:b/>
                <w:bCs w:val="0"/>
                <w:sz w:val="24"/>
                <w:szCs w:val="24"/>
                <w:u w:val="none"/>
                <w:lang w:val="en-US" w:eastAsia="zh-CN"/>
              </w:rPr>
              <w:t>1.2、岳阳楼区人民医院原有的污染排放情况</w:t>
            </w:r>
          </w:p>
          <w:p w14:paraId="2D2301ED">
            <w:pPr>
              <w:numPr>
                <w:ilvl w:val="0"/>
                <w:numId w:val="4"/>
              </w:numPr>
              <w:adjustRightInd w:val="0"/>
              <w:snapToGrid w:val="0"/>
              <w:spacing w:line="360" w:lineRule="auto"/>
              <w:ind w:firstLine="480" w:firstLineChars="200"/>
              <w:rPr>
                <w:rFonts w:hint="default" w:ascii="Times New Roman" w:hAnsi="Times New Roman" w:cs="Times New Roman"/>
                <w:bCs/>
                <w:sz w:val="24"/>
                <w:szCs w:val="24"/>
                <w:u w:val="none"/>
                <w:lang w:val="en-US" w:eastAsia="zh-CN"/>
              </w:rPr>
            </w:pPr>
            <w:r>
              <w:rPr>
                <w:rFonts w:hint="default" w:ascii="Times New Roman" w:hAnsi="Times New Roman" w:cs="Times New Roman"/>
                <w:bCs/>
                <w:sz w:val="24"/>
                <w:szCs w:val="24"/>
                <w:u w:val="none"/>
                <w:lang w:val="en-US" w:eastAsia="zh-CN"/>
              </w:rPr>
              <w:t>废水</w:t>
            </w:r>
          </w:p>
          <w:p w14:paraId="09440BB8">
            <w:pPr>
              <w:numPr>
                <w:ilvl w:val="0"/>
                <w:numId w:val="0"/>
              </w:numPr>
              <w:adjustRightInd w:val="0"/>
              <w:snapToGrid w:val="0"/>
              <w:spacing w:line="360" w:lineRule="auto"/>
              <w:ind w:firstLine="480" w:firstLineChars="200"/>
              <w:rPr>
                <w:rFonts w:hint="default" w:ascii="Times New Roman" w:hAnsi="Times New Roman" w:cs="Times New Roman"/>
                <w:bCs/>
                <w:sz w:val="24"/>
                <w:szCs w:val="24"/>
                <w:u w:val="none"/>
                <w:lang w:val="en-US" w:eastAsia="zh-CN"/>
              </w:rPr>
            </w:pPr>
            <w:r>
              <w:rPr>
                <w:rFonts w:hint="default" w:ascii="Times New Roman" w:hAnsi="Times New Roman" w:cs="Times New Roman"/>
                <w:bCs/>
                <w:sz w:val="24"/>
                <w:szCs w:val="24"/>
                <w:u w:val="none"/>
                <w:lang w:val="en-US" w:eastAsia="zh-CN"/>
              </w:rPr>
              <w:t>营运期院内食堂废水先经隔油池处理后再进入污水处理站;医疗废水和生活废水</w:t>
            </w:r>
            <w:r>
              <w:rPr>
                <w:rFonts w:hint="default" w:ascii="Times New Roman" w:hAnsi="Times New Roman" w:cs="Times New Roman"/>
                <w:bCs/>
                <w:color w:val="auto"/>
                <w:sz w:val="24"/>
                <w:szCs w:val="24"/>
                <w:u w:val="none"/>
                <w:lang w:val="en-US" w:eastAsia="zh-CN"/>
              </w:rPr>
              <w:t>直接进入医院污水处理站。废水</w:t>
            </w:r>
            <w:r>
              <w:rPr>
                <w:rFonts w:hint="eastAsia" w:ascii="Times New Roman" w:hAnsi="Times New Roman" w:cs="Times New Roman"/>
                <w:bCs/>
                <w:color w:val="auto"/>
                <w:sz w:val="24"/>
                <w:szCs w:val="24"/>
                <w:u w:val="none"/>
                <w:lang w:val="en-US" w:eastAsia="zh-CN"/>
              </w:rPr>
              <w:t>统一进入</w:t>
            </w:r>
            <w:r>
              <w:rPr>
                <w:rFonts w:hint="default" w:ascii="Times New Roman" w:hAnsi="Times New Roman" w:cs="Times New Roman"/>
                <w:bCs/>
                <w:color w:val="auto"/>
                <w:sz w:val="24"/>
                <w:szCs w:val="24"/>
                <w:u w:val="none"/>
                <w:lang w:val="en-US" w:eastAsia="zh-CN"/>
              </w:rPr>
              <w:t>医院污水处理站</w:t>
            </w:r>
            <w:r>
              <w:rPr>
                <w:rFonts w:hint="eastAsia" w:ascii="Times New Roman" w:hAnsi="Times New Roman" w:cs="Times New Roman"/>
                <w:bCs/>
                <w:color w:val="auto"/>
                <w:sz w:val="24"/>
                <w:szCs w:val="24"/>
                <w:u w:val="none"/>
                <w:lang w:val="en-US" w:eastAsia="zh-CN"/>
              </w:rPr>
              <w:t>（预处理+一级强化处理+消毒工艺）</w:t>
            </w:r>
            <w:r>
              <w:rPr>
                <w:rFonts w:hint="default" w:ascii="Times New Roman" w:hAnsi="Times New Roman" w:cs="Times New Roman"/>
                <w:bCs/>
                <w:color w:val="auto"/>
                <w:sz w:val="24"/>
                <w:szCs w:val="24"/>
                <w:u w:val="none"/>
                <w:lang w:val="en-US" w:eastAsia="zh-CN"/>
              </w:rPr>
              <w:t>处理达到《医疗机构污水处理标准》(GB18466-2005)所规定的预处理排放要求标准后排入市政污水管网，进入马壕污水厂进行深度处理。</w:t>
            </w:r>
          </w:p>
          <w:p w14:paraId="4D334D47">
            <w:pPr>
              <w:pStyle w:val="36"/>
              <w:numPr>
                <w:ilvl w:val="0"/>
                <w:numId w:val="4"/>
              </w:numPr>
              <w:spacing w:line="360" w:lineRule="auto"/>
              <w:ind w:left="0" w:leftChars="0" w:firstLine="480" w:firstLineChars="200"/>
              <w:rPr>
                <w:rFonts w:hint="default" w:ascii="Times New Roman" w:hAnsi="Times New Roman" w:cs="Times New Roman"/>
                <w:bCs/>
                <w:sz w:val="24"/>
                <w:szCs w:val="24"/>
                <w:u w:val="none"/>
                <w:lang w:val="en-US" w:eastAsia="zh-CN"/>
              </w:rPr>
            </w:pPr>
            <w:r>
              <w:rPr>
                <w:rFonts w:hint="default" w:ascii="Times New Roman" w:hAnsi="Times New Roman" w:cs="Times New Roman"/>
                <w:bCs/>
                <w:sz w:val="24"/>
                <w:szCs w:val="24"/>
                <w:u w:val="none"/>
                <w:lang w:val="en-US" w:eastAsia="zh-CN"/>
              </w:rPr>
              <w:t>废气</w:t>
            </w:r>
          </w:p>
          <w:p w14:paraId="3186EC15">
            <w:pPr>
              <w:pStyle w:val="36"/>
              <w:widowControl w:val="0"/>
              <w:numPr>
                <w:ilvl w:val="0"/>
                <w:numId w:val="0"/>
              </w:numPr>
              <w:adjustRightInd w:val="0"/>
              <w:snapToGrid w:val="0"/>
              <w:spacing w:line="360" w:lineRule="auto"/>
              <w:ind w:firstLine="480" w:firstLineChars="200"/>
              <w:jc w:val="both"/>
              <w:rPr>
                <w:rFonts w:hint="default" w:ascii="Times New Roman" w:hAnsi="Times New Roman" w:cs="Times New Roman"/>
                <w:bCs/>
                <w:sz w:val="24"/>
                <w:szCs w:val="24"/>
                <w:u w:val="none"/>
                <w:lang w:val="en-US" w:eastAsia="zh-CN"/>
              </w:rPr>
            </w:pPr>
            <w:r>
              <w:rPr>
                <w:rFonts w:hint="default" w:ascii="Times New Roman" w:hAnsi="Times New Roman" w:cs="Times New Roman"/>
                <w:bCs/>
                <w:sz w:val="24"/>
                <w:szCs w:val="24"/>
                <w:u w:val="none"/>
                <w:lang w:val="en-US" w:eastAsia="zh-CN"/>
              </w:rPr>
              <w:t>营运期污水处理站采</w:t>
            </w:r>
            <w:r>
              <w:rPr>
                <w:rFonts w:hint="default" w:ascii="Times New Roman" w:hAnsi="Times New Roman" w:cs="Times New Roman"/>
                <w:bCs/>
                <w:color w:val="auto"/>
                <w:sz w:val="24"/>
                <w:szCs w:val="24"/>
                <w:u w:val="none"/>
                <w:lang w:val="en-US" w:eastAsia="zh-CN"/>
              </w:rPr>
              <w:t>用埋地</w:t>
            </w:r>
            <w:r>
              <w:rPr>
                <w:rFonts w:hint="eastAsia" w:ascii="Times New Roman" w:hAnsi="Times New Roman" w:cs="Times New Roman"/>
                <w:bCs/>
                <w:color w:val="auto"/>
                <w:sz w:val="24"/>
                <w:szCs w:val="24"/>
                <w:u w:val="none"/>
                <w:lang w:val="en-US" w:eastAsia="zh-CN"/>
              </w:rPr>
              <w:t>式设计</w:t>
            </w:r>
            <w:r>
              <w:rPr>
                <w:rFonts w:hint="default" w:ascii="Times New Roman" w:hAnsi="Times New Roman" w:cs="Times New Roman"/>
                <w:bCs/>
                <w:color w:val="auto"/>
                <w:sz w:val="24"/>
                <w:szCs w:val="24"/>
                <w:u w:val="none"/>
                <w:lang w:val="en-US" w:eastAsia="zh-CN"/>
              </w:rPr>
              <w:t>，</w:t>
            </w:r>
            <w:r>
              <w:rPr>
                <w:rFonts w:hint="eastAsia" w:ascii="Times New Roman" w:hAnsi="Times New Roman" w:cs="Times New Roman"/>
                <w:bCs/>
                <w:color w:val="auto"/>
                <w:sz w:val="24"/>
                <w:szCs w:val="24"/>
                <w:u w:val="none"/>
                <w:lang w:val="en-US" w:eastAsia="zh-CN"/>
              </w:rPr>
              <w:t>恶臭污染物</w:t>
            </w:r>
            <w:r>
              <w:rPr>
                <w:rFonts w:hint="default" w:ascii="Times New Roman" w:hAnsi="Times New Roman" w:cs="Times New Roman"/>
                <w:bCs/>
                <w:color w:val="auto"/>
                <w:sz w:val="24"/>
                <w:szCs w:val="24"/>
                <w:u w:val="none"/>
                <w:lang w:val="en-US" w:eastAsia="zh-CN"/>
              </w:rPr>
              <w:t>达到《医疗机构水污染物排放标准》(G18466-2005)表3标准；医院食堂油烟采用静电油</w:t>
            </w:r>
            <w:r>
              <w:rPr>
                <w:rFonts w:hint="default" w:ascii="Times New Roman" w:hAnsi="Times New Roman" w:cs="Times New Roman"/>
                <w:bCs/>
                <w:sz w:val="24"/>
                <w:szCs w:val="24"/>
                <w:u w:val="none"/>
                <w:lang w:val="en-US" w:eastAsia="zh-CN"/>
              </w:rPr>
              <w:t>烟净化器处理工艺，达到《饮食业油烟排放标准》(GB18483一2001)标准要求</w:t>
            </w:r>
          </w:p>
          <w:p w14:paraId="43ABBCE9">
            <w:pPr>
              <w:pStyle w:val="36"/>
              <w:widowControl w:val="0"/>
              <w:numPr>
                <w:ilvl w:val="0"/>
                <w:numId w:val="0"/>
              </w:numPr>
              <w:adjustRightInd w:val="0"/>
              <w:snapToGrid w:val="0"/>
              <w:spacing w:line="360" w:lineRule="auto"/>
              <w:ind w:firstLine="480" w:firstLineChars="200"/>
              <w:jc w:val="both"/>
              <w:rPr>
                <w:rFonts w:hint="default" w:ascii="Times New Roman" w:hAnsi="Times New Roman" w:cs="Times New Roman"/>
                <w:bCs/>
                <w:sz w:val="24"/>
                <w:szCs w:val="24"/>
                <w:u w:val="none"/>
                <w:lang w:val="en-US" w:eastAsia="zh-CN"/>
              </w:rPr>
            </w:pPr>
            <w:r>
              <w:rPr>
                <w:rFonts w:hint="default" w:ascii="Times New Roman" w:hAnsi="Times New Roman" w:cs="Times New Roman"/>
                <w:bCs/>
                <w:sz w:val="24"/>
                <w:szCs w:val="24"/>
                <w:u w:val="none"/>
                <w:lang w:val="en-US" w:eastAsia="zh-CN"/>
              </w:rPr>
              <w:t>（3）噪声</w:t>
            </w:r>
          </w:p>
          <w:p w14:paraId="468B46A4">
            <w:pPr>
              <w:pStyle w:val="36"/>
              <w:widowControl w:val="0"/>
              <w:numPr>
                <w:ilvl w:val="0"/>
                <w:numId w:val="0"/>
              </w:numPr>
              <w:adjustRightInd w:val="0"/>
              <w:snapToGrid w:val="0"/>
              <w:spacing w:line="360" w:lineRule="auto"/>
              <w:ind w:firstLine="480" w:firstLineChars="200"/>
              <w:jc w:val="both"/>
              <w:rPr>
                <w:rFonts w:hint="default" w:ascii="Times New Roman" w:hAnsi="Times New Roman" w:cs="Times New Roman"/>
                <w:bCs/>
                <w:sz w:val="24"/>
                <w:szCs w:val="24"/>
                <w:u w:val="none"/>
                <w:lang w:val="en-US" w:eastAsia="zh-CN"/>
              </w:rPr>
            </w:pPr>
            <w:r>
              <w:rPr>
                <w:rFonts w:hint="default" w:ascii="Times New Roman" w:hAnsi="Times New Roman" w:cs="Times New Roman"/>
                <w:bCs/>
                <w:sz w:val="24"/>
                <w:szCs w:val="24"/>
                <w:u w:val="none"/>
                <w:lang w:val="en-US" w:eastAsia="zh-CN"/>
              </w:rPr>
              <w:t>营运期噪音防治措施为隔绝独立的房间设备减震、隔声措施，执行《声环境质量标准》(GB3096-2008)2类标准要求。</w:t>
            </w:r>
          </w:p>
          <w:p w14:paraId="30B224C7">
            <w:pPr>
              <w:pStyle w:val="36"/>
              <w:widowControl w:val="0"/>
              <w:numPr>
                <w:ilvl w:val="0"/>
                <w:numId w:val="0"/>
              </w:numPr>
              <w:adjustRightInd w:val="0"/>
              <w:snapToGrid w:val="0"/>
              <w:spacing w:line="360" w:lineRule="auto"/>
              <w:ind w:firstLine="480" w:firstLineChars="200"/>
              <w:jc w:val="both"/>
              <w:rPr>
                <w:rFonts w:hint="default" w:ascii="Times New Roman" w:hAnsi="Times New Roman" w:cs="Times New Roman"/>
                <w:bCs/>
                <w:sz w:val="24"/>
                <w:szCs w:val="24"/>
                <w:u w:val="none"/>
                <w:lang w:val="en-US" w:eastAsia="zh-CN"/>
              </w:rPr>
            </w:pPr>
            <w:r>
              <w:rPr>
                <w:rFonts w:hint="default" w:ascii="Times New Roman" w:hAnsi="Times New Roman" w:cs="Times New Roman"/>
                <w:bCs/>
                <w:sz w:val="24"/>
                <w:szCs w:val="24"/>
                <w:u w:val="none"/>
                <w:lang w:val="en-US" w:eastAsia="zh-CN"/>
              </w:rPr>
              <w:t>（4）固废</w:t>
            </w:r>
          </w:p>
          <w:p w14:paraId="150FFC31">
            <w:pPr>
              <w:adjustRightInd w:val="0"/>
              <w:snapToGrid w:val="0"/>
              <w:spacing w:line="360" w:lineRule="auto"/>
              <w:ind w:firstLine="480" w:firstLineChars="200"/>
              <w:rPr>
                <w:rFonts w:hint="default" w:ascii="Times New Roman" w:hAnsi="Times New Roman" w:eastAsia="宋体" w:cs="Times New Roman"/>
                <w:bCs/>
                <w:sz w:val="24"/>
                <w:szCs w:val="24"/>
                <w:u w:val="single"/>
              </w:rPr>
            </w:pPr>
            <w:r>
              <w:rPr>
                <w:rFonts w:hint="default" w:ascii="Times New Roman" w:hAnsi="Times New Roman" w:cs="Times New Roman"/>
                <w:bCs/>
                <w:sz w:val="24"/>
                <w:szCs w:val="24"/>
                <w:u w:val="none"/>
                <w:lang w:val="en-US" w:eastAsia="zh-CN"/>
              </w:rPr>
              <w:t>原有项目固废主要为一般生活垃圾、医疗固体废物、污水处理站产生的污泥</w:t>
            </w:r>
            <w:r>
              <w:rPr>
                <w:rFonts w:hint="eastAsia" w:cs="Times New Roman"/>
                <w:bCs/>
                <w:sz w:val="24"/>
                <w:szCs w:val="24"/>
                <w:u w:val="none"/>
                <w:lang w:val="en-US" w:eastAsia="zh-CN"/>
              </w:rPr>
              <w:t>、废紫外线灯管</w:t>
            </w:r>
            <w:r>
              <w:rPr>
                <w:rFonts w:hint="default" w:ascii="Times New Roman" w:hAnsi="Times New Roman" w:cs="Times New Roman"/>
                <w:bCs/>
                <w:sz w:val="24"/>
                <w:szCs w:val="24"/>
                <w:u w:val="none"/>
                <w:lang w:val="en-US" w:eastAsia="zh-CN"/>
              </w:rPr>
              <w:t>和未被污染的医用一次医用玻璃、输液瓶(袋)等，其产生及处置情况见下表</w:t>
            </w:r>
            <w:r>
              <w:rPr>
                <w:rFonts w:hint="default" w:ascii="Times New Roman" w:hAnsi="Times New Roman" w:eastAsia="宋体" w:cs="Times New Roman"/>
                <w:bCs/>
                <w:sz w:val="24"/>
                <w:szCs w:val="24"/>
                <w:u w:val="none"/>
              </w:rPr>
              <w:t>。</w:t>
            </w:r>
          </w:p>
          <w:p w14:paraId="07941608">
            <w:pPr>
              <w:adjustRightInd w:val="0"/>
              <w:snapToGrid w:val="0"/>
              <w:spacing w:line="360" w:lineRule="auto"/>
              <w:jc w:val="center"/>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表2-</w:t>
            </w:r>
            <w:r>
              <w:rPr>
                <w:rFonts w:hint="eastAsia" w:cs="Times New Roman"/>
                <w:b/>
                <w:sz w:val="21"/>
                <w:szCs w:val="21"/>
                <w:lang w:val="en-US" w:eastAsia="zh-CN"/>
              </w:rPr>
              <w:t>11</w:t>
            </w:r>
            <w:r>
              <w:rPr>
                <w:rFonts w:hint="default" w:ascii="Times New Roman" w:hAnsi="Times New Roman" w:eastAsia="宋体" w:cs="Times New Roman"/>
                <w:b/>
                <w:sz w:val="21"/>
                <w:szCs w:val="21"/>
              </w:rPr>
              <w:t xml:space="preserve"> </w:t>
            </w:r>
            <w:r>
              <w:rPr>
                <w:rFonts w:hint="eastAsia" w:cs="Times New Roman"/>
                <w:b/>
                <w:sz w:val="21"/>
                <w:szCs w:val="21"/>
                <w:lang w:val="en-US" w:eastAsia="zh-CN"/>
              </w:rPr>
              <w:t>原有</w:t>
            </w:r>
            <w:r>
              <w:rPr>
                <w:rFonts w:hint="default" w:ascii="Times New Roman" w:hAnsi="Times New Roman" w:eastAsia="宋体" w:cs="Times New Roman"/>
                <w:b/>
                <w:sz w:val="21"/>
                <w:szCs w:val="21"/>
              </w:rPr>
              <w:t>项目固体废物处置情况一览表</w:t>
            </w:r>
          </w:p>
          <w:tbl>
            <w:tblPr>
              <w:tblStyle w:val="25"/>
              <w:tblW w:w="8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1"/>
              <w:gridCol w:w="1284"/>
              <w:gridCol w:w="766"/>
              <w:gridCol w:w="867"/>
              <w:gridCol w:w="1767"/>
              <w:gridCol w:w="1795"/>
            </w:tblGrid>
            <w:tr w14:paraId="6130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581" w:type="dxa"/>
                  <w:vAlign w:val="center"/>
                </w:tcPr>
                <w:p w14:paraId="62B7148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名称</w:t>
                  </w:r>
                </w:p>
              </w:tc>
              <w:tc>
                <w:tcPr>
                  <w:tcW w:w="1284" w:type="dxa"/>
                  <w:vAlign w:val="center"/>
                </w:tcPr>
                <w:p w14:paraId="5C33E51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来源</w:t>
                  </w:r>
                </w:p>
              </w:tc>
              <w:tc>
                <w:tcPr>
                  <w:tcW w:w="766" w:type="dxa"/>
                  <w:vAlign w:val="center"/>
                </w:tcPr>
                <w:p w14:paraId="30F180D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性质</w:t>
                  </w:r>
                </w:p>
              </w:tc>
              <w:tc>
                <w:tcPr>
                  <w:tcW w:w="867" w:type="dxa"/>
                  <w:vAlign w:val="center"/>
                </w:tcPr>
                <w:p w14:paraId="1B1C7BA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产生量（t/a）</w:t>
                  </w:r>
                </w:p>
              </w:tc>
              <w:tc>
                <w:tcPr>
                  <w:tcW w:w="1767" w:type="dxa"/>
                  <w:vAlign w:val="center"/>
                </w:tcPr>
                <w:p w14:paraId="0D213DA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危废类别</w:t>
                  </w:r>
                </w:p>
              </w:tc>
              <w:tc>
                <w:tcPr>
                  <w:tcW w:w="1795" w:type="dxa"/>
                  <w:vAlign w:val="center"/>
                </w:tcPr>
                <w:p w14:paraId="33938DC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lang w:val="en-US" w:eastAsia="zh-CN"/>
                    </w:rPr>
                  </w:pPr>
                  <w:r>
                    <w:rPr>
                      <w:rFonts w:hint="default" w:ascii="Times New Roman" w:hAnsi="Times New Roman" w:cs="Times New Roman"/>
                      <w:b/>
                      <w:bCs/>
                      <w:lang w:val="en-US" w:eastAsia="zh-CN"/>
                    </w:rPr>
                    <w:t>处理方式</w:t>
                  </w:r>
                </w:p>
              </w:tc>
            </w:tr>
            <w:tr w14:paraId="57F1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vAlign w:val="center"/>
                </w:tcPr>
                <w:p w14:paraId="26D2A9E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生活垃圾</w:t>
                  </w:r>
                </w:p>
              </w:tc>
              <w:tc>
                <w:tcPr>
                  <w:tcW w:w="1284" w:type="dxa"/>
                  <w:vAlign w:val="center"/>
                </w:tcPr>
                <w:p w14:paraId="75FFD00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病房、医护人员等</w:t>
                  </w:r>
                </w:p>
              </w:tc>
              <w:tc>
                <w:tcPr>
                  <w:tcW w:w="766" w:type="dxa"/>
                  <w:vAlign w:val="center"/>
                </w:tcPr>
                <w:p w14:paraId="27DB9F1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一般固废</w:t>
                  </w:r>
                </w:p>
              </w:tc>
              <w:tc>
                <w:tcPr>
                  <w:tcW w:w="867" w:type="dxa"/>
                  <w:vAlign w:val="center"/>
                </w:tcPr>
                <w:p w14:paraId="3EB89EC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eastAsia" w:cs="Times New Roman"/>
                      <w:lang w:val="en-US" w:eastAsia="zh-CN"/>
                    </w:rPr>
                    <w:t>100</w:t>
                  </w:r>
                </w:p>
              </w:tc>
              <w:tc>
                <w:tcPr>
                  <w:tcW w:w="1767" w:type="dxa"/>
                  <w:vAlign w:val="center"/>
                </w:tcPr>
                <w:p w14:paraId="4E8F3BF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w:t>
                  </w:r>
                </w:p>
              </w:tc>
              <w:tc>
                <w:tcPr>
                  <w:tcW w:w="1795" w:type="dxa"/>
                  <w:vAlign w:val="center"/>
                </w:tcPr>
                <w:p w14:paraId="4893F6E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环卫部门统一处理</w:t>
                  </w:r>
                </w:p>
              </w:tc>
            </w:tr>
            <w:tr w14:paraId="03C2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vAlign w:val="center"/>
                </w:tcPr>
                <w:p w14:paraId="1C8DE8E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医疗废物</w:t>
                  </w:r>
                </w:p>
              </w:tc>
              <w:tc>
                <w:tcPr>
                  <w:tcW w:w="1284" w:type="dxa"/>
                  <w:vAlign w:val="center"/>
                </w:tcPr>
                <w:p w14:paraId="4A640C9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病理科、病房、化验室、手术室</w:t>
                  </w:r>
                </w:p>
              </w:tc>
              <w:tc>
                <w:tcPr>
                  <w:tcW w:w="766" w:type="dxa"/>
                  <w:vAlign w:val="center"/>
                </w:tcPr>
                <w:p w14:paraId="4498B78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危险废物</w:t>
                  </w:r>
                </w:p>
              </w:tc>
              <w:tc>
                <w:tcPr>
                  <w:tcW w:w="867" w:type="dxa"/>
                  <w:vAlign w:val="center"/>
                </w:tcPr>
                <w:p w14:paraId="5F49F46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eastAsia" w:cs="Times New Roman"/>
                      <w:lang w:val="en-US" w:eastAsia="zh-CN"/>
                    </w:rPr>
                    <w:t>10</w:t>
                  </w:r>
                </w:p>
              </w:tc>
              <w:tc>
                <w:tcPr>
                  <w:tcW w:w="1767" w:type="dxa"/>
                  <w:vAlign w:val="center"/>
                </w:tcPr>
                <w:p w14:paraId="51AE61A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HW01,841-001-01/841-002-01/841-003-01/841-004-01/841-005-01</w:t>
                  </w:r>
                </w:p>
              </w:tc>
              <w:tc>
                <w:tcPr>
                  <w:tcW w:w="1795" w:type="dxa"/>
                  <w:vAlign w:val="center"/>
                </w:tcPr>
                <w:p w14:paraId="145A491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委托岳阳市方向固废安全处置有限公司集中处置</w:t>
                  </w:r>
                </w:p>
              </w:tc>
            </w:tr>
            <w:tr w14:paraId="0BBC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81" w:type="dxa"/>
                  <w:vAlign w:val="center"/>
                </w:tcPr>
                <w:p w14:paraId="7C87C64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废紫外线灯管</w:t>
                  </w:r>
                </w:p>
              </w:tc>
              <w:tc>
                <w:tcPr>
                  <w:tcW w:w="1284" w:type="dxa"/>
                  <w:vAlign w:val="center"/>
                </w:tcPr>
                <w:p w14:paraId="6A41BE9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病房、危废间</w:t>
                  </w:r>
                </w:p>
              </w:tc>
              <w:tc>
                <w:tcPr>
                  <w:tcW w:w="766" w:type="dxa"/>
                  <w:vAlign w:val="center"/>
                </w:tcPr>
                <w:p w14:paraId="1CD5BDF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危险废物</w:t>
                  </w:r>
                </w:p>
              </w:tc>
              <w:tc>
                <w:tcPr>
                  <w:tcW w:w="867" w:type="dxa"/>
                  <w:vAlign w:val="center"/>
                </w:tcPr>
                <w:p w14:paraId="7E51E2C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0.002</w:t>
                  </w:r>
                </w:p>
              </w:tc>
              <w:tc>
                <w:tcPr>
                  <w:tcW w:w="1767" w:type="dxa"/>
                  <w:vAlign w:val="center"/>
                </w:tcPr>
                <w:p w14:paraId="1B80C2A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highlight w:val="none"/>
                      <w:lang w:val="en-US" w:eastAsia="zh-CN"/>
                    </w:rPr>
                  </w:pPr>
                  <w:r>
                    <w:rPr>
                      <w:rFonts w:hint="eastAsia" w:cs="Times New Roman"/>
                      <w:color w:val="auto"/>
                      <w:highlight w:val="none"/>
                      <w:lang w:val="en-US" w:eastAsia="zh-CN"/>
                    </w:rPr>
                    <w:t>HW29,900-023-29</w:t>
                  </w:r>
                </w:p>
              </w:tc>
              <w:tc>
                <w:tcPr>
                  <w:tcW w:w="1795" w:type="dxa"/>
                  <w:vAlign w:val="center"/>
                </w:tcPr>
                <w:p w14:paraId="1DC1F12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委托湖南洋沙湖危废废物治理有限公司集中处置</w:t>
                  </w:r>
                </w:p>
              </w:tc>
            </w:tr>
            <w:tr w14:paraId="1A67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vAlign w:val="center"/>
                </w:tcPr>
                <w:p w14:paraId="6A03FD7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污水处理污泥</w:t>
                  </w:r>
                </w:p>
              </w:tc>
              <w:tc>
                <w:tcPr>
                  <w:tcW w:w="1284" w:type="dxa"/>
                  <w:vAlign w:val="center"/>
                </w:tcPr>
                <w:p w14:paraId="1D3B6FE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污水处理站</w:t>
                  </w:r>
                </w:p>
              </w:tc>
              <w:tc>
                <w:tcPr>
                  <w:tcW w:w="766" w:type="dxa"/>
                  <w:vAlign w:val="center"/>
                </w:tcPr>
                <w:p w14:paraId="64BA648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危险废物</w:t>
                  </w:r>
                </w:p>
              </w:tc>
              <w:tc>
                <w:tcPr>
                  <w:tcW w:w="867" w:type="dxa"/>
                  <w:vAlign w:val="center"/>
                </w:tcPr>
                <w:p w14:paraId="4B3EA04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eastAsia" w:cs="Times New Roman"/>
                      <w:lang w:val="en-US" w:eastAsia="zh-CN"/>
                    </w:rPr>
                    <w:t>1.0</w:t>
                  </w:r>
                </w:p>
              </w:tc>
              <w:tc>
                <w:tcPr>
                  <w:tcW w:w="1767" w:type="dxa"/>
                  <w:vAlign w:val="center"/>
                </w:tcPr>
                <w:p w14:paraId="249FA1F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HW49,772-006-49</w:t>
                  </w:r>
                </w:p>
              </w:tc>
              <w:tc>
                <w:tcPr>
                  <w:tcW w:w="1795" w:type="dxa"/>
                  <w:vAlign w:val="center"/>
                </w:tcPr>
                <w:p w14:paraId="282B253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消毒脱水干化后委托岳阳市方向固废安全处置有限公司集中处置</w:t>
                  </w:r>
                </w:p>
              </w:tc>
            </w:tr>
            <w:tr w14:paraId="43C8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1" w:type="dxa"/>
                  <w:vAlign w:val="center"/>
                </w:tcPr>
                <w:p w14:paraId="154FEE1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未被污染的医用一次医用玻璃、输液瓶(袋)</w:t>
                  </w:r>
                </w:p>
              </w:tc>
              <w:tc>
                <w:tcPr>
                  <w:tcW w:w="1284" w:type="dxa"/>
                  <w:vAlign w:val="center"/>
                </w:tcPr>
                <w:p w14:paraId="2A7DBCD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病理科、病房等</w:t>
                  </w:r>
                </w:p>
              </w:tc>
              <w:tc>
                <w:tcPr>
                  <w:tcW w:w="766" w:type="dxa"/>
                  <w:vAlign w:val="center"/>
                </w:tcPr>
                <w:p w14:paraId="1773129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一般固废</w:t>
                  </w:r>
                </w:p>
              </w:tc>
              <w:tc>
                <w:tcPr>
                  <w:tcW w:w="867" w:type="dxa"/>
                  <w:vAlign w:val="center"/>
                </w:tcPr>
                <w:p w14:paraId="29EEC20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eastAsia" w:cs="Times New Roman"/>
                      <w:lang w:val="en-US" w:eastAsia="zh-CN"/>
                    </w:rPr>
                    <w:t>20</w:t>
                  </w:r>
                </w:p>
              </w:tc>
              <w:tc>
                <w:tcPr>
                  <w:tcW w:w="1767" w:type="dxa"/>
                  <w:vAlign w:val="center"/>
                </w:tcPr>
                <w:p w14:paraId="5BD020C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w:t>
                  </w:r>
                </w:p>
              </w:tc>
              <w:tc>
                <w:tcPr>
                  <w:tcW w:w="1795" w:type="dxa"/>
                  <w:vAlign w:val="center"/>
                </w:tcPr>
                <w:p w14:paraId="178E8FD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集中收集交湖南宝叶再生资源有限公司处理</w:t>
                  </w:r>
                </w:p>
              </w:tc>
            </w:tr>
          </w:tbl>
          <w:p w14:paraId="7A7681AD">
            <w:pPr>
              <w:pStyle w:val="34"/>
              <w:rPr>
                <w:rFonts w:hint="default" w:ascii="Times New Roman" w:hAnsi="Times New Roman" w:cs="Times New Roman"/>
              </w:rPr>
            </w:pPr>
          </w:p>
          <w:p w14:paraId="633F0224">
            <w:pPr>
              <w:pStyle w:val="36"/>
              <w:widowControl w:val="0"/>
              <w:numPr>
                <w:ilvl w:val="0"/>
                <w:numId w:val="0"/>
              </w:numPr>
              <w:adjustRightInd w:val="0"/>
              <w:snapToGrid w:val="0"/>
              <w:spacing w:line="360" w:lineRule="auto"/>
              <w:ind w:leftChars="0"/>
              <w:jc w:val="both"/>
              <w:rPr>
                <w:rFonts w:hint="default" w:ascii="Times New Roman" w:hAnsi="Times New Roman" w:eastAsia="宋体" w:cs="Times New Roman"/>
                <w:b/>
                <w:bCs w:val="0"/>
                <w:kern w:val="2"/>
                <w:sz w:val="24"/>
                <w:szCs w:val="24"/>
                <w:lang w:val="en-US" w:eastAsia="zh-CN" w:bidi="ar-SA"/>
              </w:rPr>
            </w:pPr>
            <w:r>
              <w:rPr>
                <w:rFonts w:hint="default" w:ascii="Times New Roman" w:hAnsi="Times New Roman" w:cs="Times New Roman"/>
                <w:b/>
                <w:bCs w:val="0"/>
                <w:sz w:val="24"/>
                <w:szCs w:val="24"/>
                <w:u w:val="none"/>
                <w:lang w:val="en-US" w:eastAsia="zh-CN"/>
              </w:rPr>
              <w:t>1.3、岳阳楼区人民医院旧址</w:t>
            </w:r>
            <w:r>
              <w:rPr>
                <w:rFonts w:hint="default" w:ascii="Times New Roman" w:hAnsi="Times New Roman" w:eastAsia="宋体" w:cs="Times New Roman"/>
                <w:b/>
                <w:bCs w:val="0"/>
                <w:kern w:val="2"/>
                <w:sz w:val="24"/>
                <w:szCs w:val="24"/>
                <w:lang w:val="en-US" w:eastAsia="zh-CN" w:bidi="ar-SA"/>
              </w:rPr>
              <w:t>存在的主要环境问题</w:t>
            </w:r>
          </w:p>
          <w:p w14:paraId="39E2C9D1">
            <w:pPr>
              <w:pStyle w:val="36"/>
              <w:widowControl w:val="0"/>
              <w:numPr>
                <w:ilvl w:val="0"/>
                <w:numId w:val="0"/>
              </w:numPr>
              <w:adjustRightInd w:val="0"/>
              <w:snapToGrid w:val="0"/>
              <w:spacing w:line="360" w:lineRule="auto"/>
              <w:ind w:leftChars="0" w:firstLine="480" w:firstLineChars="200"/>
              <w:jc w:val="both"/>
              <w:rPr>
                <w:rFonts w:hint="default" w:ascii="Times New Roman" w:hAnsi="Times New Roman" w:eastAsia="宋体" w:cs="Times New Roman"/>
                <w:bCs/>
                <w:kern w:val="2"/>
                <w:sz w:val="24"/>
                <w:szCs w:val="24"/>
                <w:u w:val="single"/>
                <w:lang w:val="en-US" w:eastAsia="zh-CN" w:bidi="ar-SA"/>
              </w:rPr>
            </w:pPr>
            <w:r>
              <w:rPr>
                <w:rFonts w:hint="default" w:ascii="Times New Roman" w:hAnsi="Times New Roman" w:eastAsia="宋体" w:cs="Times New Roman"/>
                <w:bCs/>
                <w:kern w:val="2"/>
                <w:sz w:val="24"/>
                <w:szCs w:val="24"/>
                <w:u w:val="none"/>
                <w:lang w:val="en-US" w:eastAsia="zh-CN" w:bidi="ar-SA"/>
              </w:rPr>
              <w:t>本项目为</w:t>
            </w:r>
            <w:r>
              <w:rPr>
                <w:rFonts w:hint="default" w:ascii="Times New Roman" w:hAnsi="Times New Roman" w:cs="Times New Roman"/>
                <w:bCs/>
                <w:kern w:val="2"/>
                <w:sz w:val="24"/>
                <w:szCs w:val="24"/>
                <w:u w:val="none"/>
                <w:lang w:val="en-US" w:eastAsia="zh-CN" w:bidi="ar-SA"/>
              </w:rPr>
              <w:t>迁</w:t>
            </w:r>
            <w:r>
              <w:rPr>
                <w:rFonts w:hint="default" w:ascii="Times New Roman" w:hAnsi="Times New Roman" w:eastAsia="宋体" w:cs="Times New Roman"/>
                <w:bCs/>
                <w:kern w:val="2"/>
                <w:sz w:val="24"/>
                <w:szCs w:val="24"/>
                <w:u w:val="none"/>
                <w:lang w:val="en-US" w:eastAsia="zh-CN" w:bidi="ar-SA"/>
              </w:rPr>
              <w:t>建项目，</w:t>
            </w:r>
            <w:r>
              <w:rPr>
                <w:rFonts w:hint="default" w:ascii="Times New Roman" w:hAnsi="Times New Roman" w:cs="Times New Roman"/>
                <w:bCs/>
                <w:kern w:val="2"/>
                <w:sz w:val="24"/>
                <w:szCs w:val="24"/>
                <w:u w:val="none"/>
                <w:lang w:val="en-US" w:eastAsia="zh-CN" w:bidi="ar-SA"/>
              </w:rPr>
              <w:t>旧址运行期间各污染物稳定达标排放，未收到环境相关投诉。</w:t>
            </w:r>
          </w:p>
          <w:p w14:paraId="7F3D0678">
            <w:pPr>
              <w:adjustRightInd w:val="0"/>
              <w:snapToGrid w:val="0"/>
              <w:spacing w:line="360" w:lineRule="auto"/>
              <w:rPr>
                <w:rFonts w:hint="default" w:ascii="Times New Roman" w:hAnsi="Times New Roman" w:eastAsia="宋体" w:cs="Times New Roman"/>
                <w:b/>
                <w:bCs w:val="0"/>
                <w:sz w:val="24"/>
                <w:szCs w:val="24"/>
              </w:rPr>
            </w:pPr>
            <w:r>
              <w:rPr>
                <w:rFonts w:hint="default" w:ascii="Times New Roman" w:hAnsi="Times New Roman" w:cs="Times New Roman"/>
                <w:b/>
                <w:bCs w:val="0"/>
                <w:sz w:val="24"/>
                <w:szCs w:val="24"/>
                <w:lang w:val="en-US" w:eastAsia="zh-CN"/>
              </w:rPr>
              <w:t>1.4</w:t>
            </w:r>
            <w:r>
              <w:rPr>
                <w:rFonts w:hint="default" w:ascii="Times New Roman" w:hAnsi="Times New Roman" w:eastAsia="宋体" w:cs="Times New Roman"/>
                <w:b/>
                <w:bCs w:val="0"/>
                <w:sz w:val="24"/>
                <w:szCs w:val="24"/>
              </w:rPr>
              <w:t>、</w:t>
            </w:r>
            <w:r>
              <w:rPr>
                <w:rFonts w:hint="default" w:ascii="Times New Roman" w:hAnsi="Times New Roman" w:cs="Times New Roman"/>
                <w:b/>
                <w:bCs w:val="0"/>
                <w:sz w:val="24"/>
                <w:szCs w:val="24"/>
                <w:u w:val="none"/>
                <w:lang w:val="en-US" w:eastAsia="zh-CN"/>
              </w:rPr>
              <w:t>岳阳楼区人民医院</w:t>
            </w:r>
            <w:r>
              <w:rPr>
                <w:rFonts w:hint="default" w:ascii="Times New Roman" w:hAnsi="Times New Roman" w:eastAsia="宋体" w:cs="Times New Roman"/>
                <w:b/>
                <w:bCs w:val="0"/>
                <w:sz w:val="24"/>
                <w:szCs w:val="24"/>
              </w:rPr>
              <w:t>搬迁过程中污染防治工作</w:t>
            </w:r>
          </w:p>
          <w:p w14:paraId="3E7F3EE4">
            <w:pPr>
              <w:adjustRightInd w:val="0"/>
              <w:snapToGrid w:val="0"/>
              <w:spacing w:line="360" w:lineRule="auto"/>
              <w:ind w:firstLine="480" w:firstLineChars="200"/>
              <w:rPr>
                <w:rFonts w:hint="default" w:ascii="Times New Roman" w:hAnsi="Times New Roman" w:eastAsia="宋体" w:cs="Times New Roman"/>
                <w:bCs/>
                <w:sz w:val="24"/>
                <w:szCs w:val="24"/>
                <w:highlight w:val="none"/>
              </w:rPr>
            </w:pPr>
            <w:r>
              <w:rPr>
                <w:rFonts w:hint="default" w:ascii="Times New Roman" w:hAnsi="Times New Roman" w:eastAsia="宋体" w:cs="Times New Roman"/>
                <w:bCs/>
                <w:sz w:val="24"/>
                <w:szCs w:val="24"/>
              </w:rPr>
              <w:t>为预防医院整体搬迁过程中可能产生的污染问题，结合环境保护部文件环发[2014] 66 号“关于加强工</w:t>
            </w:r>
            <w:r>
              <w:rPr>
                <w:rFonts w:hint="default" w:ascii="Times New Roman" w:hAnsi="Times New Roman" w:eastAsia="宋体" w:cs="Times New Roman"/>
                <w:bCs/>
                <w:sz w:val="24"/>
                <w:szCs w:val="24"/>
                <w:highlight w:val="none"/>
              </w:rPr>
              <w:t>业企业关停、搬迁及</w:t>
            </w:r>
            <w:r>
              <w:rPr>
                <w:rFonts w:hint="default" w:ascii="Times New Roman" w:hAnsi="Times New Roman" w:cs="Times New Roman"/>
                <w:bCs/>
                <w:sz w:val="24"/>
                <w:szCs w:val="24"/>
                <w:highlight w:val="none"/>
                <w:lang w:eastAsia="zh-CN"/>
              </w:rPr>
              <w:t>旧址</w:t>
            </w:r>
            <w:r>
              <w:rPr>
                <w:rFonts w:hint="default" w:ascii="Times New Roman" w:hAnsi="Times New Roman" w:eastAsia="宋体" w:cs="Times New Roman"/>
                <w:bCs/>
                <w:sz w:val="24"/>
                <w:szCs w:val="24"/>
                <w:highlight w:val="none"/>
              </w:rPr>
              <w:t>场地再开发利用过程污染防治工作的通知”的要求，应做好以下防治工作。</w:t>
            </w:r>
          </w:p>
          <w:p w14:paraId="27C4826A">
            <w:pPr>
              <w:adjustRightInd w:val="0"/>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cs="Times New Roman"/>
                <w:bCs/>
                <w:sz w:val="24"/>
                <w:szCs w:val="24"/>
                <w:highlight w:val="none"/>
                <w:lang w:eastAsia="zh-CN"/>
              </w:rPr>
              <w:t>（</w:t>
            </w:r>
            <w:r>
              <w:rPr>
                <w:rFonts w:hint="default" w:ascii="Times New Roman" w:hAnsi="Times New Roman" w:cs="Times New Roman"/>
                <w:bCs/>
                <w:sz w:val="24"/>
                <w:szCs w:val="24"/>
                <w:highlight w:val="none"/>
                <w:lang w:val="en-US" w:eastAsia="zh-CN"/>
              </w:rPr>
              <w:t>1</w:t>
            </w:r>
            <w:r>
              <w:rPr>
                <w:rFonts w:hint="default" w:ascii="Times New Roman" w:hAnsi="Times New Roman" w:cs="Times New Roman"/>
                <w:bCs/>
                <w:sz w:val="24"/>
                <w:szCs w:val="24"/>
                <w:highlight w:val="none"/>
                <w:lang w:eastAsia="zh-CN"/>
              </w:rPr>
              <w:t>）</w:t>
            </w:r>
            <w:r>
              <w:rPr>
                <w:rFonts w:hint="default" w:ascii="Times New Roman" w:hAnsi="Times New Roman" w:eastAsia="宋体" w:cs="Times New Roman"/>
                <w:bCs/>
                <w:sz w:val="24"/>
                <w:szCs w:val="24"/>
                <w:highlight w:val="none"/>
              </w:rPr>
              <w:t>为避</w:t>
            </w:r>
            <w:r>
              <w:rPr>
                <w:rFonts w:hint="default" w:ascii="Times New Roman" w:hAnsi="Times New Roman" w:eastAsia="宋体" w:cs="Times New Roman"/>
                <w:bCs/>
                <w:color w:val="auto"/>
                <w:sz w:val="24"/>
                <w:szCs w:val="24"/>
                <w:highlight w:val="none"/>
              </w:rPr>
              <w:t>免医院搬迁过程中突发环境事件的发生，医院搬迁前应认真排查搬迁过程中可能引发突发环境事件的风险源和风险因素，根据各种情形制定有针对性的预防政策及应急措施，储备必要的应急装备、物资，落实</w:t>
            </w:r>
            <w:r>
              <w:rPr>
                <w:rFonts w:hint="default" w:ascii="Times New Roman" w:hAnsi="Times New Roman" w:eastAsia="宋体" w:cs="Times New Roman"/>
                <w:bCs/>
                <w:color w:val="auto"/>
                <w:sz w:val="24"/>
                <w:szCs w:val="24"/>
              </w:rPr>
              <w:t>应急救援人员，加强搬迁、运输过程中的风险防控，同时提供医院总平面布置图、主要原辅材料、工艺设备、主要污染物及污染防治措施等环境信息资料。搬迁过程中如遇到紧急或不明情况，应及时应对处置并向当地政府和环保部门报</w:t>
            </w:r>
            <w:r>
              <w:rPr>
                <w:rFonts w:hint="default" w:ascii="Times New Roman" w:hAnsi="Times New Roman" w:eastAsia="宋体" w:cs="Times New Roman"/>
                <w:bCs/>
                <w:sz w:val="24"/>
                <w:szCs w:val="24"/>
              </w:rPr>
              <w:t>告。</w:t>
            </w:r>
          </w:p>
          <w:p w14:paraId="7CEC465B">
            <w:pPr>
              <w:adjustRightInd w:val="0"/>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cs="Times New Roman"/>
                <w:bCs/>
                <w:sz w:val="24"/>
                <w:szCs w:val="24"/>
                <w:lang w:eastAsia="zh-CN"/>
              </w:rPr>
              <w:t>（</w:t>
            </w:r>
            <w:r>
              <w:rPr>
                <w:rFonts w:hint="default" w:ascii="Times New Roman" w:hAnsi="Times New Roman" w:cs="Times New Roman"/>
                <w:bCs/>
                <w:sz w:val="24"/>
                <w:szCs w:val="24"/>
                <w:lang w:val="en-US" w:eastAsia="zh-CN"/>
              </w:rPr>
              <w:t>2</w:t>
            </w:r>
            <w:r>
              <w:rPr>
                <w:rFonts w:hint="default" w:ascii="Times New Roman" w:hAnsi="Times New Roman" w:cs="Times New Roman"/>
                <w:bCs/>
                <w:sz w:val="24"/>
                <w:szCs w:val="24"/>
                <w:lang w:eastAsia="zh-CN"/>
              </w:rPr>
              <w:t>）</w:t>
            </w:r>
            <w:r>
              <w:rPr>
                <w:rFonts w:hint="default" w:ascii="Times New Roman" w:hAnsi="Times New Roman" w:cs="Times New Roman"/>
                <w:bCs/>
                <w:color w:val="auto"/>
                <w:sz w:val="24"/>
                <w:szCs w:val="24"/>
                <w:lang w:val="en-US" w:eastAsia="zh-CN"/>
              </w:rPr>
              <w:t>本项目仅对医院</w:t>
            </w:r>
            <w:r>
              <w:rPr>
                <w:rFonts w:hint="eastAsia" w:cs="Times New Roman"/>
                <w:bCs/>
                <w:color w:val="auto"/>
                <w:sz w:val="24"/>
                <w:szCs w:val="24"/>
                <w:lang w:val="en-US" w:eastAsia="zh-CN"/>
              </w:rPr>
              <w:t>的</w:t>
            </w:r>
            <w:r>
              <w:rPr>
                <w:rFonts w:hint="default" w:ascii="Times New Roman" w:hAnsi="Times New Roman" w:cs="Times New Roman"/>
                <w:bCs/>
                <w:color w:val="auto"/>
                <w:sz w:val="24"/>
                <w:szCs w:val="24"/>
                <w:lang w:val="en-US" w:eastAsia="zh-CN"/>
              </w:rPr>
              <w:t>医疗设备进行搬迁，污水处理站等环保设施保持原状，不进行搬迁，搬迁过程中，医院停止运营，污染防治施正常运行使用。根据调查，本院旧址旁有岳阳楼街道社区卫生服务中心，与本院共用污水处理站等环保设施，待本院搬迁工作完成，医疗设备拆除完毕、相关污染物处理处置结束后，旧址环保设施由原址旁的岳阳楼街道社区卫生服务中心继续使用，后续由岳阳楼街道社区卫生服务中心负责管理</w:t>
            </w:r>
            <w:r>
              <w:rPr>
                <w:rFonts w:hint="default" w:ascii="Times New Roman" w:hAnsi="Times New Roman" w:eastAsia="宋体" w:cs="Times New Roman"/>
                <w:bCs/>
                <w:color w:val="auto"/>
                <w:sz w:val="24"/>
                <w:szCs w:val="24"/>
              </w:rPr>
              <w:t>。</w:t>
            </w:r>
          </w:p>
          <w:p w14:paraId="0C850B53">
            <w:pPr>
              <w:adjustRightInd w:val="0"/>
              <w:snapToGrid w:val="0"/>
              <w:spacing w:line="360" w:lineRule="auto"/>
              <w:ind w:firstLine="480" w:firstLineChars="200"/>
              <w:rPr>
                <w:rFonts w:hint="default" w:ascii="Times New Roman" w:hAnsi="Times New Roman" w:eastAsia="宋体" w:cs="Times New Roman"/>
                <w:bCs/>
                <w:color w:val="000000" w:themeColor="text1"/>
                <w:sz w:val="24"/>
                <w:szCs w:val="24"/>
                <w:lang w:eastAsia="zh-CN"/>
              </w:rPr>
            </w:pPr>
            <w:r>
              <w:rPr>
                <w:rFonts w:hint="default" w:ascii="Times New Roman" w:hAnsi="Times New Roman" w:cs="Times New Roman"/>
                <w:bCs/>
                <w:sz w:val="24"/>
                <w:szCs w:val="24"/>
                <w:lang w:eastAsia="zh-CN"/>
              </w:rPr>
              <w:t>（</w:t>
            </w:r>
            <w:r>
              <w:rPr>
                <w:rFonts w:hint="default" w:ascii="Times New Roman" w:hAnsi="Times New Roman" w:cs="Times New Roman"/>
                <w:bCs/>
                <w:sz w:val="24"/>
                <w:szCs w:val="24"/>
                <w:lang w:val="en-US" w:eastAsia="zh-CN"/>
              </w:rPr>
              <w:t>3</w:t>
            </w:r>
            <w:r>
              <w:rPr>
                <w:rFonts w:hint="default" w:ascii="Times New Roman" w:hAnsi="Times New Roman" w:cs="Times New Roman"/>
                <w:bCs/>
                <w:sz w:val="24"/>
                <w:szCs w:val="24"/>
                <w:lang w:eastAsia="zh-CN"/>
              </w:rPr>
              <w:t>）</w:t>
            </w:r>
            <w:r>
              <w:rPr>
                <w:rFonts w:hint="default" w:ascii="Times New Roman" w:hAnsi="Times New Roman" w:eastAsia="宋体" w:cs="Times New Roman"/>
                <w:bCs/>
                <w:sz w:val="24"/>
                <w:szCs w:val="24"/>
              </w:rPr>
              <w:t>安全处置医院遗留</w:t>
            </w:r>
            <w:r>
              <w:rPr>
                <w:rFonts w:hint="default" w:ascii="Times New Roman" w:hAnsi="Times New Roman" w:eastAsia="宋体" w:cs="Times New Roman"/>
                <w:bCs/>
                <w:color w:val="000000" w:themeColor="text1"/>
                <w:sz w:val="24"/>
                <w:szCs w:val="24"/>
              </w:rPr>
              <w:t>固体废物。</w:t>
            </w:r>
            <w:r>
              <w:rPr>
                <w:rFonts w:hint="default" w:ascii="Times New Roman" w:hAnsi="Times New Roman" w:cs="Times New Roman"/>
                <w:bCs/>
                <w:color w:val="000000" w:themeColor="text1"/>
                <w:sz w:val="24"/>
                <w:szCs w:val="24"/>
                <w:lang w:val="en-US" w:eastAsia="zh-CN"/>
              </w:rPr>
              <w:t>搬迁过程中，本院对旧址院区残留和搬迁过程中产生的医疗废物</w:t>
            </w:r>
            <w:r>
              <w:rPr>
                <w:rFonts w:hint="eastAsia" w:cs="Times New Roman"/>
                <w:bCs/>
                <w:color w:val="000000" w:themeColor="text1"/>
                <w:sz w:val="24"/>
                <w:szCs w:val="24"/>
                <w:lang w:val="en-US" w:eastAsia="zh-CN"/>
              </w:rPr>
              <w:t>妥善处理：</w:t>
            </w:r>
            <w:r>
              <w:rPr>
                <w:rFonts w:hint="default" w:ascii="Times New Roman" w:hAnsi="Times New Roman" w:cs="Times New Roman"/>
                <w:bCs/>
                <w:color w:val="000000" w:themeColor="text1"/>
                <w:sz w:val="24"/>
                <w:szCs w:val="24"/>
                <w:lang w:val="en-US" w:eastAsia="zh-CN"/>
              </w:rPr>
              <w:t>生活垃圾</w:t>
            </w:r>
            <w:r>
              <w:rPr>
                <w:rFonts w:hint="eastAsia" w:cs="Times New Roman"/>
                <w:bCs/>
                <w:color w:val="000000" w:themeColor="text1"/>
                <w:sz w:val="24"/>
                <w:szCs w:val="24"/>
                <w:lang w:val="en-US" w:eastAsia="zh-CN"/>
              </w:rPr>
              <w:t>交由环卫部门处理；</w:t>
            </w:r>
            <w:r>
              <w:rPr>
                <w:rFonts w:hint="default" w:ascii="Times New Roman" w:hAnsi="Times New Roman" w:cs="Times New Roman"/>
                <w:bCs/>
                <w:color w:val="000000" w:themeColor="text1"/>
                <w:sz w:val="24"/>
                <w:szCs w:val="24"/>
                <w:lang w:val="en-US" w:eastAsia="zh-CN"/>
              </w:rPr>
              <w:t>医疗废物、污泥委托岳阳市方向固废安全处置有限公司集中处置；</w:t>
            </w:r>
            <w:r>
              <w:rPr>
                <w:rFonts w:hint="eastAsia" w:cs="Times New Roman"/>
                <w:bCs/>
                <w:color w:val="000000" w:themeColor="text1"/>
                <w:sz w:val="24"/>
                <w:szCs w:val="24"/>
                <w:lang w:val="en-US" w:eastAsia="zh-CN"/>
              </w:rPr>
              <w:t>废紫外灯管委托委托湖南洋沙湖危废废物治理有限公司集中处置；未被污染的医用一次医用玻璃、输液瓶(袋)</w:t>
            </w:r>
            <w:r>
              <w:rPr>
                <w:rFonts w:hint="default" w:ascii="Times New Roman" w:hAnsi="Times New Roman" w:cs="Times New Roman"/>
                <w:bCs/>
                <w:color w:val="000000" w:themeColor="text1"/>
                <w:sz w:val="24"/>
                <w:szCs w:val="24"/>
                <w:lang w:val="en-US" w:eastAsia="zh-CN"/>
              </w:rPr>
              <w:t>委托湖南宝叶再生资源开发有限公司合理处置</w:t>
            </w:r>
            <w:r>
              <w:rPr>
                <w:rFonts w:hint="default" w:ascii="Times New Roman" w:hAnsi="Times New Roman" w:cs="Times New Roman"/>
                <w:bCs/>
                <w:color w:val="000000" w:themeColor="text1"/>
                <w:sz w:val="24"/>
                <w:szCs w:val="24"/>
                <w:lang w:eastAsia="zh-CN"/>
              </w:rPr>
              <w:t>。</w:t>
            </w:r>
          </w:p>
          <w:p w14:paraId="53434253">
            <w:pPr>
              <w:adjustRightInd w:val="0"/>
              <w:snapToGrid w:val="0"/>
              <w:spacing w:line="360" w:lineRule="auto"/>
              <w:ind w:firstLine="480" w:firstLineChars="200"/>
              <w:rPr>
                <w:rFonts w:hint="default" w:ascii="Times New Roman" w:hAnsi="Times New Roman" w:cs="Times New Roman"/>
                <w:bCs/>
                <w:sz w:val="24"/>
                <w:szCs w:val="24"/>
                <w:lang w:val="en-US" w:eastAsia="zh-CN"/>
              </w:rPr>
            </w:pPr>
            <w:r>
              <w:rPr>
                <w:rFonts w:hint="default" w:ascii="Times New Roman" w:hAnsi="Times New Roman" w:cs="Times New Roman"/>
                <w:bCs/>
                <w:sz w:val="24"/>
                <w:szCs w:val="24"/>
                <w:lang w:eastAsia="zh-CN"/>
              </w:rPr>
              <w:t>（</w:t>
            </w:r>
            <w:r>
              <w:rPr>
                <w:rFonts w:hint="default" w:ascii="Times New Roman" w:hAnsi="Times New Roman" w:cs="Times New Roman"/>
                <w:bCs/>
                <w:color w:val="auto"/>
                <w:sz w:val="24"/>
                <w:szCs w:val="24"/>
                <w:lang w:val="en-US" w:eastAsia="zh-CN"/>
              </w:rPr>
              <w:t>4</w:t>
            </w:r>
            <w:r>
              <w:rPr>
                <w:rFonts w:hint="default" w:ascii="Times New Roman" w:hAnsi="Times New Roman" w:cs="Times New Roman"/>
                <w:bCs/>
                <w:color w:val="auto"/>
                <w:sz w:val="24"/>
                <w:szCs w:val="24"/>
                <w:lang w:eastAsia="zh-CN"/>
              </w:rPr>
              <w:t>）</w:t>
            </w:r>
            <w:r>
              <w:rPr>
                <w:rFonts w:hint="default" w:ascii="Times New Roman" w:hAnsi="Times New Roman" w:cs="Times New Roman"/>
                <w:bCs/>
                <w:color w:val="auto"/>
                <w:sz w:val="24"/>
                <w:szCs w:val="24"/>
                <w:lang w:val="en-US" w:eastAsia="zh-CN"/>
              </w:rPr>
              <w:t>搬迁完成后旧址转让至区汇城集团</w:t>
            </w:r>
            <w:r>
              <w:rPr>
                <w:rFonts w:hint="default" w:ascii="Times New Roman" w:hAnsi="Times New Roman" w:cs="Times New Roman"/>
                <w:bCs/>
                <w:sz w:val="24"/>
                <w:szCs w:val="24"/>
                <w:lang w:val="en-US" w:eastAsia="zh-CN"/>
              </w:rPr>
              <w:t>。</w:t>
            </w:r>
          </w:p>
          <w:p w14:paraId="36674CE2">
            <w:pPr>
              <w:adjustRightInd w:val="0"/>
              <w:snapToGrid w:val="0"/>
              <w:spacing w:line="360" w:lineRule="auto"/>
              <w:rPr>
                <w:rFonts w:hint="default" w:ascii="Times New Roman" w:hAnsi="Times New Roman" w:eastAsia="宋体" w:cs="Times New Roman"/>
                <w:b/>
                <w:bCs w:val="0"/>
                <w:sz w:val="24"/>
                <w:szCs w:val="24"/>
              </w:rPr>
            </w:pPr>
            <w:r>
              <w:rPr>
                <w:rFonts w:hint="default" w:ascii="Times New Roman" w:hAnsi="Times New Roman" w:cs="Times New Roman"/>
                <w:b/>
                <w:bCs w:val="0"/>
                <w:sz w:val="24"/>
                <w:szCs w:val="24"/>
                <w:lang w:val="en-US" w:eastAsia="zh-CN"/>
              </w:rPr>
              <w:t>3</w:t>
            </w:r>
            <w:r>
              <w:rPr>
                <w:rFonts w:hint="default" w:ascii="Times New Roman" w:hAnsi="Times New Roman" w:eastAsia="宋体" w:cs="Times New Roman"/>
                <w:b/>
                <w:bCs w:val="0"/>
                <w:sz w:val="24"/>
                <w:szCs w:val="24"/>
              </w:rPr>
              <w:t>、项目</w:t>
            </w:r>
            <w:r>
              <w:rPr>
                <w:rFonts w:hint="default" w:ascii="Times New Roman" w:hAnsi="Times New Roman" w:cs="Times New Roman"/>
                <w:b/>
                <w:bCs w:val="0"/>
                <w:sz w:val="24"/>
                <w:szCs w:val="24"/>
                <w:lang w:val="en-US" w:eastAsia="zh-CN"/>
              </w:rPr>
              <w:t>新建</w:t>
            </w:r>
            <w:r>
              <w:rPr>
                <w:rFonts w:hint="default" w:ascii="Times New Roman" w:hAnsi="Times New Roman" w:eastAsia="宋体" w:cs="Times New Roman"/>
                <w:b/>
                <w:bCs w:val="0"/>
                <w:sz w:val="24"/>
                <w:szCs w:val="24"/>
              </w:rPr>
              <w:t>（</w:t>
            </w:r>
            <w:r>
              <w:rPr>
                <w:rFonts w:hint="default" w:ascii="Times New Roman" w:hAnsi="Times New Roman" w:cs="Times New Roman"/>
                <w:b/>
                <w:bCs w:val="0"/>
                <w:sz w:val="24"/>
                <w:szCs w:val="24"/>
                <w:lang w:eastAsia="zh-CN"/>
              </w:rPr>
              <w:t>迁建</w:t>
            </w:r>
            <w:r>
              <w:rPr>
                <w:rFonts w:hint="default" w:ascii="Times New Roman" w:hAnsi="Times New Roman" w:eastAsia="宋体" w:cs="Times New Roman"/>
                <w:b/>
                <w:bCs w:val="0"/>
                <w:sz w:val="24"/>
                <w:szCs w:val="24"/>
              </w:rPr>
              <w:t>）区域主要环境问题</w:t>
            </w:r>
          </w:p>
          <w:p w14:paraId="05D221E2">
            <w:pPr>
              <w:adjustRightInd w:val="0"/>
              <w:snapToGrid w:val="0"/>
              <w:spacing w:line="360" w:lineRule="auto"/>
              <w:ind w:firstLine="480" w:firstLineChars="200"/>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u w:val="none"/>
              </w:rPr>
              <w:t>本项目为</w:t>
            </w:r>
            <w:r>
              <w:rPr>
                <w:rFonts w:hint="default" w:ascii="Times New Roman" w:hAnsi="Times New Roman" w:cs="Times New Roman"/>
                <w:bCs/>
                <w:sz w:val="24"/>
                <w:szCs w:val="24"/>
                <w:u w:val="none"/>
                <w:lang w:val="en-US" w:eastAsia="zh-CN"/>
              </w:rPr>
              <w:t>迁建</w:t>
            </w:r>
            <w:r>
              <w:rPr>
                <w:rFonts w:hint="default" w:ascii="Times New Roman" w:hAnsi="Times New Roman" w:eastAsia="宋体" w:cs="Times New Roman"/>
                <w:bCs/>
                <w:sz w:val="24"/>
                <w:szCs w:val="24"/>
                <w:u w:val="none"/>
              </w:rPr>
              <w:t>项目，</w:t>
            </w:r>
            <w:r>
              <w:rPr>
                <w:rFonts w:hint="default" w:ascii="Times New Roman" w:hAnsi="Times New Roman" w:cs="Times New Roman"/>
                <w:bCs/>
                <w:sz w:val="24"/>
                <w:szCs w:val="24"/>
                <w:u w:val="none"/>
                <w:lang w:val="en-US" w:eastAsia="zh-CN"/>
              </w:rPr>
              <w:t>搬迁至南湖大道399号，该地块原</w:t>
            </w:r>
            <w:r>
              <w:rPr>
                <w:rFonts w:hint="default" w:ascii="Times New Roman" w:hAnsi="Times New Roman" w:cs="Times New Roman"/>
                <w:kern w:val="0"/>
                <w:sz w:val="24"/>
                <w:szCs w:val="24"/>
                <w:u w:val="none"/>
                <w:lang w:val="en-US" w:eastAsia="zh-CN"/>
              </w:rPr>
              <w:t>为岳阳市中心医院金鹗山院区</w:t>
            </w:r>
            <w:r>
              <w:rPr>
                <w:rFonts w:hint="eastAsia" w:cs="Times New Roman"/>
                <w:kern w:val="0"/>
                <w:sz w:val="24"/>
                <w:szCs w:val="24"/>
                <w:u w:val="none"/>
                <w:lang w:val="en-US" w:eastAsia="zh-CN"/>
              </w:rPr>
              <w:t>（原名</w:t>
            </w:r>
            <w:r>
              <w:rPr>
                <w:rFonts w:hint="default" w:ascii="Times New Roman" w:hAnsi="Times New Roman" w:cs="Times New Roman"/>
                <w:kern w:val="0"/>
                <w:sz w:val="24"/>
                <w:szCs w:val="24"/>
                <w:u w:val="none"/>
                <w:lang w:val="en-US" w:eastAsia="zh-CN"/>
              </w:rPr>
              <w:t>岳阳</w:t>
            </w:r>
            <w:r>
              <w:rPr>
                <w:rFonts w:hint="eastAsia" w:cs="Times New Roman"/>
                <w:kern w:val="0"/>
                <w:sz w:val="24"/>
                <w:szCs w:val="24"/>
                <w:u w:val="none"/>
                <w:lang w:val="en-US" w:eastAsia="zh-CN"/>
              </w:rPr>
              <w:t>市</w:t>
            </w:r>
            <w:r>
              <w:rPr>
                <w:rFonts w:hint="default" w:ascii="Times New Roman" w:hAnsi="Times New Roman" w:cs="Times New Roman"/>
                <w:kern w:val="0"/>
                <w:sz w:val="24"/>
                <w:szCs w:val="24"/>
                <w:u w:val="none"/>
                <w:lang w:val="en-US" w:eastAsia="zh-CN"/>
              </w:rPr>
              <w:t>一人民医院南院</w:t>
            </w:r>
            <w:r>
              <w:rPr>
                <w:rFonts w:hint="eastAsia" w:cs="Times New Roman"/>
                <w:kern w:val="0"/>
                <w:sz w:val="24"/>
                <w:szCs w:val="24"/>
                <w:u w:val="none"/>
                <w:lang w:val="en-US" w:eastAsia="zh-CN"/>
              </w:rPr>
              <w:t>）</w:t>
            </w:r>
            <w:r>
              <w:rPr>
                <w:rFonts w:hint="default" w:ascii="Times New Roman" w:hAnsi="Times New Roman" w:cs="Times New Roman"/>
                <w:kern w:val="0"/>
                <w:sz w:val="24"/>
                <w:szCs w:val="24"/>
                <w:u w:val="none"/>
                <w:lang w:val="en-US" w:eastAsia="zh-CN"/>
              </w:rPr>
              <w:t>，共设有床位481张，该院于2020年5月办理环评手续，于2020年5月25日取得了环评批复，批复文号：岳环楼批[2020]09号（附件8）；于2023年5月11日完成了竣工环保验收，备案编号：430602-2023-006,（附件9）；于2023年7月24日办理了排污许可证，证书编号：12430600446158291L001V（附件10）；并设有水质在线监测设备，已与生态环境局完成联网验收，监测因子：流量、总余氯、pH、COD、氨氮、总磷、总氮</w:t>
            </w:r>
            <w:r>
              <w:rPr>
                <w:rFonts w:hint="default" w:ascii="Times New Roman" w:hAnsi="Times New Roman" w:cs="Times New Roman"/>
                <w:color w:val="auto"/>
                <w:kern w:val="0"/>
                <w:sz w:val="24"/>
                <w:szCs w:val="24"/>
                <w:u w:val="none"/>
                <w:lang w:val="en-US" w:eastAsia="zh-CN"/>
              </w:rPr>
              <w:t>。</w:t>
            </w:r>
            <w:r>
              <w:rPr>
                <w:rFonts w:hint="eastAsia" w:cs="Times New Roman"/>
                <w:color w:val="auto"/>
                <w:kern w:val="0"/>
                <w:sz w:val="24"/>
                <w:szCs w:val="24"/>
                <w:u w:val="none"/>
                <w:lang w:val="en-US" w:eastAsia="zh-CN"/>
              </w:rPr>
              <w:t>在</w:t>
            </w:r>
            <w:r>
              <w:rPr>
                <w:rFonts w:hint="default" w:ascii="Times New Roman" w:hAnsi="Times New Roman" w:cs="Times New Roman"/>
                <w:color w:val="auto"/>
                <w:kern w:val="0"/>
                <w:sz w:val="24"/>
                <w:szCs w:val="24"/>
                <w:u w:val="none"/>
                <w:lang w:val="en-US" w:eastAsia="zh-CN"/>
              </w:rPr>
              <w:t>岳阳市中心医院金鹗山院区</w:t>
            </w:r>
            <w:r>
              <w:rPr>
                <w:rFonts w:hint="eastAsia" w:cs="Times New Roman"/>
                <w:color w:val="auto"/>
                <w:kern w:val="0"/>
                <w:sz w:val="24"/>
                <w:szCs w:val="24"/>
                <w:u w:val="none"/>
                <w:lang w:val="en-US" w:eastAsia="zh-CN"/>
              </w:rPr>
              <w:t>2020的环评设计中，污水站恶臭的处理方式为：集中收集后通过紫外线消毒处理后屋顶排放，后应主管部门要求，处理系统改为：碱水喷淋+活性炭吸附处理，以确保污水站恶臭能够达标排放。</w:t>
            </w:r>
            <w:r>
              <w:rPr>
                <w:rFonts w:hint="default" w:ascii="Times New Roman" w:hAnsi="Times New Roman" w:cs="Times New Roman"/>
                <w:color w:val="auto"/>
                <w:kern w:val="0"/>
                <w:sz w:val="24"/>
                <w:szCs w:val="24"/>
                <w:u w:val="none"/>
                <w:lang w:val="en-US" w:eastAsia="zh-CN"/>
              </w:rPr>
              <w:t>2025年10月，岳阳市中心医院新院区建成启用，同时启动了岳阳市中心医院金鹗山院区的搬迁工作，金鹗山院区人员、医疗设备均搬迁至岳阳市中心医院新院区，金鹗山院区已建公用、辅助、环保设施设备均不搬迁，</w:t>
            </w:r>
            <w:r>
              <w:rPr>
                <w:rFonts w:hint="default" w:ascii="Times New Roman" w:hAnsi="Times New Roman" w:cs="Times New Roman"/>
                <w:color w:val="auto"/>
                <w:kern w:val="0"/>
                <w:sz w:val="24"/>
                <w:szCs w:val="24"/>
                <w:u w:val="single"/>
                <w:lang w:val="en-US" w:eastAsia="zh-CN"/>
              </w:rPr>
              <w:t>据</w:t>
            </w:r>
            <w:r>
              <w:rPr>
                <w:rFonts w:hint="eastAsia" w:cs="Times New Roman"/>
                <w:color w:val="auto"/>
                <w:kern w:val="0"/>
                <w:sz w:val="24"/>
                <w:szCs w:val="24"/>
                <w:u w:val="single"/>
                <w:lang w:val="en-US" w:eastAsia="zh-CN"/>
              </w:rPr>
              <w:t>现场</w:t>
            </w:r>
            <w:r>
              <w:rPr>
                <w:rFonts w:hint="default" w:ascii="Times New Roman" w:hAnsi="Times New Roman" w:cs="Times New Roman"/>
                <w:color w:val="auto"/>
                <w:kern w:val="0"/>
                <w:sz w:val="24"/>
                <w:szCs w:val="24"/>
                <w:u w:val="single"/>
                <w:lang w:val="en-US" w:eastAsia="zh-CN"/>
              </w:rPr>
              <w:t>调查，金鹗山院区搬迁工作现已完成，</w:t>
            </w:r>
            <w:r>
              <w:rPr>
                <w:rFonts w:hint="eastAsia" w:cs="Times New Roman"/>
                <w:color w:val="auto"/>
                <w:kern w:val="0"/>
                <w:sz w:val="24"/>
                <w:szCs w:val="24"/>
                <w:u w:val="single"/>
                <w:lang w:val="en-US" w:eastAsia="zh-CN"/>
              </w:rPr>
              <w:t>所有医疗设备均已搬迁，</w:t>
            </w:r>
            <w:r>
              <w:rPr>
                <w:rFonts w:hint="default" w:ascii="Times New Roman" w:hAnsi="Times New Roman" w:cs="Times New Roman"/>
                <w:color w:val="auto"/>
                <w:kern w:val="0"/>
                <w:sz w:val="24"/>
                <w:szCs w:val="24"/>
                <w:u w:val="single"/>
                <w:lang w:val="en-US" w:eastAsia="zh-CN"/>
              </w:rPr>
              <w:t>原有481张床位已全部拆除</w:t>
            </w:r>
            <w:r>
              <w:rPr>
                <w:rFonts w:hint="eastAsia" w:cs="Times New Roman"/>
                <w:color w:val="auto"/>
                <w:kern w:val="0"/>
                <w:sz w:val="24"/>
                <w:szCs w:val="24"/>
                <w:u w:val="single"/>
                <w:lang w:val="en-US" w:eastAsia="zh-CN"/>
              </w:rPr>
              <w:t>，搬迁、运营过程中产生、遗留的废水、固废均已妥善处置，无遗留环境污染问题</w:t>
            </w:r>
            <w:r>
              <w:rPr>
                <w:rFonts w:hint="default" w:ascii="Times New Roman" w:hAnsi="Times New Roman" w:eastAsia="宋体" w:cs="Times New Roman"/>
                <w:bCs/>
                <w:color w:val="auto"/>
                <w:sz w:val="24"/>
                <w:szCs w:val="24"/>
              </w:rPr>
              <w:t>。</w:t>
            </w:r>
          </w:p>
          <w:p w14:paraId="19E1BA1C">
            <w:pPr>
              <w:adjustRightInd w:val="0"/>
              <w:snapToGrid w:val="0"/>
              <w:spacing w:line="360" w:lineRule="auto"/>
              <w:rPr>
                <w:rFonts w:hint="default" w:ascii="Times New Roman" w:hAnsi="Times New Roman" w:eastAsia="宋体" w:cs="Times New Roman"/>
                <w:bCs/>
                <w:sz w:val="24"/>
                <w:szCs w:val="24"/>
                <w:lang w:val="en-US" w:eastAsia="zh-CN"/>
              </w:rPr>
            </w:pPr>
            <w:r>
              <w:rPr>
                <w:rFonts w:hint="default" w:ascii="Times New Roman" w:hAnsi="Times New Roman" w:cs="Times New Roman"/>
                <w:bCs/>
                <w:sz w:val="24"/>
                <w:szCs w:val="24"/>
                <w:lang w:val="en-US" w:eastAsia="zh-CN"/>
              </w:rPr>
              <w:t xml:space="preserve">    </w:t>
            </w:r>
            <w:r>
              <w:rPr>
                <w:rFonts w:hint="default" w:ascii="Times New Roman" w:hAnsi="Times New Roman" w:cs="Times New Roman"/>
                <w:kern w:val="0"/>
                <w:sz w:val="24"/>
                <w:szCs w:val="24"/>
                <w:u w:val="none"/>
                <w:lang w:val="en-US" w:eastAsia="zh-CN"/>
              </w:rPr>
              <w:t>岳阳市中心医院金鹗山院区各污防设施运行情况稳定，运行期间未收到环保相关投诉。本次评价收集了湖南亿科检测</w:t>
            </w:r>
            <w:r>
              <w:rPr>
                <w:rFonts w:hint="default" w:ascii="Times New Roman" w:hAnsi="Times New Roman" w:cs="Times New Roman"/>
                <w:color w:val="auto"/>
                <w:kern w:val="0"/>
                <w:sz w:val="24"/>
                <w:szCs w:val="24"/>
                <w:u w:val="none"/>
                <w:lang w:val="en-US" w:eastAsia="zh-CN"/>
              </w:rPr>
              <w:t>有限公司2025年</w:t>
            </w:r>
            <w:r>
              <w:rPr>
                <w:rFonts w:hint="eastAsia" w:ascii="Times New Roman" w:hAnsi="Times New Roman" w:cs="Times New Roman"/>
                <w:color w:val="auto"/>
                <w:kern w:val="0"/>
                <w:sz w:val="24"/>
                <w:szCs w:val="24"/>
                <w:u w:val="none"/>
                <w:lang w:val="en-US" w:eastAsia="zh-CN"/>
              </w:rPr>
              <w:t>4月1日</w:t>
            </w:r>
            <w:r>
              <w:rPr>
                <w:rFonts w:hint="default" w:ascii="Times New Roman" w:hAnsi="Times New Roman" w:cs="Times New Roman"/>
                <w:color w:val="auto"/>
                <w:kern w:val="0"/>
                <w:sz w:val="24"/>
                <w:szCs w:val="24"/>
                <w:u w:val="none"/>
                <w:lang w:val="en-US" w:eastAsia="zh-CN"/>
              </w:rPr>
              <w:t>对</w:t>
            </w:r>
            <w:r>
              <w:rPr>
                <w:rFonts w:hint="default" w:ascii="Times New Roman" w:hAnsi="Times New Roman" w:cs="Times New Roman"/>
                <w:kern w:val="0"/>
                <w:sz w:val="24"/>
                <w:szCs w:val="24"/>
                <w:u w:val="none"/>
                <w:lang w:val="en-US" w:eastAsia="zh-CN"/>
              </w:rPr>
              <w:t>岳阳市中心医院金鹗山院区运行期间的常规检测（附件11），检测结果如下：</w:t>
            </w:r>
          </w:p>
          <w:p w14:paraId="51E4BD61">
            <w:pPr>
              <w:adjustRightInd w:val="0"/>
              <w:snapToGrid w:val="0"/>
              <w:spacing w:line="360" w:lineRule="auto"/>
              <w:jc w:val="center"/>
              <w:rPr>
                <w:rFonts w:hint="default" w:ascii="Times New Roman" w:hAnsi="Times New Roman" w:eastAsia="宋体" w:cs="Times New Roman"/>
                <w:b/>
                <w:bCs w:val="0"/>
                <w:sz w:val="21"/>
                <w:szCs w:val="21"/>
                <w:lang w:val="en-US" w:eastAsia="zh-CN"/>
              </w:rPr>
            </w:pPr>
            <w:r>
              <w:rPr>
                <w:rFonts w:hint="default" w:ascii="Times New Roman" w:hAnsi="Times New Roman" w:cs="Times New Roman"/>
                <w:b/>
                <w:bCs w:val="0"/>
                <w:sz w:val="21"/>
                <w:szCs w:val="21"/>
                <w:lang w:val="en-US" w:eastAsia="zh-CN"/>
              </w:rPr>
              <w:t>表2-1</w:t>
            </w:r>
            <w:r>
              <w:rPr>
                <w:rFonts w:hint="eastAsia" w:cs="Times New Roman"/>
                <w:b/>
                <w:bCs w:val="0"/>
                <w:sz w:val="21"/>
                <w:szCs w:val="21"/>
                <w:lang w:val="en-US" w:eastAsia="zh-CN"/>
              </w:rPr>
              <w:t>2</w:t>
            </w:r>
            <w:r>
              <w:rPr>
                <w:rFonts w:hint="default" w:ascii="Times New Roman" w:hAnsi="Times New Roman" w:cs="Times New Roman"/>
                <w:b/>
                <w:bCs w:val="0"/>
                <w:sz w:val="21"/>
                <w:szCs w:val="21"/>
                <w:lang w:val="en-US" w:eastAsia="zh-CN"/>
              </w:rPr>
              <w:t xml:space="preserve"> 废水检测结果一览表</w:t>
            </w:r>
          </w:p>
          <w:tbl>
            <w:tblPr>
              <w:tblStyle w:val="25"/>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135"/>
              <w:gridCol w:w="1135"/>
              <w:gridCol w:w="1135"/>
              <w:gridCol w:w="1135"/>
              <w:gridCol w:w="1135"/>
              <w:gridCol w:w="1135"/>
            </w:tblGrid>
            <w:tr w14:paraId="41D6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vAlign w:val="center"/>
                </w:tcPr>
                <w:p w14:paraId="07FD3B6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检测点位</w:t>
                  </w:r>
                </w:p>
              </w:tc>
              <w:tc>
                <w:tcPr>
                  <w:tcW w:w="1135" w:type="dxa"/>
                  <w:vMerge w:val="restart"/>
                  <w:vAlign w:val="center"/>
                </w:tcPr>
                <w:p w14:paraId="452FF75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样品状态</w:t>
                  </w:r>
                </w:p>
              </w:tc>
              <w:tc>
                <w:tcPr>
                  <w:tcW w:w="1135" w:type="dxa"/>
                  <w:vMerge w:val="restart"/>
                  <w:vAlign w:val="center"/>
                </w:tcPr>
                <w:p w14:paraId="74ABB1F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检测项目</w:t>
                  </w:r>
                </w:p>
              </w:tc>
              <w:tc>
                <w:tcPr>
                  <w:tcW w:w="3405" w:type="dxa"/>
                  <w:gridSpan w:val="3"/>
                  <w:vAlign w:val="center"/>
                </w:tcPr>
                <w:p w14:paraId="023D27E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检测结果（mg/L）</w:t>
                  </w:r>
                </w:p>
              </w:tc>
              <w:tc>
                <w:tcPr>
                  <w:tcW w:w="1135" w:type="dxa"/>
                  <w:vMerge w:val="restart"/>
                  <w:vAlign w:val="center"/>
                </w:tcPr>
                <w:p w14:paraId="5208E13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标准限值</w:t>
                  </w:r>
                </w:p>
              </w:tc>
            </w:tr>
            <w:tr w14:paraId="0778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4064624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Merge w:val="continue"/>
                  <w:vAlign w:val="center"/>
                </w:tcPr>
                <w:p w14:paraId="5C65698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Merge w:val="continue"/>
                  <w:vAlign w:val="center"/>
                </w:tcPr>
                <w:p w14:paraId="40A2991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Align w:val="center"/>
                </w:tcPr>
                <w:p w14:paraId="5186844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第一次</w:t>
                  </w:r>
                </w:p>
              </w:tc>
              <w:tc>
                <w:tcPr>
                  <w:tcW w:w="1135" w:type="dxa"/>
                  <w:vAlign w:val="center"/>
                </w:tcPr>
                <w:p w14:paraId="0EE28B0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第二次</w:t>
                  </w:r>
                </w:p>
              </w:tc>
              <w:tc>
                <w:tcPr>
                  <w:tcW w:w="1135" w:type="dxa"/>
                  <w:vAlign w:val="center"/>
                </w:tcPr>
                <w:p w14:paraId="568A76D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第三次</w:t>
                  </w:r>
                </w:p>
              </w:tc>
              <w:tc>
                <w:tcPr>
                  <w:tcW w:w="1135" w:type="dxa"/>
                  <w:vMerge w:val="continue"/>
                  <w:vAlign w:val="center"/>
                </w:tcPr>
                <w:p w14:paraId="5D06D26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r>
            <w:tr w14:paraId="50D5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vAlign w:val="center"/>
                </w:tcPr>
                <w:p w14:paraId="3DAC5B6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金鹗山院区综合污水排放口（DW004）</w:t>
                  </w:r>
                </w:p>
              </w:tc>
              <w:tc>
                <w:tcPr>
                  <w:tcW w:w="1135" w:type="dxa"/>
                  <w:vMerge w:val="restart"/>
                  <w:vAlign w:val="center"/>
                </w:tcPr>
                <w:p w14:paraId="5C5ABEC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无颜色、无气味、无浮油</w:t>
                  </w:r>
                </w:p>
              </w:tc>
              <w:tc>
                <w:tcPr>
                  <w:tcW w:w="1135" w:type="dxa"/>
                  <w:vAlign w:val="center"/>
                </w:tcPr>
                <w:p w14:paraId="1D85026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BOD</w:t>
                  </w:r>
                  <w:r>
                    <w:rPr>
                      <w:rFonts w:hint="default" w:ascii="Times New Roman" w:hAnsi="Times New Roman" w:cs="Times New Roman"/>
                      <w:bCs/>
                      <w:sz w:val="21"/>
                      <w:szCs w:val="21"/>
                      <w:vertAlign w:val="subscript"/>
                      <w:lang w:val="en-US" w:eastAsia="zh-CN"/>
                    </w:rPr>
                    <w:t>5</w:t>
                  </w:r>
                </w:p>
              </w:tc>
              <w:tc>
                <w:tcPr>
                  <w:tcW w:w="1135" w:type="dxa"/>
                  <w:vAlign w:val="center"/>
                </w:tcPr>
                <w:p w14:paraId="581D832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6.5</w:t>
                  </w:r>
                </w:p>
              </w:tc>
              <w:tc>
                <w:tcPr>
                  <w:tcW w:w="1135" w:type="dxa"/>
                  <w:vAlign w:val="center"/>
                </w:tcPr>
                <w:p w14:paraId="6B50E57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6.1</w:t>
                  </w:r>
                </w:p>
              </w:tc>
              <w:tc>
                <w:tcPr>
                  <w:tcW w:w="1135" w:type="dxa"/>
                  <w:vAlign w:val="center"/>
                </w:tcPr>
                <w:p w14:paraId="5350419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6.4</w:t>
                  </w:r>
                </w:p>
              </w:tc>
              <w:tc>
                <w:tcPr>
                  <w:tcW w:w="1135" w:type="dxa"/>
                  <w:vAlign w:val="center"/>
                </w:tcPr>
                <w:p w14:paraId="4A0050C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100</w:t>
                  </w:r>
                </w:p>
              </w:tc>
            </w:tr>
            <w:tr w14:paraId="7B62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6C48771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Merge w:val="continue"/>
                  <w:vAlign w:val="center"/>
                </w:tcPr>
                <w:p w14:paraId="437202A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Align w:val="center"/>
                </w:tcPr>
                <w:p w14:paraId="4A2EB43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LAS</w:t>
                  </w:r>
                </w:p>
              </w:tc>
              <w:tc>
                <w:tcPr>
                  <w:tcW w:w="1135" w:type="dxa"/>
                  <w:vAlign w:val="center"/>
                </w:tcPr>
                <w:p w14:paraId="5CEBA13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0.05L</w:t>
                  </w:r>
                </w:p>
              </w:tc>
              <w:tc>
                <w:tcPr>
                  <w:tcW w:w="1135" w:type="dxa"/>
                  <w:vAlign w:val="center"/>
                </w:tcPr>
                <w:p w14:paraId="73A7A2A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r>
                    <w:rPr>
                      <w:rFonts w:hint="default" w:ascii="Times New Roman" w:hAnsi="Times New Roman" w:cs="Times New Roman"/>
                      <w:bCs/>
                      <w:sz w:val="21"/>
                      <w:szCs w:val="21"/>
                      <w:vertAlign w:val="baseline"/>
                      <w:lang w:val="en-US" w:eastAsia="zh-CN"/>
                    </w:rPr>
                    <w:t>0.05L</w:t>
                  </w:r>
                </w:p>
              </w:tc>
              <w:tc>
                <w:tcPr>
                  <w:tcW w:w="1135" w:type="dxa"/>
                  <w:vAlign w:val="center"/>
                </w:tcPr>
                <w:p w14:paraId="3E6E0F0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r>
                    <w:rPr>
                      <w:rFonts w:hint="default" w:ascii="Times New Roman" w:hAnsi="Times New Roman" w:cs="Times New Roman"/>
                      <w:bCs/>
                      <w:sz w:val="21"/>
                      <w:szCs w:val="21"/>
                      <w:vertAlign w:val="baseline"/>
                      <w:lang w:val="en-US" w:eastAsia="zh-CN"/>
                    </w:rPr>
                    <w:t>0.05L</w:t>
                  </w:r>
                </w:p>
              </w:tc>
              <w:tc>
                <w:tcPr>
                  <w:tcW w:w="1135" w:type="dxa"/>
                  <w:vAlign w:val="center"/>
                </w:tcPr>
                <w:p w14:paraId="307569D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10</w:t>
                  </w:r>
                </w:p>
              </w:tc>
            </w:tr>
            <w:tr w14:paraId="5BC6A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00BE2EE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Merge w:val="continue"/>
                  <w:vAlign w:val="center"/>
                </w:tcPr>
                <w:p w14:paraId="6440572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Align w:val="center"/>
                </w:tcPr>
                <w:p w14:paraId="20BF3EF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石油类</w:t>
                  </w:r>
                </w:p>
              </w:tc>
              <w:tc>
                <w:tcPr>
                  <w:tcW w:w="1135" w:type="dxa"/>
                  <w:vAlign w:val="center"/>
                </w:tcPr>
                <w:p w14:paraId="0D686BF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0.34</w:t>
                  </w:r>
                </w:p>
              </w:tc>
              <w:tc>
                <w:tcPr>
                  <w:tcW w:w="1135" w:type="dxa"/>
                  <w:vAlign w:val="center"/>
                </w:tcPr>
                <w:p w14:paraId="19098B5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0.31</w:t>
                  </w:r>
                </w:p>
              </w:tc>
              <w:tc>
                <w:tcPr>
                  <w:tcW w:w="1135" w:type="dxa"/>
                  <w:vAlign w:val="center"/>
                </w:tcPr>
                <w:p w14:paraId="6EA43C6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0.33</w:t>
                  </w:r>
                </w:p>
              </w:tc>
              <w:tc>
                <w:tcPr>
                  <w:tcW w:w="1135" w:type="dxa"/>
                  <w:vAlign w:val="center"/>
                </w:tcPr>
                <w:p w14:paraId="58B3122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20</w:t>
                  </w:r>
                </w:p>
              </w:tc>
            </w:tr>
            <w:tr w14:paraId="1DEBB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760C46C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Merge w:val="continue"/>
                  <w:vAlign w:val="center"/>
                </w:tcPr>
                <w:p w14:paraId="2FCD7D5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Align w:val="center"/>
                </w:tcPr>
                <w:p w14:paraId="3011A70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动植物油</w:t>
                  </w:r>
                </w:p>
              </w:tc>
              <w:tc>
                <w:tcPr>
                  <w:tcW w:w="1135" w:type="dxa"/>
                  <w:vAlign w:val="center"/>
                </w:tcPr>
                <w:p w14:paraId="3FC6C01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0.06</w:t>
                  </w:r>
                </w:p>
              </w:tc>
              <w:tc>
                <w:tcPr>
                  <w:tcW w:w="1135" w:type="dxa"/>
                  <w:vAlign w:val="center"/>
                </w:tcPr>
                <w:p w14:paraId="7FCDC50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0.09</w:t>
                  </w:r>
                </w:p>
              </w:tc>
              <w:tc>
                <w:tcPr>
                  <w:tcW w:w="1135" w:type="dxa"/>
                  <w:vAlign w:val="center"/>
                </w:tcPr>
                <w:p w14:paraId="78300CA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0.09</w:t>
                  </w:r>
                </w:p>
              </w:tc>
              <w:tc>
                <w:tcPr>
                  <w:tcW w:w="1135" w:type="dxa"/>
                  <w:vAlign w:val="center"/>
                </w:tcPr>
                <w:p w14:paraId="04CD628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20</w:t>
                  </w:r>
                </w:p>
              </w:tc>
            </w:tr>
            <w:tr w14:paraId="5B9D1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5177948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Merge w:val="continue"/>
                  <w:vAlign w:val="center"/>
                </w:tcPr>
                <w:p w14:paraId="74F11E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Align w:val="center"/>
                </w:tcPr>
                <w:p w14:paraId="495AD9C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挥发酚</w:t>
                  </w:r>
                </w:p>
              </w:tc>
              <w:tc>
                <w:tcPr>
                  <w:tcW w:w="1135" w:type="dxa"/>
                  <w:vAlign w:val="center"/>
                </w:tcPr>
                <w:p w14:paraId="3D4A536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0.01L</w:t>
                  </w:r>
                </w:p>
              </w:tc>
              <w:tc>
                <w:tcPr>
                  <w:tcW w:w="1135" w:type="dxa"/>
                  <w:vAlign w:val="center"/>
                </w:tcPr>
                <w:p w14:paraId="3A67C65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r>
                    <w:rPr>
                      <w:rFonts w:hint="default" w:ascii="Times New Roman" w:hAnsi="Times New Roman" w:cs="Times New Roman"/>
                      <w:bCs/>
                      <w:sz w:val="21"/>
                      <w:szCs w:val="21"/>
                      <w:vertAlign w:val="baseline"/>
                      <w:lang w:val="en-US" w:eastAsia="zh-CN"/>
                    </w:rPr>
                    <w:t>0.01L</w:t>
                  </w:r>
                </w:p>
              </w:tc>
              <w:tc>
                <w:tcPr>
                  <w:tcW w:w="1135" w:type="dxa"/>
                  <w:vAlign w:val="center"/>
                </w:tcPr>
                <w:p w14:paraId="2515A45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0.032</w:t>
                  </w:r>
                </w:p>
              </w:tc>
              <w:tc>
                <w:tcPr>
                  <w:tcW w:w="1135" w:type="dxa"/>
                  <w:vAlign w:val="center"/>
                </w:tcPr>
                <w:p w14:paraId="3ECA476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1.0</w:t>
                  </w:r>
                </w:p>
              </w:tc>
            </w:tr>
            <w:tr w14:paraId="6734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vAlign w:val="center"/>
                </w:tcPr>
                <w:p w14:paraId="69E0995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Merge w:val="continue"/>
                  <w:vAlign w:val="center"/>
                </w:tcPr>
                <w:p w14:paraId="13D0E9C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rPr>
                  </w:pPr>
                </w:p>
              </w:tc>
              <w:tc>
                <w:tcPr>
                  <w:tcW w:w="1135" w:type="dxa"/>
                  <w:vAlign w:val="center"/>
                </w:tcPr>
                <w:p w14:paraId="79FE2E6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总氰化物</w:t>
                  </w:r>
                </w:p>
              </w:tc>
              <w:tc>
                <w:tcPr>
                  <w:tcW w:w="1135" w:type="dxa"/>
                  <w:vAlign w:val="center"/>
                </w:tcPr>
                <w:p w14:paraId="7DD1DA8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0.004</w:t>
                  </w:r>
                </w:p>
              </w:tc>
              <w:tc>
                <w:tcPr>
                  <w:tcW w:w="1135" w:type="dxa"/>
                  <w:vAlign w:val="center"/>
                </w:tcPr>
                <w:p w14:paraId="2FC464B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0.004</w:t>
                  </w:r>
                </w:p>
              </w:tc>
              <w:tc>
                <w:tcPr>
                  <w:tcW w:w="1135" w:type="dxa"/>
                  <w:vAlign w:val="center"/>
                </w:tcPr>
                <w:p w14:paraId="621F75B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0.005</w:t>
                  </w:r>
                </w:p>
              </w:tc>
              <w:tc>
                <w:tcPr>
                  <w:tcW w:w="1135" w:type="dxa"/>
                  <w:vAlign w:val="center"/>
                </w:tcPr>
                <w:p w14:paraId="4FCA3E3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0.5</w:t>
                  </w:r>
                </w:p>
              </w:tc>
            </w:tr>
            <w:tr w14:paraId="7133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Align w:val="center"/>
                </w:tcPr>
                <w:p w14:paraId="4AC2145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1"/>
                      <w:szCs w:val="21"/>
                      <w:vertAlign w:val="baseline"/>
                      <w:lang w:val="en-US" w:eastAsia="zh-CN"/>
                    </w:rPr>
                  </w:pPr>
                  <w:r>
                    <w:rPr>
                      <w:rFonts w:hint="default" w:ascii="Times New Roman" w:hAnsi="Times New Roman" w:cs="Times New Roman"/>
                      <w:bCs/>
                      <w:sz w:val="21"/>
                      <w:szCs w:val="21"/>
                      <w:vertAlign w:val="baseline"/>
                      <w:lang w:val="en-US" w:eastAsia="zh-CN"/>
                    </w:rPr>
                    <w:t>备注</w:t>
                  </w:r>
                </w:p>
              </w:tc>
              <w:tc>
                <w:tcPr>
                  <w:tcW w:w="6810" w:type="dxa"/>
                  <w:gridSpan w:val="6"/>
                  <w:vAlign w:val="center"/>
                </w:tcPr>
                <w:p w14:paraId="085E1B35">
                  <w:pPr>
                    <w:keepNext w:val="0"/>
                    <w:keepLines w:val="0"/>
                    <w:pageBreakBefore w:val="0"/>
                    <w:widowControl w:val="0"/>
                    <w:numPr>
                      <w:ilvl w:val="0"/>
                      <w:numId w:val="5"/>
                    </w:numPr>
                    <w:kinsoku/>
                    <w:wordWrap/>
                    <w:overflowPunct/>
                    <w:topLinePunct w:val="0"/>
                    <w:autoSpaceDE/>
                    <w:autoSpaceDN/>
                    <w:bidi w:val="0"/>
                    <w:adjustRightInd w:val="0"/>
                    <w:snapToGrid w:val="0"/>
                    <w:spacing w:before="60" w:after="60" w:line="240" w:lineRule="auto"/>
                    <w:jc w:val="both"/>
                    <w:textAlignment w:val="auto"/>
                    <w:rPr>
                      <w:rFonts w:hint="default" w:ascii="Times New Roman" w:hAnsi="Times New Roman" w:eastAsia="宋体" w:cs="Times New Roman"/>
                      <w:bCs/>
                      <w:sz w:val="21"/>
                      <w:szCs w:val="21"/>
                      <w:vertAlign w:val="baseline"/>
                    </w:rPr>
                  </w:pPr>
                  <w:r>
                    <w:rPr>
                      <w:rFonts w:hint="default" w:ascii="Times New Roman" w:hAnsi="Times New Roman" w:eastAsia="宋体" w:cs="Times New Roman"/>
                      <w:bCs/>
                      <w:sz w:val="21"/>
                      <w:szCs w:val="21"/>
                      <w:vertAlign w:val="baseline"/>
                    </w:rPr>
                    <w:t>废水检测结果小于检测方法检出限，用“检出限+(L)”表示。</w:t>
                  </w:r>
                </w:p>
                <w:p w14:paraId="1AD8FA97">
                  <w:pPr>
                    <w:keepNext w:val="0"/>
                    <w:keepLines w:val="0"/>
                    <w:pageBreakBefore w:val="0"/>
                    <w:widowControl w:val="0"/>
                    <w:numPr>
                      <w:ilvl w:val="0"/>
                      <w:numId w:val="5"/>
                    </w:numPr>
                    <w:kinsoku/>
                    <w:wordWrap/>
                    <w:overflowPunct/>
                    <w:topLinePunct w:val="0"/>
                    <w:autoSpaceDE/>
                    <w:autoSpaceDN/>
                    <w:bidi w:val="0"/>
                    <w:adjustRightInd w:val="0"/>
                    <w:snapToGrid w:val="0"/>
                    <w:spacing w:before="60" w:after="60" w:line="240" w:lineRule="auto"/>
                    <w:jc w:val="both"/>
                    <w:textAlignment w:val="auto"/>
                    <w:rPr>
                      <w:rFonts w:hint="default" w:ascii="Times New Roman" w:hAnsi="Times New Roman" w:eastAsia="宋体" w:cs="Times New Roman"/>
                      <w:bCs/>
                      <w:sz w:val="21"/>
                      <w:szCs w:val="21"/>
                      <w:vertAlign w:val="baseline"/>
                    </w:rPr>
                  </w:pPr>
                  <w:r>
                    <w:rPr>
                      <w:rFonts w:hint="default" w:ascii="Times New Roman" w:hAnsi="Times New Roman" w:cs="Times New Roman"/>
                      <w:bCs/>
                      <w:sz w:val="21"/>
                      <w:szCs w:val="21"/>
                      <w:vertAlign w:val="baseline"/>
                      <w:lang w:val="en-US" w:eastAsia="zh-CN"/>
                    </w:rPr>
                    <w:t>执行</w:t>
                  </w:r>
                  <w:r>
                    <w:rPr>
                      <w:rFonts w:hint="default" w:ascii="Times New Roman" w:hAnsi="Times New Roman" w:eastAsia="宋体" w:cs="Times New Roman"/>
                      <w:bCs/>
                      <w:sz w:val="21"/>
                      <w:szCs w:val="21"/>
                      <w:vertAlign w:val="baseline"/>
                    </w:rPr>
                    <w:t>《医疗机构水污染物排放标准》(GB18466-2005)表2中预处理标准限值</w:t>
                  </w:r>
                </w:p>
              </w:tc>
            </w:tr>
          </w:tbl>
          <w:p w14:paraId="3EB0E3BB">
            <w:pPr>
              <w:adjustRightInd w:val="0"/>
              <w:snapToGrid w:val="0"/>
              <w:spacing w:line="360" w:lineRule="auto"/>
              <w:jc w:val="center"/>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lang w:val="en-US" w:eastAsia="zh-CN"/>
              </w:rPr>
              <w:t>表2-1</w:t>
            </w:r>
            <w:r>
              <w:rPr>
                <w:rFonts w:hint="eastAsia" w:cs="Times New Roman"/>
                <w:b/>
                <w:bCs w:val="0"/>
                <w:sz w:val="21"/>
                <w:szCs w:val="21"/>
                <w:lang w:val="en-US" w:eastAsia="zh-CN"/>
              </w:rPr>
              <w:t>3</w:t>
            </w:r>
            <w:r>
              <w:rPr>
                <w:rFonts w:hint="default" w:ascii="Times New Roman" w:hAnsi="Times New Roman" w:cs="Times New Roman"/>
                <w:b/>
                <w:bCs w:val="0"/>
                <w:sz w:val="21"/>
                <w:szCs w:val="21"/>
                <w:lang w:val="en-US" w:eastAsia="zh-CN"/>
              </w:rPr>
              <w:t xml:space="preserve"> 环境空气检测结果</w:t>
            </w:r>
          </w:p>
          <w:tbl>
            <w:tblPr>
              <w:tblStyle w:val="25"/>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517"/>
              <w:gridCol w:w="1067"/>
              <w:gridCol w:w="1066"/>
              <w:gridCol w:w="1066"/>
              <w:gridCol w:w="1066"/>
              <w:gridCol w:w="1068"/>
              <w:gridCol w:w="900"/>
              <w:gridCol w:w="664"/>
            </w:tblGrid>
            <w:tr w14:paraId="32123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gridSpan w:val="2"/>
                  <w:vMerge w:val="restart"/>
                  <w:vAlign w:val="center"/>
                </w:tcPr>
                <w:p w14:paraId="3E2CFA2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采样点位</w:t>
                  </w:r>
                </w:p>
              </w:tc>
              <w:tc>
                <w:tcPr>
                  <w:tcW w:w="1067" w:type="dxa"/>
                  <w:vMerge w:val="restart"/>
                  <w:vAlign w:val="center"/>
                </w:tcPr>
                <w:p w14:paraId="4D3F785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检测项目</w:t>
                  </w:r>
                </w:p>
              </w:tc>
              <w:tc>
                <w:tcPr>
                  <w:tcW w:w="4266" w:type="dxa"/>
                  <w:gridSpan w:val="4"/>
                  <w:vAlign w:val="center"/>
                </w:tcPr>
                <w:p w14:paraId="08ED544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检测频次</w:t>
                  </w:r>
                </w:p>
              </w:tc>
              <w:tc>
                <w:tcPr>
                  <w:tcW w:w="900" w:type="dxa"/>
                  <w:vMerge w:val="restart"/>
                  <w:vAlign w:val="center"/>
                </w:tcPr>
                <w:p w14:paraId="54E769C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单位</w:t>
                  </w:r>
                </w:p>
              </w:tc>
              <w:tc>
                <w:tcPr>
                  <w:tcW w:w="664" w:type="dxa"/>
                  <w:vMerge w:val="restart"/>
                  <w:vAlign w:val="center"/>
                </w:tcPr>
                <w:p w14:paraId="16E4D0E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标准限值</w:t>
                  </w:r>
                </w:p>
              </w:tc>
            </w:tr>
            <w:tr w14:paraId="6EDD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gridSpan w:val="2"/>
                  <w:vMerge w:val="continue"/>
                  <w:vAlign w:val="center"/>
                </w:tcPr>
                <w:p w14:paraId="4385315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p>
              </w:tc>
              <w:tc>
                <w:tcPr>
                  <w:tcW w:w="1067" w:type="dxa"/>
                  <w:vMerge w:val="continue"/>
                  <w:vAlign w:val="center"/>
                </w:tcPr>
                <w:p w14:paraId="1EE377F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p>
              </w:tc>
              <w:tc>
                <w:tcPr>
                  <w:tcW w:w="1066" w:type="dxa"/>
                  <w:vAlign w:val="center"/>
                </w:tcPr>
                <w:p w14:paraId="2AA241B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第一次</w:t>
                  </w:r>
                </w:p>
              </w:tc>
              <w:tc>
                <w:tcPr>
                  <w:tcW w:w="1066" w:type="dxa"/>
                  <w:vAlign w:val="center"/>
                </w:tcPr>
                <w:p w14:paraId="77A5CD6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第二次</w:t>
                  </w:r>
                </w:p>
              </w:tc>
              <w:tc>
                <w:tcPr>
                  <w:tcW w:w="1066" w:type="dxa"/>
                  <w:vAlign w:val="center"/>
                </w:tcPr>
                <w:p w14:paraId="4E7270F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第三次</w:t>
                  </w:r>
                </w:p>
              </w:tc>
              <w:tc>
                <w:tcPr>
                  <w:tcW w:w="1068" w:type="dxa"/>
                  <w:vAlign w:val="center"/>
                </w:tcPr>
                <w:p w14:paraId="75E227F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cs="Times New Roman"/>
                      <w:b/>
                      <w:bCs w:val="0"/>
                      <w:sz w:val="21"/>
                      <w:szCs w:val="21"/>
                      <w:vertAlign w:val="baseline"/>
                      <w:lang w:val="en-US" w:eastAsia="zh-CN"/>
                    </w:rPr>
                    <w:t>第四次</w:t>
                  </w:r>
                </w:p>
              </w:tc>
              <w:tc>
                <w:tcPr>
                  <w:tcW w:w="900" w:type="dxa"/>
                  <w:vMerge w:val="continue"/>
                  <w:vAlign w:val="center"/>
                </w:tcPr>
                <w:p w14:paraId="7774D0D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p>
              </w:tc>
              <w:tc>
                <w:tcPr>
                  <w:tcW w:w="664" w:type="dxa"/>
                  <w:vMerge w:val="continue"/>
                  <w:vAlign w:val="center"/>
                </w:tcPr>
                <w:p w14:paraId="6C48E0E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1"/>
                      <w:szCs w:val="21"/>
                      <w:vertAlign w:val="baseline"/>
                      <w:lang w:val="en-US" w:eastAsia="zh-CN"/>
                    </w:rPr>
                  </w:pPr>
                </w:p>
              </w:tc>
            </w:tr>
            <w:tr w14:paraId="7C8A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restart"/>
                  <w:vAlign w:val="center"/>
                </w:tcPr>
                <w:p w14:paraId="62970B0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金鹗山院区总污水站</w:t>
                  </w:r>
                </w:p>
              </w:tc>
              <w:tc>
                <w:tcPr>
                  <w:tcW w:w="517" w:type="dxa"/>
                  <w:vMerge w:val="restart"/>
                  <w:vAlign w:val="center"/>
                </w:tcPr>
                <w:p w14:paraId="192E40A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上风向1</w:t>
                  </w:r>
                </w:p>
              </w:tc>
              <w:tc>
                <w:tcPr>
                  <w:tcW w:w="1067" w:type="dxa"/>
                  <w:vAlign w:val="center"/>
                </w:tcPr>
                <w:p w14:paraId="6DEF551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甲烷</w:t>
                  </w:r>
                </w:p>
              </w:tc>
              <w:tc>
                <w:tcPr>
                  <w:tcW w:w="1066" w:type="dxa"/>
                  <w:vAlign w:val="center"/>
                </w:tcPr>
                <w:p w14:paraId="4C7D175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6" w:type="dxa"/>
                  <w:vAlign w:val="center"/>
                </w:tcPr>
                <w:p w14:paraId="6DCB76D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6" w:type="dxa"/>
                  <w:vAlign w:val="center"/>
                </w:tcPr>
                <w:p w14:paraId="23C3E0A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8" w:type="dxa"/>
                  <w:vAlign w:val="center"/>
                </w:tcPr>
                <w:p w14:paraId="6D879DD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900" w:type="dxa"/>
                  <w:vAlign w:val="center"/>
                </w:tcPr>
                <w:p w14:paraId="66BF260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w:t>
                  </w:r>
                </w:p>
              </w:tc>
              <w:tc>
                <w:tcPr>
                  <w:tcW w:w="664" w:type="dxa"/>
                  <w:vAlign w:val="center"/>
                </w:tcPr>
                <w:p w14:paraId="516982C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w:t>
                  </w:r>
                </w:p>
              </w:tc>
            </w:tr>
            <w:tr w14:paraId="15BD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6804227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3CA5BC1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0605835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臭气浓度</w:t>
                  </w:r>
                </w:p>
              </w:tc>
              <w:tc>
                <w:tcPr>
                  <w:tcW w:w="1066" w:type="dxa"/>
                  <w:vAlign w:val="center"/>
                </w:tcPr>
                <w:p w14:paraId="04B3110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6" w:type="dxa"/>
                  <w:vAlign w:val="center"/>
                </w:tcPr>
                <w:p w14:paraId="5A7D7DC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6" w:type="dxa"/>
                  <w:vAlign w:val="center"/>
                </w:tcPr>
                <w:p w14:paraId="46A055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8" w:type="dxa"/>
                  <w:vAlign w:val="center"/>
                </w:tcPr>
                <w:p w14:paraId="35125DC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900" w:type="dxa"/>
                  <w:vAlign w:val="center"/>
                </w:tcPr>
                <w:p w14:paraId="5AFBE5A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无量纲</w:t>
                  </w:r>
                </w:p>
              </w:tc>
              <w:tc>
                <w:tcPr>
                  <w:tcW w:w="664" w:type="dxa"/>
                  <w:vAlign w:val="center"/>
                </w:tcPr>
                <w:p w14:paraId="331E840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10</w:t>
                  </w:r>
                </w:p>
              </w:tc>
            </w:tr>
            <w:tr w14:paraId="113E3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2E189CD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178F8A1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477552A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氨</w:t>
                  </w:r>
                </w:p>
              </w:tc>
              <w:tc>
                <w:tcPr>
                  <w:tcW w:w="1066" w:type="dxa"/>
                  <w:vAlign w:val="center"/>
                </w:tcPr>
                <w:p w14:paraId="47312C5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0.12</w:t>
                  </w:r>
                </w:p>
              </w:tc>
              <w:tc>
                <w:tcPr>
                  <w:tcW w:w="1066" w:type="dxa"/>
                  <w:vAlign w:val="center"/>
                </w:tcPr>
                <w:p w14:paraId="755BA09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0.12</w:t>
                  </w:r>
                </w:p>
              </w:tc>
              <w:tc>
                <w:tcPr>
                  <w:tcW w:w="1066" w:type="dxa"/>
                  <w:vAlign w:val="center"/>
                </w:tcPr>
                <w:p w14:paraId="3FD2A8A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0.17</w:t>
                  </w:r>
                </w:p>
              </w:tc>
              <w:tc>
                <w:tcPr>
                  <w:tcW w:w="1068" w:type="dxa"/>
                  <w:vAlign w:val="center"/>
                </w:tcPr>
                <w:p w14:paraId="5C0640B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0.17</w:t>
                  </w:r>
                </w:p>
              </w:tc>
              <w:tc>
                <w:tcPr>
                  <w:tcW w:w="900" w:type="dxa"/>
                  <w:vAlign w:val="center"/>
                </w:tcPr>
                <w:p w14:paraId="51DE8C5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15C9E0B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1.0</w:t>
                  </w:r>
                </w:p>
              </w:tc>
            </w:tr>
            <w:tr w14:paraId="2948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26659C1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46415E4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7422372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氯气</w:t>
                  </w:r>
                </w:p>
              </w:tc>
              <w:tc>
                <w:tcPr>
                  <w:tcW w:w="1066" w:type="dxa"/>
                  <w:vAlign w:val="center"/>
                </w:tcPr>
                <w:p w14:paraId="13CFDC0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0.03</w:t>
                  </w:r>
                </w:p>
              </w:tc>
              <w:tc>
                <w:tcPr>
                  <w:tcW w:w="1066" w:type="dxa"/>
                  <w:vAlign w:val="center"/>
                </w:tcPr>
                <w:p w14:paraId="7290AD8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0.05</w:t>
                  </w:r>
                </w:p>
              </w:tc>
              <w:tc>
                <w:tcPr>
                  <w:tcW w:w="1066" w:type="dxa"/>
                  <w:vAlign w:val="center"/>
                </w:tcPr>
                <w:p w14:paraId="3CF472B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0.06</w:t>
                  </w:r>
                </w:p>
              </w:tc>
              <w:tc>
                <w:tcPr>
                  <w:tcW w:w="1068" w:type="dxa"/>
                  <w:vAlign w:val="center"/>
                </w:tcPr>
                <w:p w14:paraId="7111252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0.05</w:t>
                  </w:r>
                </w:p>
              </w:tc>
              <w:tc>
                <w:tcPr>
                  <w:tcW w:w="900" w:type="dxa"/>
                  <w:vAlign w:val="center"/>
                </w:tcPr>
                <w:p w14:paraId="0E4F68B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2142041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w:t>
                  </w:r>
                </w:p>
              </w:tc>
            </w:tr>
            <w:tr w14:paraId="0903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5BFCAED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2630D4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14443AA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硫化氢</w:t>
                  </w:r>
                </w:p>
              </w:tc>
              <w:tc>
                <w:tcPr>
                  <w:tcW w:w="1066" w:type="dxa"/>
                  <w:vAlign w:val="center"/>
                </w:tcPr>
                <w:p w14:paraId="381720E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0.001</w:t>
                  </w:r>
                </w:p>
              </w:tc>
              <w:tc>
                <w:tcPr>
                  <w:tcW w:w="1066" w:type="dxa"/>
                  <w:vAlign w:val="center"/>
                </w:tcPr>
                <w:p w14:paraId="2CCA35C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0.001</w:t>
                  </w:r>
                </w:p>
              </w:tc>
              <w:tc>
                <w:tcPr>
                  <w:tcW w:w="1066" w:type="dxa"/>
                  <w:vAlign w:val="center"/>
                </w:tcPr>
                <w:p w14:paraId="423B4D1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ND</w:t>
                  </w:r>
                </w:p>
              </w:tc>
              <w:tc>
                <w:tcPr>
                  <w:tcW w:w="1068" w:type="dxa"/>
                  <w:vAlign w:val="center"/>
                </w:tcPr>
                <w:p w14:paraId="6F7237F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ND</w:t>
                  </w:r>
                </w:p>
              </w:tc>
              <w:tc>
                <w:tcPr>
                  <w:tcW w:w="900" w:type="dxa"/>
                  <w:vAlign w:val="center"/>
                </w:tcPr>
                <w:p w14:paraId="59C17B2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77FFF49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0.03</w:t>
                  </w:r>
                </w:p>
              </w:tc>
            </w:tr>
            <w:tr w14:paraId="7C4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5206D0E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restart"/>
                  <w:vAlign w:val="center"/>
                </w:tcPr>
                <w:p w14:paraId="5DC31EE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下风向1</w:t>
                  </w:r>
                </w:p>
              </w:tc>
              <w:tc>
                <w:tcPr>
                  <w:tcW w:w="1067" w:type="dxa"/>
                  <w:vAlign w:val="center"/>
                </w:tcPr>
                <w:p w14:paraId="78C969B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甲烷</w:t>
                  </w:r>
                </w:p>
              </w:tc>
              <w:tc>
                <w:tcPr>
                  <w:tcW w:w="1066" w:type="dxa"/>
                  <w:vAlign w:val="center"/>
                </w:tcPr>
                <w:p w14:paraId="342E3C5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6" w:type="dxa"/>
                  <w:vAlign w:val="center"/>
                </w:tcPr>
                <w:p w14:paraId="43334B3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6" w:type="dxa"/>
                  <w:vAlign w:val="center"/>
                </w:tcPr>
                <w:p w14:paraId="672D633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8" w:type="dxa"/>
                  <w:vAlign w:val="center"/>
                </w:tcPr>
                <w:p w14:paraId="6CF6AF8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900" w:type="dxa"/>
                  <w:vAlign w:val="center"/>
                </w:tcPr>
                <w:p w14:paraId="0CBAA3B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w:t>
                  </w:r>
                </w:p>
              </w:tc>
              <w:tc>
                <w:tcPr>
                  <w:tcW w:w="664" w:type="dxa"/>
                  <w:vAlign w:val="center"/>
                </w:tcPr>
                <w:p w14:paraId="1D643B9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w:t>
                  </w:r>
                </w:p>
              </w:tc>
            </w:tr>
            <w:tr w14:paraId="7FCF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75540E6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1406B47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47F8986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臭气浓度</w:t>
                  </w:r>
                </w:p>
              </w:tc>
              <w:tc>
                <w:tcPr>
                  <w:tcW w:w="1066" w:type="dxa"/>
                  <w:vAlign w:val="center"/>
                </w:tcPr>
                <w:p w14:paraId="0ED78D0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6" w:type="dxa"/>
                  <w:vAlign w:val="center"/>
                </w:tcPr>
                <w:p w14:paraId="05B5627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6" w:type="dxa"/>
                  <w:vAlign w:val="center"/>
                </w:tcPr>
                <w:p w14:paraId="6C5712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8" w:type="dxa"/>
                  <w:vAlign w:val="center"/>
                </w:tcPr>
                <w:p w14:paraId="1E60933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900" w:type="dxa"/>
                  <w:vAlign w:val="center"/>
                </w:tcPr>
                <w:p w14:paraId="5DC620A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无量纲</w:t>
                  </w:r>
                </w:p>
              </w:tc>
              <w:tc>
                <w:tcPr>
                  <w:tcW w:w="664" w:type="dxa"/>
                  <w:vAlign w:val="center"/>
                </w:tcPr>
                <w:p w14:paraId="2311985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10</w:t>
                  </w:r>
                </w:p>
              </w:tc>
            </w:tr>
            <w:tr w14:paraId="301A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59EE387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6E96BDC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1BEE2D5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氨</w:t>
                  </w:r>
                </w:p>
              </w:tc>
              <w:tc>
                <w:tcPr>
                  <w:tcW w:w="1066" w:type="dxa"/>
                  <w:vAlign w:val="center"/>
                </w:tcPr>
                <w:p w14:paraId="1B92E05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0.24</w:t>
                  </w:r>
                </w:p>
              </w:tc>
              <w:tc>
                <w:tcPr>
                  <w:tcW w:w="1066" w:type="dxa"/>
                  <w:vAlign w:val="center"/>
                </w:tcPr>
                <w:p w14:paraId="4ADEADF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0.24</w:t>
                  </w:r>
                </w:p>
              </w:tc>
              <w:tc>
                <w:tcPr>
                  <w:tcW w:w="1066" w:type="dxa"/>
                  <w:vAlign w:val="center"/>
                </w:tcPr>
                <w:p w14:paraId="150964B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0.25</w:t>
                  </w:r>
                </w:p>
              </w:tc>
              <w:tc>
                <w:tcPr>
                  <w:tcW w:w="1068" w:type="dxa"/>
                  <w:vAlign w:val="center"/>
                </w:tcPr>
                <w:p w14:paraId="20B7594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0.26</w:t>
                  </w:r>
                </w:p>
              </w:tc>
              <w:tc>
                <w:tcPr>
                  <w:tcW w:w="900" w:type="dxa"/>
                  <w:vAlign w:val="center"/>
                </w:tcPr>
                <w:p w14:paraId="5296ECB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5C2B7ED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1.0</w:t>
                  </w:r>
                </w:p>
              </w:tc>
            </w:tr>
            <w:tr w14:paraId="1420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4389A9E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6B87289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72EF60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氯气</w:t>
                  </w:r>
                </w:p>
              </w:tc>
              <w:tc>
                <w:tcPr>
                  <w:tcW w:w="1066" w:type="dxa"/>
                  <w:vAlign w:val="center"/>
                </w:tcPr>
                <w:p w14:paraId="14BA2C4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0.07</w:t>
                  </w:r>
                </w:p>
              </w:tc>
              <w:tc>
                <w:tcPr>
                  <w:tcW w:w="1066" w:type="dxa"/>
                  <w:vAlign w:val="center"/>
                </w:tcPr>
                <w:p w14:paraId="22878CA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0.09</w:t>
                  </w:r>
                </w:p>
              </w:tc>
              <w:tc>
                <w:tcPr>
                  <w:tcW w:w="1066" w:type="dxa"/>
                  <w:vAlign w:val="center"/>
                </w:tcPr>
                <w:p w14:paraId="51B77D0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0.10</w:t>
                  </w:r>
                </w:p>
              </w:tc>
              <w:tc>
                <w:tcPr>
                  <w:tcW w:w="1068" w:type="dxa"/>
                  <w:vAlign w:val="center"/>
                </w:tcPr>
                <w:p w14:paraId="7C453B9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0.09</w:t>
                  </w:r>
                </w:p>
              </w:tc>
              <w:tc>
                <w:tcPr>
                  <w:tcW w:w="900" w:type="dxa"/>
                  <w:vAlign w:val="center"/>
                </w:tcPr>
                <w:p w14:paraId="704CFB7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5E8D5FB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w:t>
                  </w:r>
                </w:p>
              </w:tc>
            </w:tr>
            <w:tr w14:paraId="240C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1E0A8D7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30F49C9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50B3469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硫化氢</w:t>
                  </w:r>
                </w:p>
              </w:tc>
              <w:tc>
                <w:tcPr>
                  <w:tcW w:w="1066" w:type="dxa"/>
                  <w:vAlign w:val="center"/>
                </w:tcPr>
                <w:p w14:paraId="0C3FA35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0.002</w:t>
                  </w:r>
                </w:p>
              </w:tc>
              <w:tc>
                <w:tcPr>
                  <w:tcW w:w="1066" w:type="dxa"/>
                  <w:vAlign w:val="center"/>
                </w:tcPr>
                <w:p w14:paraId="24E4F29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0.002</w:t>
                  </w:r>
                </w:p>
              </w:tc>
              <w:tc>
                <w:tcPr>
                  <w:tcW w:w="1066" w:type="dxa"/>
                  <w:vAlign w:val="center"/>
                </w:tcPr>
                <w:p w14:paraId="2EC0249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0.002</w:t>
                  </w:r>
                </w:p>
              </w:tc>
              <w:tc>
                <w:tcPr>
                  <w:tcW w:w="1068" w:type="dxa"/>
                  <w:vAlign w:val="center"/>
                </w:tcPr>
                <w:p w14:paraId="38D6CD8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0.002</w:t>
                  </w:r>
                </w:p>
              </w:tc>
              <w:tc>
                <w:tcPr>
                  <w:tcW w:w="900" w:type="dxa"/>
                  <w:vAlign w:val="center"/>
                </w:tcPr>
                <w:p w14:paraId="7E93AAD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1CAA745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0.03</w:t>
                  </w:r>
                </w:p>
              </w:tc>
            </w:tr>
            <w:tr w14:paraId="544F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19440F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restart"/>
                  <w:vAlign w:val="center"/>
                </w:tcPr>
                <w:p w14:paraId="12E3C91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下风向2</w:t>
                  </w:r>
                </w:p>
              </w:tc>
              <w:tc>
                <w:tcPr>
                  <w:tcW w:w="1067" w:type="dxa"/>
                  <w:vAlign w:val="center"/>
                </w:tcPr>
                <w:p w14:paraId="5E6D486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甲烷</w:t>
                  </w:r>
                </w:p>
              </w:tc>
              <w:tc>
                <w:tcPr>
                  <w:tcW w:w="1066" w:type="dxa"/>
                  <w:vAlign w:val="center"/>
                </w:tcPr>
                <w:p w14:paraId="67FFFEA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6" w:type="dxa"/>
                  <w:vAlign w:val="center"/>
                </w:tcPr>
                <w:p w14:paraId="21DDD5E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6" w:type="dxa"/>
                  <w:vAlign w:val="center"/>
                </w:tcPr>
                <w:p w14:paraId="5C7C989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1068" w:type="dxa"/>
                  <w:vAlign w:val="center"/>
                </w:tcPr>
                <w:p w14:paraId="1C90684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1.9×10</w:t>
                  </w:r>
                  <w:r>
                    <w:rPr>
                      <w:rFonts w:hint="default" w:ascii="Times New Roman" w:hAnsi="Times New Roman" w:cs="Times New Roman"/>
                      <w:b w:val="0"/>
                      <w:bCs/>
                      <w:sz w:val="21"/>
                      <w:szCs w:val="21"/>
                      <w:vertAlign w:val="superscript"/>
                      <w:lang w:val="en-US" w:eastAsia="zh-CN"/>
                    </w:rPr>
                    <w:t>-4</w:t>
                  </w:r>
                </w:p>
              </w:tc>
              <w:tc>
                <w:tcPr>
                  <w:tcW w:w="900" w:type="dxa"/>
                  <w:vAlign w:val="center"/>
                </w:tcPr>
                <w:p w14:paraId="2B14473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w:t>
                  </w:r>
                </w:p>
              </w:tc>
              <w:tc>
                <w:tcPr>
                  <w:tcW w:w="664" w:type="dxa"/>
                  <w:vAlign w:val="center"/>
                </w:tcPr>
                <w:p w14:paraId="6F91ADF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w:t>
                  </w:r>
                </w:p>
              </w:tc>
            </w:tr>
            <w:tr w14:paraId="1BAC6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6399AB9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5648D2E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1D43545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臭气浓度</w:t>
                  </w:r>
                </w:p>
              </w:tc>
              <w:tc>
                <w:tcPr>
                  <w:tcW w:w="1066" w:type="dxa"/>
                  <w:vAlign w:val="center"/>
                </w:tcPr>
                <w:p w14:paraId="0507A87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6" w:type="dxa"/>
                  <w:vAlign w:val="center"/>
                </w:tcPr>
                <w:p w14:paraId="67C5841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6" w:type="dxa"/>
                  <w:vAlign w:val="center"/>
                </w:tcPr>
                <w:p w14:paraId="58A7724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1068" w:type="dxa"/>
                  <w:vAlign w:val="center"/>
                </w:tcPr>
                <w:p w14:paraId="04B840F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&lt;10</w:t>
                  </w:r>
                </w:p>
              </w:tc>
              <w:tc>
                <w:tcPr>
                  <w:tcW w:w="900" w:type="dxa"/>
                  <w:vAlign w:val="center"/>
                </w:tcPr>
                <w:p w14:paraId="4914C4C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无量纲</w:t>
                  </w:r>
                </w:p>
              </w:tc>
              <w:tc>
                <w:tcPr>
                  <w:tcW w:w="664" w:type="dxa"/>
                  <w:vAlign w:val="center"/>
                </w:tcPr>
                <w:p w14:paraId="6208C66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10</w:t>
                  </w:r>
                </w:p>
              </w:tc>
            </w:tr>
            <w:tr w14:paraId="461A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06B83EE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01A4F98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1986DC4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氨</w:t>
                  </w:r>
                </w:p>
              </w:tc>
              <w:tc>
                <w:tcPr>
                  <w:tcW w:w="1066" w:type="dxa"/>
                  <w:vAlign w:val="center"/>
                </w:tcPr>
                <w:p w14:paraId="0351BFE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0.16</w:t>
                  </w:r>
                </w:p>
              </w:tc>
              <w:tc>
                <w:tcPr>
                  <w:tcW w:w="1066" w:type="dxa"/>
                  <w:vAlign w:val="center"/>
                </w:tcPr>
                <w:p w14:paraId="1E25DE9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0.16</w:t>
                  </w:r>
                </w:p>
              </w:tc>
              <w:tc>
                <w:tcPr>
                  <w:tcW w:w="1066" w:type="dxa"/>
                  <w:vAlign w:val="center"/>
                </w:tcPr>
                <w:p w14:paraId="572B87A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0.16</w:t>
                  </w:r>
                </w:p>
              </w:tc>
              <w:tc>
                <w:tcPr>
                  <w:tcW w:w="1068" w:type="dxa"/>
                  <w:vAlign w:val="center"/>
                </w:tcPr>
                <w:p w14:paraId="448646E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0.21</w:t>
                  </w:r>
                </w:p>
              </w:tc>
              <w:tc>
                <w:tcPr>
                  <w:tcW w:w="900" w:type="dxa"/>
                  <w:vAlign w:val="center"/>
                </w:tcPr>
                <w:p w14:paraId="7A4F180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63BE3FC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1.0</w:t>
                  </w:r>
                </w:p>
              </w:tc>
            </w:tr>
            <w:tr w14:paraId="3E2B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267E38F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2FFDEF3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3A688FB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氯气</w:t>
                  </w:r>
                </w:p>
              </w:tc>
              <w:tc>
                <w:tcPr>
                  <w:tcW w:w="1066" w:type="dxa"/>
                  <w:vAlign w:val="center"/>
                </w:tcPr>
                <w:p w14:paraId="50D48FE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0.03</w:t>
                  </w:r>
                </w:p>
              </w:tc>
              <w:tc>
                <w:tcPr>
                  <w:tcW w:w="1066" w:type="dxa"/>
                  <w:vAlign w:val="center"/>
                </w:tcPr>
                <w:p w14:paraId="61CF1DD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0.04</w:t>
                  </w:r>
                </w:p>
              </w:tc>
              <w:tc>
                <w:tcPr>
                  <w:tcW w:w="1066" w:type="dxa"/>
                  <w:vAlign w:val="center"/>
                </w:tcPr>
                <w:p w14:paraId="685F828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0.05</w:t>
                  </w:r>
                </w:p>
              </w:tc>
              <w:tc>
                <w:tcPr>
                  <w:tcW w:w="1068" w:type="dxa"/>
                  <w:vAlign w:val="center"/>
                </w:tcPr>
                <w:p w14:paraId="3BEF7DF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0.04</w:t>
                  </w:r>
                </w:p>
              </w:tc>
              <w:tc>
                <w:tcPr>
                  <w:tcW w:w="900" w:type="dxa"/>
                  <w:vAlign w:val="center"/>
                </w:tcPr>
                <w:p w14:paraId="13DBCBD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560A111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0.1</w:t>
                  </w:r>
                </w:p>
              </w:tc>
            </w:tr>
            <w:tr w14:paraId="6362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continue"/>
                  <w:vAlign w:val="center"/>
                </w:tcPr>
                <w:p w14:paraId="276C3D1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517" w:type="dxa"/>
                  <w:vMerge w:val="continue"/>
                  <w:vAlign w:val="center"/>
                </w:tcPr>
                <w:p w14:paraId="5EB6162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p>
              </w:tc>
              <w:tc>
                <w:tcPr>
                  <w:tcW w:w="1067" w:type="dxa"/>
                  <w:vAlign w:val="center"/>
                </w:tcPr>
                <w:p w14:paraId="09FEC0B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硫化氢</w:t>
                  </w:r>
                </w:p>
              </w:tc>
              <w:tc>
                <w:tcPr>
                  <w:tcW w:w="1066" w:type="dxa"/>
                  <w:vAlign w:val="center"/>
                </w:tcPr>
                <w:p w14:paraId="1553C85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0.004</w:t>
                  </w:r>
                </w:p>
              </w:tc>
              <w:tc>
                <w:tcPr>
                  <w:tcW w:w="1066" w:type="dxa"/>
                  <w:vAlign w:val="center"/>
                </w:tcPr>
                <w:p w14:paraId="44F5942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0.003</w:t>
                  </w:r>
                </w:p>
              </w:tc>
              <w:tc>
                <w:tcPr>
                  <w:tcW w:w="1066" w:type="dxa"/>
                  <w:vAlign w:val="center"/>
                </w:tcPr>
                <w:p w14:paraId="597B46B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0.003</w:t>
                  </w:r>
                </w:p>
              </w:tc>
              <w:tc>
                <w:tcPr>
                  <w:tcW w:w="1068" w:type="dxa"/>
                  <w:vAlign w:val="center"/>
                </w:tcPr>
                <w:p w14:paraId="7B00A09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0.002</w:t>
                  </w:r>
                </w:p>
              </w:tc>
              <w:tc>
                <w:tcPr>
                  <w:tcW w:w="900" w:type="dxa"/>
                  <w:vAlign w:val="center"/>
                </w:tcPr>
                <w:p w14:paraId="2D126CF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mg/m</w:t>
                  </w:r>
                  <w:r>
                    <w:rPr>
                      <w:rFonts w:hint="default" w:ascii="Times New Roman" w:hAnsi="Times New Roman" w:cs="Times New Roman"/>
                      <w:b w:val="0"/>
                      <w:bCs/>
                      <w:sz w:val="21"/>
                      <w:szCs w:val="21"/>
                      <w:vertAlign w:val="superscript"/>
                      <w:lang w:val="en-US" w:eastAsia="zh-CN"/>
                    </w:rPr>
                    <w:t>3</w:t>
                  </w:r>
                </w:p>
              </w:tc>
              <w:tc>
                <w:tcPr>
                  <w:tcW w:w="664" w:type="dxa"/>
                  <w:vAlign w:val="center"/>
                </w:tcPr>
                <w:p w14:paraId="674857B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0.03</w:t>
                  </w:r>
                </w:p>
              </w:tc>
            </w:tr>
            <w:tr w14:paraId="33D7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Align w:val="center"/>
                </w:tcPr>
                <w:p w14:paraId="14D9626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备注</w:t>
                  </w:r>
                </w:p>
              </w:tc>
              <w:tc>
                <w:tcPr>
                  <w:tcW w:w="7414" w:type="dxa"/>
                  <w:gridSpan w:val="8"/>
                  <w:vAlign w:val="center"/>
                </w:tcPr>
                <w:p w14:paraId="7B80023A">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jc w:val="both"/>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cs="Times New Roman"/>
                      <w:b w:val="0"/>
                      <w:bCs/>
                      <w:sz w:val="21"/>
                      <w:szCs w:val="21"/>
                      <w:vertAlign w:val="baseline"/>
                      <w:lang w:val="en-US" w:eastAsia="zh-CN"/>
                    </w:rPr>
                    <w:t>1.</w:t>
                  </w:r>
                  <w:r>
                    <w:rPr>
                      <w:rFonts w:hint="default" w:ascii="Times New Roman" w:hAnsi="Times New Roman" w:eastAsia="宋体" w:cs="Times New Roman"/>
                      <w:b w:val="0"/>
                      <w:bCs/>
                      <w:sz w:val="21"/>
                      <w:szCs w:val="21"/>
                      <w:vertAlign w:val="baseline"/>
                      <w:lang w:val="en-US" w:eastAsia="zh-CN"/>
                    </w:rPr>
                    <w:t>检测结果小于检测方法检出限，用“ND”表示。</w:t>
                  </w:r>
                </w:p>
                <w:p w14:paraId="5B24317B">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jc w:val="both"/>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2.臭气浓度检测结果小于检测方法检出限，用“&lt;10”表示。</w:t>
                  </w:r>
                </w:p>
                <w:p w14:paraId="78BB3E0D">
                  <w:pPr>
                    <w:keepNext w:val="0"/>
                    <w:keepLines w:val="0"/>
                    <w:pageBreakBefore w:val="0"/>
                    <w:widowControl w:val="0"/>
                    <w:numPr>
                      <w:ilvl w:val="0"/>
                      <w:numId w:val="0"/>
                    </w:numPr>
                    <w:kinsoku/>
                    <w:wordWrap/>
                    <w:overflowPunct/>
                    <w:topLinePunct w:val="0"/>
                    <w:autoSpaceDE/>
                    <w:autoSpaceDN/>
                    <w:bidi w:val="0"/>
                    <w:adjustRightInd w:val="0"/>
                    <w:snapToGrid w:val="0"/>
                    <w:spacing w:before="60" w:after="60" w:line="240" w:lineRule="auto"/>
                    <w:jc w:val="both"/>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3.气象参数:气温:21.56-27.22°C;气压:101.63-101.81kPa;相对湿度:60%;风速:</w:t>
                  </w:r>
                  <w:r>
                    <w:rPr>
                      <w:rFonts w:hint="default" w:ascii="Times New Roman" w:hAnsi="Times New Roman" w:cs="Times New Roman"/>
                      <w:b w:val="0"/>
                      <w:bCs/>
                      <w:sz w:val="21"/>
                      <w:szCs w:val="21"/>
                      <w:vertAlign w:val="baseline"/>
                      <w:lang w:val="en-US" w:eastAsia="zh-CN"/>
                    </w:rPr>
                    <w:t>1</w:t>
                  </w:r>
                  <w:r>
                    <w:rPr>
                      <w:rFonts w:hint="default" w:ascii="Times New Roman" w:hAnsi="Times New Roman" w:eastAsia="宋体" w:cs="Times New Roman"/>
                      <w:b w:val="0"/>
                      <w:bCs/>
                      <w:sz w:val="21"/>
                      <w:szCs w:val="21"/>
                      <w:vertAlign w:val="baseline"/>
                      <w:lang w:val="en-US" w:eastAsia="zh-CN"/>
                    </w:rPr>
                    <w:t>m</w:t>
                  </w:r>
                  <w:r>
                    <w:rPr>
                      <w:rFonts w:hint="default" w:ascii="Times New Roman" w:hAnsi="Times New Roman" w:cs="Times New Roman"/>
                      <w:b w:val="0"/>
                      <w:bCs/>
                      <w:sz w:val="21"/>
                      <w:szCs w:val="21"/>
                      <w:vertAlign w:val="baseline"/>
                      <w:lang w:val="en-US" w:eastAsia="zh-CN"/>
                    </w:rPr>
                    <w:t>/</w:t>
                  </w:r>
                  <w:r>
                    <w:rPr>
                      <w:rFonts w:hint="default" w:ascii="Times New Roman" w:hAnsi="Times New Roman" w:eastAsia="宋体" w:cs="Times New Roman"/>
                      <w:b w:val="0"/>
                      <w:bCs/>
                      <w:sz w:val="21"/>
                      <w:szCs w:val="21"/>
                      <w:vertAlign w:val="baseline"/>
                      <w:lang w:val="en-US" w:eastAsia="zh-CN"/>
                    </w:rPr>
                    <w:t>s:主导风向:北风;</w:t>
                  </w:r>
                </w:p>
                <w:p w14:paraId="3D898837">
                  <w:pPr>
                    <w:keepNext w:val="0"/>
                    <w:keepLines w:val="0"/>
                    <w:pageBreakBefore w:val="0"/>
                    <w:widowControl w:val="0"/>
                    <w:kinsoku/>
                    <w:wordWrap/>
                    <w:overflowPunct/>
                    <w:topLinePunct w:val="0"/>
                    <w:autoSpaceDE/>
                    <w:autoSpaceDN/>
                    <w:bidi w:val="0"/>
                    <w:adjustRightInd w:val="0"/>
                    <w:snapToGrid w:val="0"/>
                    <w:spacing w:before="60" w:after="60" w:line="240" w:lineRule="auto"/>
                    <w:jc w:val="both"/>
                    <w:textAlignment w:val="auto"/>
                    <w:rPr>
                      <w:rFonts w:hint="default" w:ascii="Times New Roman" w:hAnsi="Times New Roman" w:eastAsia="宋体" w:cs="Times New Roman"/>
                      <w:b w:val="0"/>
                      <w:bCs/>
                      <w:sz w:val="21"/>
                      <w:szCs w:val="21"/>
                      <w:vertAlign w:val="baseline"/>
                      <w:lang w:val="en-US" w:eastAsia="zh-CN"/>
                    </w:rPr>
                  </w:pPr>
                  <w:r>
                    <w:rPr>
                      <w:rFonts w:hint="default" w:ascii="Times New Roman" w:hAnsi="Times New Roman" w:eastAsia="宋体" w:cs="Times New Roman"/>
                      <w:b w:val="0"/>
                      <w:bCs/>
                      <w:sz w:val="21"/>
                      <w:szCs w:val="21"/>
                      <w:vertAlign w:val="baseline"/>
                      <w:lang w:val="en-US" w:eastAsia="zh-CN"/>
                    </w:rPr>
                    <w:t>4.</w:t>
                  </w:r>
                  <w:r>
                    <w:rPr>
                      <w:rFonts w:hint="default" w:ascii="Times New Roman" w:hAnsi="Times New Roman" w:cs="Times New Roman"/>
                      <w:b w:val="0"/>
                      <w:bCs/>
                      <w:sz w:val="21"/>
                      <w:szCs w:val="21"/>
                      <w:vertAlign w:val="baseline"/>
                      <w:lang w:val="en-US" w:eastAsia="zh-CN"/>
                    </w:rPr>
                    <w:t>执行</w:t>
                  </w:r>
                  <w:r>
                    <w:rPr>
                      <w:rFonts w:hint="default" w:ascii="Times New Roman" w:hAnsi="Times New Roman" w:eastAsia="宋体" w:cs="Times New Roman"/>
                      <w:b w:val="0"/>
                      <w:bCs/>
                      <w:sz w:val="21"/>
                      <w:szCs w:val="21"/>
                      <w:vertAlign w:val="baseline"/>
                      <w:lang w:val="en-US" w:eastAsia="zh-CN"/>
                    </w:rPr>
                    <w:t>《医疗机构水污染物排放标准》(GB18466-2005)中表3标准限值</w:t>
                  </w:r>
                </w:p>
              </w:tc>
            </w:tr>
          </w:tbl>
          <w:p w14:paraId="312CAD2E">
            <w:pPr>
              <w:adjustRightInd w:val="0"/>
              <w:snapToGrid w:val="0"/>
              <w:spacing w:line="360" w:lineRule="auto"/>
              <w:jc w:val="center"/>
              <w:rPr>
                <w:rFonts w:hint="default" w:ascii="Times New Roman" w:hAnsi="Times New Roman" w:eastAsia="宋体" w:cs="Times New Roman"/>
                <w:b/>
                <w:bCs w:val="0"/>
                <w:sz w:val="21"/>
                <w:szCs w:val="21"/>
                <w:lang w:val="en-US" w:eastAsia="zh-CN"/>
              </w:rPr>
            </w:pPr>
            <w:r>
              <w:rPr>
                <w:rFonts w:hint="default" w:ascii="Times New Roman" w:hAnsi="Times New Roman" w:cs="Times New Roman"/>
                <w:b/>
                <w:bCs w:val="0"/>
                <w:sz w:val="21"/>
                <w:szCs w:val="21"/>
                <w:lang w:val="en-US" w:eastAsia="zh-CN"/>
              </w:rPr>
              <w:t>表2-1</w:t>
            </w:r>
            <w:r>
              <w:rPr>
                <w:rFonts w:hint="eastAsia" w:cs="Times New Roman"/>
                <w:b/>
                <w:bCs w:val="0"/>
                <w:sz w:val="21"/>
                <w:szCs w:val="21"/>
                <w:lang w:val="en-US" w:eastAsia="zh-CN"/>
              </w:rPr>
              <w:t>4</w:t>
            </w:r>
            <w:r>
              <w:rPr>
                <w:rFonts w:hint="default" w:ascii="Times New Roman" w:hAnsi="Times New Roman" w:cs="Times New Roman"/>
                <w:b/>
                <w:bCs w:val="0"/>
                <w:sz w:val="21"/>
                <w:szCs w:val="21"/>
                <w:lang w:val="en-US" w:eastAsia="zh-CN"/>
              </w:rPr>
              <w:t xml:space="preserve"> 噪声检测结果</w:t>
            </w:r>
          </w:p>
          <w:tbl>
            <w:tblPr>
              <w:tblStyle w:val="25"/>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386"/>
              <w:gridCol w:w="850"/>
              <w:gridCol w:w="683"/>
              <w:gridCol w:w="729"/>
              <w:gridCol w:w="662"/>
              <w:gridCol w:w="726"/>
              <w:gridCol w:w="649"/>
              <w:gridCol w:w="649"/>
              <w:gridCol w:w="649"/>
              <w:gridCol w:w="649"/>
              <w:gridCol w:w="651"/>
            </w:tblGrid>
            <w:tr w14:paraId="1279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gridSpan w:val="2"/>
                  <w:vAlign w:val="center"/>
                </w:tcPr>
                <w:p w14:paraId="63E4726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委托单位</w:t>
                  </w:r>
                </w:p>
              </w:tc>
              <w:tc>
                <w:tcPr>
                  <w:tcW w:w="2262" w:type="dxa"/>
                  <w:gridSpan w:val="3"/>
                  <w:vAlign w:val="center"/>
                </w:tcPr>
                <w:p w14:paraId="4638F57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岳阳市中心医院</w:t>
                  </w:r>
                </w:p>
              </w:tc>
              <w:tc>
                <w:tcPr>
                  <w:tcW w:w="1388" w:type="dxa"/>
                  <w:gridSpan w:val="2"/>
                  <w:vAlign w:val="center"/>
                </w:tcPr>
                <w:p w14:paraId="7171E85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测量时间</w:t>
                  </w:r>
                </w:p>
              </w:tc>
              <w:tc>
                <w:tcPr>
                  <w:tcW w:w="3247" w:type="dxa"/>
                  <w:gridSpan w:val="5"/>
                  <w:vAlign w:val="center"/>
                </w:tcPr>
                <w:p w14:paraId="3EE1BFF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2025年4月1日</w:t>
                  </w:r>
                </w:p>
              </w:tc>
            </w:tr>
            <w:tr w14:paraId="26253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restart"/>
                  <w:vAlign w:val="center"/>
                </w:tcPr>
                <w:p w14:paraId="6F16AE1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测点编号</w:t>
                  </w:r>
                </w:p>
              </w:tc>
              <w:tc>
                <w:tcPr>
                  <w:tcW w:w="386" w:type="dxa"/>
                  <w:vMerge w:val="restart"/>
                  <w:vAlign w:val="center"/>
                </w:tcPr>
                <w:p w14:paraId="42219FC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主要声源</w:t>
                  </w:r>
                </w:p>
              </w:tc>
              <w:tc>
                <w:tcPr>
                  <w:tcW w:w="850" w:type="dxa"/>
                  <w:vMerge w:val="restart"/>
                  <w:vAlign w:val="center"/>
                </w:tcPr>
                <w:p w14:paraId="184F481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时间</w:t>
                  </w:r>
                </w:p>
              </w:tc>
              <w:tc>
                <w:tcPr>
                  <w:tcW w:w="1412" w:type="dxa"/>
                  <w:gridSpan w:val="2"/>
                  <w:vAlign w:val="center"/>
                </w:tcPr>
                <w:p w14:paraId="642E1E9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测量仪器</w:t>
                  </w:r>
                </w:p>
              </w:tc>
              <w:tc>
                <w:tcPr>
                  <w:tcW w:w="1388" w:type="dxa"/>
                  <w:gridSpan w:val="2"/>
                  <w:vAlign w:val="center"/>
                </w:tcPr>
                <w:p w14:paraId="04D706B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校准仪器</w:t>
                  </w:r>
                </w:p>
              </w:tc>
              <w:tc>
                <w:tcPr>
                  <w:tcW w:w="1947" w:type="dxa"/>
                  <w:gridSpan w:val="3"/>
                  <w:vAlign w:val="center"/>
                </w:tcPr>
                <w:p w14:paraId="79A6AC9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仪器校准值dB（A）</w:t>
                  </w:r>
                </w:p>
              </w:tc>
              <w:tc>
                <w:tcPr>
                  <w:tcW w:w="1300" w:type="dxa"/>
                  <w:gridSpan w:val="2"/>
                  <w:vAlign w:val="center"/>
                </w:tcPr>
                <w:p w14:paraId="2252744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LeqdB（A）</w:t>
                  </w:r>
                </w:p>
              </w:tc>
            </w:tr>
            <w:tr w14:paraId="72D6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Merge w:val="continue"/>
                  <w:vAlign w:val="center"/>
                </w:tcPr>
                <w:p w14:paraId="2B0AFEF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rPr>
                  </w:pPr>
                </w:p>
              </w:tc>
              <w:tc>
                <w:tcPr>
                  <w:tcW w:w="386" w:type="dxa"/>
                  <w:vMerge w:val="continue"/>
                  <w:vAlign w:val="center"/>
                </w:tcPr>
                <w:p w14:paraId="293F8E2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rPr>
                  </w:pPr>
                </w:p>
              </w:tc>
              <w:tc>
                <w:tcPr>
                  <w:tcW w:w="850" w:type="dxa"/>
                  <w:vMerge w:val="continue"/>
                  <w:vAlign w:val="center"/>
                </w:tcPr>
                <w:p w14:paraId="6A7FE07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rPr>
                  </w:pPr>
                </w:p>
              </w:tc>
              <w:tc>
                <w:tcPr>
                  <w:tcW w:w="683" w:type="dxa"/>
                  <w:vAlign w:val="center"/>
                </w:tcPr>
                <w:p w14:paraId="171EEFE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型号</w:t>
                  </w:r>
                </w:p>
              </w:tc>
              <w:tc>
                <w:tcPr>
                  <w:tcW w:w="729" w:type="dxa"/>
                  <w:vAlign w:val="center"/>
                </w:tcPr>
                <w:p w14:paraId="7C0062C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编号</w:t>
                  </w:r>
                </w:p>
              </w:tc>
              <w:tc>
                <w:tcPr>
                  <w:tcW w:w="662" w:type="dxa"/>
                  <w:vAlign w:val="center"/>
                </w:tcPr>
                <w:p w14:paraId="4F24F1A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型号</w:t>
                  </w:r>
                </w:p>
              </w:tc>
              <w:tc>
                <w:tcPr>
                  <w:tcW w:w="726" w:type="dxa"/>
                  <w:vAlign w:val="center"/>
                </w:tcPr>
                <w:p w14:paraId="0A210A1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编号</w:t>
                  </w:r>
                </w:p>
              </w:tc>
              <w:tc>
                <w:tcPr>
                  <w:tcW w:w="649" w:type="dxa"/>
                  <w:vAlign w:val="center"/>
                </w:tcPr>
                <w:p w14:paraId="491B873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校准值</w:t>
                  </w:r>
                </w:p>
              </w:tc>
              <w:tc>
                <w:tcPr>
                  <w:tcW w:w="649" w:type="dxa"/>
                  <w:vAlign w:val="center"/>
                </w:tcPr>
                <w:p w14:paraId="7BAA9B9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标准值</w:t>
                  </w:r>
                </w:p>
              </w:tc>
              <w:tc>
                <w:tcPr>
                  <w:tcW w:w="649" w:type="dxa"/>
                  <w:vAlign w:val="center"/>
                </w:tcPr>
                <w:p w14:paraId="734BD1D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校验值</w:t>
                  </w:r>
                </w:p>
              </w:tc>
              <w:tc>
                <w:tcPr>
                  <w:tcW w:w="649" w:type="dxa"/>
                  <w:vAlign w:val="center"/>
                </w:tcPr>
                <w:p w14:paraId="47E716C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测量结果</w:t>
                  </w:r>
                </w:p>
              </w:tc>
              <w:tc>
                <w:tcPr>
                  <w:tcW w:w="651" w:type="dxa"/>
                  <w:vAlign w:val="center"/>
                </w:tcPr>
                <w:p w14:paraId="0962D17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val="0"/>
                      <w:sz w:val="20"/>
                      <w:szCs w:val="20"/>
                      <w:vertAlign w:val="baseline"/>
                      <w:lang w:val="en-US" w:eastAsia="zh-CN"/>
                    </w:rPr>
                  </w:pPr>
                  <w:r>
                    <w:rPr>
                      <w:rFonts w:hint="default" w:ascii="Times New Roman" w:hAnsi="Times New Roman" w:cs="Times New Roman"/>
                      <w:b/>
                      <w:bCs w:val="0"/>
                      <w:sz w:val="20"/>
                      <w:szCs w:val="20"/>
                      <w:vertAlign w:val="baseline"/>
                      <w:lang w:val="en-US" w:eastAsia="zh-CN"/>
                    </w:rPr>
                    <w:t>标准限值</w:t>
                  </w:r>
                </w:p>
              </w:tc>
            </w:tr>
            <w:tr w14:paraId="26E8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062AE6A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1▲东</w:t>
                  </w:r>
                </w:p>
              </w:tc>
              <w:tc>
                <w:tcPr>
                  <w:tcW w:w="386" w:type="dxa"/>
                  <w:vMerge w:val="restart"/>
                  <w:vAlign w:val="center"/>
                </w:tcPr>
                <w:p w14:paraId="4E6C819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设备噪声</w:t>
                  </w:r>
                </w:p>
              </w:tc>
              <w:tc>
                <w:tcPr>
                  <w:tcW w:w="850" w:type="dxa"/>
                  <w:vAlign w:val="center"/>
                </w:tcPr>
                <w:p w14:paraId="194EB97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14:49-15:59</w:t>
                  </w:r>
                </w:p>
              </w:tc>
              <w:tc>
                <w:tcPr>
                  <w:tcW w:w="683" w:type="dxa"/>
                  <w:vAlign w:val="center"/>
                </w:tcPr>
                <w:p w14:paraId="0654F52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AWA6292</w:t>
                  </w:r>
                </w:p>
              </w:tc>
              <w:tc>
                <w:tcPr>
                  <w:tcW w:w="729" w:type="dxa"/>
                  <w:vAlign w:val="center"/>
                </w:tcPr>
                <w:p w14:paraId="65A10B7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2903E2F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368CF09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7CEDCD6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93.8</w:t>
                  </w:r>
                </w:p>
              </w:tc>
              <w:tc>
                <w:tcPr>
                  <w:tcW w:w="649" w:type="dxa"/>
                  <w:vAlign w:val="center"/>
                </w:tcPr>
                <w:p w14:paraId="47CF557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94.0</w:t>
                  </w:r>
                </w:p>
              </w:tc>
              <w:tc>
                <w:tcPr>
                  <w:tcW w:w="649" w:type="dxa"/>
                  <w:vAlign w:val="center"/>
                </w:tcPr>
                <w:p w14:paraId="144D5F2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93.7</w:t>
                  </w:r>
                </w:p>
              </w:tc>
              <w:tc>
                <w:tcPr>
                  <w:tcW w:w="649" w:type="dxa"/>
                  <w:vAlign w:val="center"/>
                </w:tcPr>
                <w:p w14:paraId="205E678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57</w:t>
                  </w:r>
                </w:p>
              </w:tc>
              <w:tc>
                <w:tcPr>
                  <w:tcW w:w="651" w:type="dxa"/>
                  <w:vAlign w:val="center"/>
                </w:tcPr>
                <w:p w14:paraId="3ED2517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eastAsia" w:cs="Times New Roman"/>
                      <w:bCs/>
                      <w:sz w:val="20"/>
                      <w:szCs w:val="20"/>
                      <w:vertAlign w:val="baseline"/>
                      <w:lang w:val="en-US" w:eastAsia="zh-CN"/>
                    </w:rPr>
                    <w:t>60</w:t>
                  </w:r>
                </w:p>
              </w:tc>
            </w:tr>
            <w:tr w14:paraId="181C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1641A4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rPr>
                  </w:pPr>
                  <w:r>
                    <w:rPr>
                      <w:rFonts w:hint="default" w:ascii="Times New Roman" w:hAnsi="Times New Roman" w:cs="Times New Roman"/>
                      <w:bCs/>
                      <w:sz w:val="20"/>
                      <w:szCs w:val="20"/>
                      <w:vertAlign w:val="baseline"/>
                      <w:lang w:val="en-US" w:eastAsia="zh-CN"/>
                    </w:rPr>
                    <w:t>2▲南</w:t>
                  </w:r>
                </w:p>
              </w:tc>
              <w:tc>
                <w:tcPr>
                  <w:tcW w:w="386" w:type="dxa"/>
                  <w:vMerge w:val="continue"/>
                  <w:vAlign w:val="center"/>
                </w:tcPr>
                <w:p w14:paraId="1EE4189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p>
              </w:tc>
              <w:tc>
                <w:tcPr>
                  <w:tcW w:w="850" w:type="dxa"/>
                  <w:vAlign w:val="center"/>
                </w:tcPr>
                <w:p w14:paraId="66B8272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15:10-15:20</w:t>
                  </w:r>
                </w:p>
              </w:tc>
              <w:tc>
                <w:tcPr>
                  <w:tcW w:w="683" w:type="dxa"/>
                  <w:vAlign w:val="center"/>
                </w:tcPr>
                <w:p w14:paraId="6541C2E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AWA6292</w:t>
                  </w:r>
                </w:p>
              </w:tc>
              <w:tc>
                <w:tcPr>
                  <w:tcW w:w="729" w:type="dxa"/>
                  <w:vAlign w:val="center"/>
                </w:tcPr>
                <w:p w14:paraId="13064BC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6EA95FF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7488378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300D184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93.8</w:t>
                  </w:r>
                </w:p>
              </w:tc>
              <w:tc>
                <w:tcPr>
                  <w:tcW w:w="649" w:type="dxa"/>
                  <w:vAlign w:val="center"/>
                </w:tcPr>
                <w:p w14:paraId="1E41B8A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94.0</w:t>
                  </w:r>
                </w:p>
              </w:tc>
              <w:tc>
                <w:tcPr>
                  <w:tcW w:w="649" w:type="dxa"/>
                  <w:vAlign w:val="center"/>
                </w:tcPr>
                <w:p w14:paraId="36A12F3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93.9</w:t>
                  </w:r>
                </w:p>
              </w:tc>
              <w:tc>
                <w:tcPr>
                  <w:tcW w:w="649" w:type="dxa"/>
                  <w:vAlign w:val="center"/>
                </w:tcPr>
                <w:p w14:paraId="4E44F62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52</w:t>
                  </w:r>
                </w:p>
              </w:tc>
              <w:tc>
                <w:tcPr>
                  <w:tcW w:w="651" w:type="dxa"/>
                  <w:vAlign w:val="center"/>
                </w:tcPr>
                <w:p w14:paraId="1F1FDE9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60</w:t>
                  </w:r>
                </w:p>
              </w:tc>
            </w:tr>
            <w:tr w14:paraId="2702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57333B4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rPr>
                  </w:pPr>
                  <w:r>
                    <w:rPr>
                      <w:rFonts w:hint="default" w:ascii="Times New Roman" w:hAnsi="Times New Roman" w:cs="Times New Roman"/>
                      <w:bCs/>
                      <w:sz w:val="20"/>
                      <w:szCs w:val="20"/>
                      <w:vertAlign w:val="baseline"/>
                      <w:lang w:val="en-US" w:eastAsia="zh-CN"/>
                    </w:rPr>
                    <w:t>3▲西</w:t>
                  </w:r>
                </w:p>
              </w:tc>
              <w:tc>
                <w:tcPr>
                  <w:tcW w:w="386" w:type="dxa"/>
                  <w:vMerge w:val="continue"/>
                  <w:vAlign w:val="center"/>
                </w:tcPr>
                <w:p w14:paraId="40CB699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p>
              </w:tc>
              <w:tc>
                <w:tcPr>
                  <w:tcW w:w="850" w:type="dxa"/>
                  <w:vAlign w:val="center"/>
                </w:tcPr>
                <w:p w14:paraId="48BD10C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15:02-15:12</w:t>
                  </w:r>
                </w:p>
              </w:tc>
              <w:tc>
                <w:tcPr>
                  <w:tcW w:w="683" w:type="dxa"/>
                  <w:vAlign w:val="center"/>
                </w:tcPr>
                <w:p w14:paraId="09B5F4B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AWA6292</w:t>
                  </w:r>
                </w:p>
              </w:tc>
              <w:tc>
                <w:tcPr>
                  <w:tcW w:w="729" w:type="dxa"/>
                  <w:vAlign w:val="center"/>
                </w:tcPr>
                <w:p w14:paraId="71EE315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7E29CDD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6BA6F39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183E18A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93.8</w:t>
                  </w:r>
                </w:p>
              </w:tc>
              <w:tc>
                <w:tcPr>
                  <w:tcW w:w="649" w:type="dxa"/>
                  <w:vAlign w:val="center"/>
                </w:tcPr>
                <w:p w14:paraId="315E366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94.0</w:t>
                  </w:r>
                </w:p>
              </w:tc>
              <w:tc>
                <w:tcPr>
                  <w:tcW w:w="649" w:type="dxa"/>
                  <w:vAlign w:val="center"/>
                </w:tcPr>
                <w:p w14:paraId="271B2F2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93.9</w:t>
                  </w:r>
                </w:p>
              </w:tc>
              <w:tc>
                <w:tcPr>
                  <w:tcW w:w="649" w:type="dxa"/>
                  <w:vAlign w:val="center"/>
                </w:tcPr>
                <w:p w14:paraId="3C50AF2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54</w:t>
                  </w:r>
                </w:p>
              </w:tc>
              <w:tc>
                <w:tcPr>
                  <w:tcW w:w="651" w:type="dxa"/>
                  <w:vAlign w:val="center"/>
                </w:tcPr>
                <w:p w14:paraId="043FAAC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60</w:t>
                  </w:r>
                </w:p>
              </w:tc>
            </w:tr>
            <w:tr w14:paraId="378C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700484A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rPr>
                  </w:pPr>
                  <w:r>
                    <w:rPr>
                      <w:rFonts w:hint="default" w:ascii="Times New Roman" w:hAnsi="Times New Roman" w:cs="Times New Roman"/>
                      <w:bCs/>
                      <w:sz w:val="20"/>
                      <w:szCs w:val="20"/>
                      <w:vertAlign w:val="baseline"/>
                      <w:lang w:val="en-US" w:eastAsia="zh-CN"/>
                    </w:rPr>
                    <w:t>4▲北</w:t>
                  </w:r>
                </w:p>
              </w:tc>
              <w:tc>
                <w:tcPr>
                  <w:tcW w:w="386" w:type="dxa"/>
                  <w:vMerge w:val="continue"/>
                  <w:vAlign w:val="center"/>
                </w:tcPr>
                <w:p w14:paraId="1B4F9E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p>
              </w:tc>
              <w:tc>
                <w:tcPr>
                  <w:tcW w:w="850" w:type="dxa"/>
                  <w:vAlign w:val="center"/>
                </w:tcPr>
                <w:p w14:paraId="7216A9E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14:57-15:07</w:t>
                  </w:r>
                </w:p>
              </w:tc>
              <w:tc>
                <w:tcPr>
                  <w:tcW w:w="683" w:type="dxa"/>
                  <w:vAlign w:val="center"/>
                </w:tcPr>
                <w:p w14:paraId="01C8670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AWA6292</w:t>
                  </w:r>
                </w:p>
              </w:tc>
              <w:tc>
                <w:tcPr>
                  <w:tcW w:w="729" w:type="dxa"/>
                  <w:vAlign w:val="center"/>
                </w:tcPr>
                <w:p w14:paraId="5B288B7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4B0040D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1564223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0CA828E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93.8</w:t>
                  </w:r>
                </w:p>
              </w:tc>
              <w:tc>
                <w:tcPr>
                  <w:tcW w:w="649" w:type="dxa"/>
                  <w:vAlign w:val="center"/>
                </w:tcPr>
                <w:p w14:paraId="4C70EB9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94.0</w:t>
                  </w:r>
                </w:p>
              </w:tc>
              <w:tc>
                <w:tcPr>
                  <w:tcW w:w="649" w:type="dxa"/>
                  <w:vAlign w:val="center"/>
                </w:tcPr>
                <w:p w14:paraId="610161A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93.8</w:t>
                  </w:r>
                </w:p>
              </w:tc>
              <w:tc>
                <w:tcPr>
                  <w:tcW w:w="649" w:type="dxa"/>
                  <w:vAlign w:val="center"/>
                </w:tcPr>
                <w:p w14:paraId="44E5B9B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54</w:t>
                  </w:r>
                </w:p>
              </w:tc>
              <w:tc>
                <w:tcPr>
                  <w:tcW w:w="651" w:type="dxa"/>
                  <w:vAlign w:val="center"/>
                </w:tcPr>
                <w:p w14:paraId="4BD0B15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60</w:t>
                  </w:r>
                </w:p>
              </w:tc>
            </w:tr>
            <w:tr w14:paraId="5F06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797BF64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1▲东</w:t>
                  </w:r>
                </w:p>
              </w:tc>
              <w:tc>
                <w:tcPr>
                  <w:tcW w:w="386" w:type="dxa"/>
                  <w:vMerge w:val="continue"/>
                  <w:vAlign w:val="center"/>
                </w:tcPr>
                <w:p w14:paraId="40B3423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p>
              </w:tc>
              <w:tc>
                <w:tcPr>
                  <w:tcW w:w="850" w:type="dxa"/>
                  <w:vAlign w:val="center"/>
                </w:tcPr>
                <w:p w14:paraId="793B331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23:04-23:14</w:t>
                  </w:r>
                </w:p>
              </w:tc>
              <w:tc>
                <w:tcPr>
                  <w:tcW w:w="683" w:type="dxa"/>
                  <w:vAlign w:val="center"/>
                </w:tcPr>
                <w:p w14:paraId="38E89ED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AWA6292</w:t>
                  </w:r>
                </w:p>
              </w:tc>
              <w:tc>
                <w:tcPr>
                  <w:tcW w:w="729" w:type="dxa"/>
                  <w:vAlign w:val="center"/>
                </w:tcPr>
                <w:p w14:paraId="46AD87D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30D0600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6BC2EA3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3CA8E4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93.8</w:t>
                  </w:r>
                </w:p>
              </w:tc>
              <w:tc>
                <w:tcPr>
                  <w:tcW w:w="649" w:type="dxa"/>
                  <w:vAlign w:val="center"/>
                </w:tcPr>
                <w:p w14:paraId="3EE5197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94.0</w:t>
                  </w:r>
                </w:p>
              </w:tc>
              <w:tc>
                <w:tcPr>
                  <w:tcW w:w="649" w:type="dxa"/>
                  <w:vAlign w:val="center"/>
                </w:tcPr>
                <w:p w14:paraId="71B3338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93.7</w:t>
                  </w:r>
                </w:p>
              </w:tc>
              <w:tc>
                <w:tcPr>
                  <w:tcW w:w="649" w:type="dxa"/>
                  <w:vAlign w:val="center"/>
                </w:tcPr>
                <w:p w14:paraId="42867CC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46</w:t>
                  </w:r>
                </w:p>
              </w:tc>
              <w:tc>
                <w:tcPr>
                  <w:tcW w:w="651" w:type="dxa"/>
                  <w:vAlign w:val="center"/>
                </w:tcPr>
                <w:p w14:paraId="5AEB893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eastAsia" w:cs="Times New Roman"/>
                      <w:bCs/>
                      <w:sz w:val="20"/>
                      <w:szCs w:val="20"/>
                      <w:vertAlign w:val="baseline"/>
                      <w:lang w:val="en-US" w:eastAsia="zh-CN"/>
                    </w:rPr>
                    <w:t>50</w:t>
                  </w:r>
                </w:p>
              </w:tc>
            </w:tr>
            <w:tr w14:paraId="77E5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1F291BF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2▲南</w:t>
                  </w:r>
                </w:p>
              </w:tc>
              <w:tc>
                <w:tcPr>
                  <w:tcW w:w="386" w:type="dxa"/>
                  <w:vMerge w:val="continue"/>
                  <w:vAlign w:val="center"/>
                </w:tcPr>
                <w:p w14:paraId="58D03D2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p>
              </w:tc>
              <w:tc>
                <w:tcPr>
                  <w:tcW w:w="850" w:type="dxa"/>
                  <w:vAlign w:val="center"/>
                </w:tcPr>
                <w:p w14:paraId="7836B6F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23:39-23:49</w:t>
                  </w:r>
                </w:p>
              </w:tc>
              <w:tc>
                <w:tcPr>
                  <w:tcW w:w="683" w:type="dxa"/>
                  <w:vAlign w:val="center"/>
                </w:tcPr>
                <w:p w14:paraId="7A044CF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AWA6292</w:t>
                  </w:r>
                </w:p>
              </w:tc>
              <w:tc>
                <w:tcPr>
                  <w:tcW w:w="729" w:type="dxa"/>
                  <w:vAlign w:val="center"/>
                </w:tcPr>
                <w:p w14:paraId="43A202D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0F02A9F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1EA8D2E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68749CB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93.8</w:t>
                  </w:r>
                </w:p>
              </w:tc>
              <w:tc>
                <w:tcPr>
                  <w:tcW w:w="649" w:type="dxa"/>
                  <w:vAlign w:val="center"/>
                </w:tcPr>
                <w:p w14:paraId="78D863D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94.0</w:t>
                  </w:r>
                </w:p>
              </w:tc>
              <w:tc>
                <w:tcPr>
                  <w:tcW w:w="649" w:type="dxa"/>
                  <w:vAlign w:val="center"/>
                </w:tcPr>
                <w:p w14:paraId="58BF1F9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93.9</w:t>
                  </w:r>
                </w:p>
              </w:tc>
              <w:tc>
                <w:tcPr>
                  <w:tcW w:w="649" w:type="dxa"/>
                  <w:vAlign w:val="center"/>
                </w:tcPr>
                <w:p w14:paraId="4E3D161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49</w:t>
                  </w:r>
                </w:p>
              </w:tc>
              <w:tc>
                <w:tcPr>
                  <w:tcW w:w="651" w:type="dxa"/>
                  <w:vAlign w:val="center"/>
                </w:tcPr>
                <w:p w14:paraId="6CFBA5F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50</w:t>
                  </w:r>
                </w:p>
              </w:tc>
            </w:tr>
            <w:tr w14:paraId="74C5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74E097E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3▲西</w:t>
                  </w:r>
                </w:p>
              </w:tc>
              <w:tc>
                <w:tcPr>
                  <w:tcW w:w="386" w:type="dxa"/>
                  <w:vMerge w:val="continue"/>
                  <w:vAlign w:val="center"/>
                </w:tcPr>
                <w:p w14:paraId="2B3E072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p>
              </w:tc>
              <w:tc>
                <w:tcPr>
                  <w:tcW w:w="850" w:type="dxa"/>
                  <w:vAlign w:val="center"/>
                </w:tcPr>
                <w:p w14:paraId="2854BE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23:18-23:28</w:t>
                  </w:r>
                </w:p>
              </w:tc>
              <w:tc>
                <w:tcPr>
                  <w:tcW w:w="683" w:type="dxa"/>
                  <w:vAlign w:val="center"/>
                </w:tcPr>
                <w:p w14:paraId="2D5A738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AWA6292</w:t>
                  </w:r>
                </w:p>
              </w:tc>
              <w:tc>
                <w:tcPr>
                  <w:tcW w:w="729" w:type="dxa"/>
                  <w:vAlign w:val="center"/>
                </w:tcPr>
                <w:p w14:paraId="4D25326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5502ACA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0383503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5707624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93.8</w:t>
                  </w:r>
                </w:p>
              </w:tc>
              <w:tc>
                <w:tcPr>
                  <w:tcW w:w="649" w:type="dxa"/>
                  <w:vAlign w:val="center"/>
                </w:tcPr>
                <w:p w14:paraId="2164E58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94.0</w:t>
                  </w:r>
                </w:p>
              </w:tc>
              <w:tc>
                <w:tcPr>
                  <w:tcW w:w="649" w:type="dxa"/>
                  <w:vAlign w:val="center"/>
                </w:tcPr>
                <w:p w14:paraId="33EA328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93.7</w:t>
                  </w:r>
                </w:p>
              </w:tc>
              <w:tc>
                <w:tcPr>
                  <w:tcW w:w="649" w:type="dxa"/>
                  <w:vAlign w:val="center"/>
                </w:tcPr>
                <w:p w14:paraId="2DD730E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49</w:t>
                  </w:r>
                </w:p>
              </w:tc>
              <w:tc>
                <w:tcPr>
                  <w:tcW w:w="651" w:type="dxa"/>
                  <w:vAlign w:val="center"/>
                </w:tcPr>
                <w:p w14:paraId="780A8F5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50</w:t>
                  </w:r>
                </w:p>
              </w:tc>
            </w:tr>
            <w:tr w14:paraId="2910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120A653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4▲北</w:t>
                  </w:r>
                </w:p>
              </w:tc>
              <w:tc>
                <w:tcPr>
                  <w:tcW w:w="386" w:type="dxa"/>
                  <w:vMerge w:val="continue"/>
                  <w:vAlign w:val="center"/>
                </w:tcPr>
                <w:p w14:paraId="23AF1EA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p>
              </w:tc>
              <w:tc>
                <w:tcPr>
                  <w:tcW w:w="850" w:type="dxa"/>
                  <w:vAlign w:val="center"/>
                </w:tcPr>
                <w:p w14:paraId="694B3FD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23:10-23:20</w:t>
                  </w:r>
                </w:p>
              </w:tc>
              <w:tc>
                <w:tcPr>
                  <w:tcW w:w="683" w:type="dxa"/>
                  <w:vAlign w:val="center"/>
                </w:tcPr>
                <w:p w14:paraId="59979E0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AWA6292</w:t>
                  </w:r>
                </w:p>
              </w:tc>
              <w:tc>
                <w:tcPr>
                  <w:tcW w:w="729" w:type="dxa"/>
                  <w:vAlign w:val="center"/>
                </w:tcPr>
                <w:p w14:paraId="7E8D244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WKJC-HFYQ-243</w:t>
                  </w:r>
                </w:p>
              </w:tc>
              <w:tc>
                <w:tcPr>
                  <w:tcW w:w="662" w:type="dxa"/>
                  <w:vAlign w:val="center"/>
                </w:tcPr>
                <w:p w14:paraId="376F4B9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AWA6021A</w:t>
                  </w:r>
                </w:p>
              </w:tc>
              <w:tc>
                <w:tcPr>
                  <w:tcW w:w="726" w:type="dxa"/>
                  <w:vAlign w:val="center"/>
                </w:tcPr>
                <w:p w14:paraId="4BAD93B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WKJC-HFYQ-253</w:t>
                  </w:r>
                </w:p>
              </w:tc>
              <w:tc>
                <w:tcPr>
                  <w:tcW w:w="649" w:type="dxa"/>
                  <w:vAlign w:val="center"/>
                </w:tcPr>
                <w:p w14:paraId="74969C1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93.8</w:t>
                  </w:r>
                </w:p>
              </w:tc>
              <w:tc>
                <w:tcPr>
                  <w:tcW w:w="649" w:type="dxa"/>
                  <w:vAlign w:val="center"/>
                </w:tcPr>
                <w:p w14:paraId="3728A81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rPr>
                  </w:pPr>
                  <w:r>
                    <w:rPr>
                      <w:rFonts w:hint="default" w:ascii="Times New Roman" w:hAnsi="Times New Roman" w:cs="Times New Roman"/>
                      <w:bCs/>
                      <w:sz w:val="20"/>
                      <w:szCs w:val="20"/>
                      <w:vertAlign w:val="baseline"/>
                      <w:lang w:val="en-US" w:eastAsia="zh-CN"/>
                    </w:rPr>
                    <w:t>94.0</w:t>
                  </w:r>
                </w:p>
              </w:tc>
              <w:tc>
                <w:tcPr>
                  <w:tcW w:w="649" w:type="dxa"/>
                  <w:vAlign w:val="center"/>
                </w:tcPr>
                <w:p w14:paraId="3E270B3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93.9</w:t>
                  </w:r>
                </w:p>
              </w:tc>
              <w:tc>
                <w:tcPr>
                  <w:tcW w:w="649" w:type="dxa"/>
                  <w:vAlign w:val="center"/>
                </w:tcPr>
                <w:p w14:paraId="5DDD95A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48</w:t>
                  </w:r>
                </w:p>
              </w:tc>
              <w:tc>
                <w:tcPr>
                  <w:tcW w:w="651" w:type="dxa"/>
                  <w:vAlign w:val="center"/>
                </w:tcPr>
                <w:p w14:paraId="28235EE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50</w:t>
                  </w:r>
                </w:p>
              </w:tc>
            </w:tr>
            <w:tr w14:paraId="573F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vAlign w:val="center"/>
                </w:tcPr>
                <w:p w14:paraId="263A07D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备注</w:t>
                  </w:r>
                </w:p>
              </w:tc>
              <w:tc>
                <w:tcPr>
                  <w:tcW w:w="7283" w:type="dxa"/>
                  <w:gridSpan w:val="11"/>
                  <w:vAlign w:val="center"/>
                </w:tcPr>
                <w:p w14:paraId="3682EE8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Cs/>
                      <w:sz w:val="20"/>
                      <w:szCs w:val="20"/>
                      <w:vertAlign w:val="baseline"/>
                      <w:lang w:val="en-US" w:eastAsia="zh-CN"/>
                    </w:rPr>
                  </w:pPr>
                  <w:r>
                    <w:rPr>
                      <w:rFonts w:hint="default" w:ascii="Times New Roman" w:hAnsi="Times New Roman" w:cs="Times New Roman"/>
                      <w:bCs/>
                      <w:sz w:val="20"/>
                      <w:szCs w:val="20"/>
                      <w:vertAlign w:val="baseline"/>
                      <w:lang w:val="en-US" w:eastAsia="zh-CN"/>
                    </w:rPr>
                    <w:t>执行《工业企业厂界环境噪声排放标准》（GB12348-2008）表1中2类标准</w:t>
                  </w:r>
                </w:p>
              </w:tc>
            </w:tr>
          </w:tbl>
          <w:p w14:paraId="6128CB88">
            <w:pPr>
              <w:adjustRightInd w:val="0"/>
              <w:snapToGrid w:val="0"/>
              <w:spacing w:line="360" w:lineRule="auto"/>
              <w:ind w:firstLine="420"/>
              <w:rPr>
                <w:rFonts w:hint="default" w:ascii="Times New Roman" w:hAnsi="Times New Roman" w:cs="Times New Roman"/>
                <w:color w:val="auto"/>
                <w:kern w:val="0"/>
                <w:sz w:val="24"/>
                <w:szCs w:val="24"/>
                <w:u w:val="none"/>
                <w:lang w:val="en-US" w:eastAsia="zh-CN"/>
              </w:rPr>
            </w:pPr>
            <w:r>
              <w:rPr>
                <w:rFonts w:hint="eastAsia" w:ascii="Times New Roman" w:hAnsi="Times New Roman" w:cs="Times New Roman"/>
                <w:bCs/>
                <w:sz w:val="24"/>
                <w:szCs w:val="24"/>
                <w:lang w:val="en-US" w:eastAsia="zh-CN"/>
              </w:rPr>
              <w:t>由</w:t>
            </w:r>
            <w:r>
              <w:rPr>
                <w:rFonts w:hint="default" w:ascii="Times New Roman" w:hAnsi="Times New Roman" w:cs="Times New Roman"/>
                <w:bCs/>
                <w:sz w:val="24"/>
                <w:szCs w:val="24"/>
                <w:lang w:val="en-US" w:eastAsia="zh-CN"/>
              </w:rPr>
              <w:t>上述各表可知，</w:t>
            </w:r>
            <w:r>
              <w:rPr>
                <w:rFonts w:hint="default" w:ascii="Times New Roman" w:hAnsi="Times New Roman" w:cs="Times New Roman"/>
                <w:kern w:val="0"/>
                <w:sz w:val="24"/>
                <w:szCs w:val="24"/>
                <w:u w:val="none"/>
                <w:lang w:val="en-US" w:eastAsia="zh-CN"/>
              </w:rPr>
              <w:t>岳阳市中心医院金鹗山院区各项污防设施运行情况稳定，</w:t>
            </w:r>
            <w:r>
              <w:rPr>
                <w:rFonts w:hint="default" w:ascii="Times New Roman" w:hAnsi="Times New Roman" w:cs="Times New Roman"/>
                <w:color w:val="auto"/>
                <w:kern w:val="0"/>
                <w:sz w:val="24"/>
                <w:szCs w:val="24"/>
                <w:u w:val="none"/>
                <w:lang w:val="en-US" w:eastAsia="zh-CN"/>
              </w:rPr>
              <w:t>污染物达标排放，无环境污染问题。</w:t>
            </w:r>
          </w:p>
          <w:p w14:paraId="0A0DC102">
            <w:pPr>
              <w:adjustRightInd w:val="0"/>
              <w:snapToGrid w:val="0"/>
              <w:spacing w:line="360" w:lineRule="auto"/>
              <w:ind w:firstLine="420"/>
              <w:rPr>
                <w:rFonts w:hint="default" w:ascii="Times New Roman" w:hAnsi="Times New Roman" w:eastAsia="宋体" w:cs="Times New Roman"/>
                <w:bCs/>
                <w:color w:val="auto"/>
                <w:sz w:val="24"/>
                <w:szCs w:val="24"/>
                <w:lang w:val="en-US" w:eastAsia="zh-CN"/>
              </w:rPr>
            </w:pPr>
            <w:r>
              <w:rPr>
                <w:rFonts w:hint="default" w:ascii="Times New Roman" w:hAnsi="Times New Roman" w:cs="Times New Roman"/>
                <w:color w:val="auto"/>
                <w:kern w:val="0"/>
                <w:sz w:val="24"/>
                <w:szCs w:val="24"/>
                <w:u w:val="none"/>
                <w:lang w:val="en-US" w:eastAsia="zh-CN"/>
              </w:rPr>
              <w:t>岳阳市中心医院金鹗山院区运营期间遗留的以及搬迁期间产生的各项污染物由金鹗山院区负责妥善处置。在该院搬迁的过程中，岳阳市中心医院金鹗山院区始终保持着各污防设施正常运行，该院搬迁完成后岳阳楼区人民医院委托了专业运维机构完成了现有环保设施的交接运维工作，确保本项目搬迁完成后各污防设施能够正常、稳定的运行。</w:t>
            </w:r>
          </w:p>
          <w:p w14:paraId="6B15F60E">
            <w:pPr>
              <w:adjustRightInd w:val="0"/>
              <w:snapToGrid w:val="0"/>
              <w:spacing w:line="360" w:lineRule="auto"/>
              <w:rPr>
                <w:rFonts w:hint="default" w:ascii="Times New Roman" w:hAnsi="Times New Roman" w:eastAsia="宋体" w:cs="Times New Roman"/>
                <w:b/>
                <w:bCs w:val="0"/>
                <w:sz w:val="24"/>
                <w:szCs w:val="24"/>
                <w:lang w:val="en-US" w:eastAsia="zh-CN"/>
              </w:rPr>
            </w:pPr>
            <w:r>
              <w:rPr>
                <w:rFonts w:hint="default" w:ascii="Times New Roman" w:hAnsi="Times New Roman" w:cs="Times New Roman"/>
                <w:b/>
                <w:bCs w:val="0"/>
                <w:sz w:val="24"/>
                <w:szCs w:val="24"/>
                <w:lang w:val="en-US" w:eastAsia="zh-CN"/>
              </w:rPr>
              <w:t>4、项目依托的环保设施主要存在问题：</w:t>
            </w:r>
          </w:p>
          <w:p w14:paraId="2E134361">
            <w:pPr>
              <w:numPr>
                <w:ilvl w:val="0"/>
                <w:numId w:val="0"/>
              </w:numPr>
              <w:adjustRightInd w:val="0"/>
              <w:snapToGrid w:val="0"/>
              <w:spacing w:line="360" w:lineRule="auto"/>
              <w:ind w:firstLine="480" w:firstLineChars="200"/>
              <w:rPr>
                <w:rFonts w:hint="default" w:ascii="Times New Roman" w:hAnsi="Times New Roman" w:cs="Times New Roman"/>
                <w:bCs/>
                <w:sz w:val="24"/>
                <w:szCs w:val="24"/>
                <w:lang w:val="en-US" w:eastAsia="zh-CN"/>
              </w:rPr>
            </w:pPr>
            <w:r>
              <w:rPr>
                <w:rFonts w:hint="default" w:ascii="Times New Roman" w:hAnsi="Times New Roman" w:cs="Times New Roman"/>
                <w:bCs/>
                <w:sz w:val="24"/>
                <w:szCs w:val="24"/>
                <w:lang w:val="en-US" w:eastAsia="zh-CN"/>
              </w:rPr>
              <w:t>1、油烟净化器排气筒出口段长度较短，无法设置符合标准的采样孔，建议延长出口段排气管道，以设置符合《排污单位污染物排放口监测点位设置技术规范》（HJ 1405-2024）相关要求的采样孔；</w:t>
            </w:r>
          </w:p>
          <w:p w14:paraId="5EB1259A">
            <w:pPr>
              <w:numPr>
                <w:ilvl w:val="0"/>
                <w:numId w:val="0"/>
              </w:numPr>
              <w:adjustRightInd w:val="0"/>
              <w:snapToGrid w:val="0"/>
              <w:spacing w:line="360" w:lineRule="auto"/>
              <w:ind w:firstLine="420"/>
              <w:rPr>
                <w:rFonts w:hint="default" w:ascii="Times New Roman" w:hAnsi="Times New Roman" w:cs="Times New Roman"/>
                <w:bCs/>
                <w:sz w:val="24"/>
                <w:szCs w:val="24"/>
                <w:lang w:val="en-US" w:eastAsia="zh-CN"/>
              </w:rPr>
            </w:pPr>
            <w:r>
              <w:rPr>
                <w:rFonts w:hint="default" w:ascii="Times New Roman" w:hAnsi="Times New Roman" w:cs="Times New Roman"/>
                <w:bCs/>
                <w:sz w:val="24"/>
                <w:szCs w:val="24"/>
                <w:lang w:val="en-US" w:eastAsia="zh-CN"/>
              </w:rPr>
              <w:t>2、天然气锅炉排气筒采</w:t>
            </w:r>
            <w:r>
              <w:rPr>
                <w:rFonts w:hint="default" w:ascii="Times New Roman" w:hAnsi="Times New Roman" w:cs="Times New Roman"/>
                <w:bCs/>
                <w:color w:val="000000" w:themeColor="text1"/>
                <w:sz w:val="24"/>
                <w:szCs w:val="24"/>
                <w:lang w:val="en-US" w:eastAsia="zh-CN"/>
              </w:rPr>
              <w:t>样孔位置距弯头较近</w:t>
            </w:r>
            <w:r>
              <w:rPr>
                <w:rFonts w:hint="eastAsia" w:ascii="Times New Roman" w:hAnsi="Times New Roman" w:cs="Times New Roman"/>
                <w:bCs/>
                <w:color w:val="000000" w:themeColor="text1"/>
                <w:sz w:val="24"/>
                <w:szCs w:val="24"/>
                <w:lang w:val="en-US" w:eastAsia="zh-CN"/>
              </w:rPr>
              <w:t>，</w:t>
            </w:r>
            <w:r>
              <w:rPr>
                <w:rFonts w:hint="default" w:ascii="Times New Roman" w:hAnsi="Times New Roman" w:cs="Times New Roman"/>
                <w:bCs/>
                <w:color w:val="000000" w:themeColor="text1"/>
                <w:sz w:val="24"/>
                <w:szCs w:val="24"/>
                <w:lang w:val="en-US" w:eastAsia="zh-CN"/>
              </w:rPr>
              <w:t>不符合相关要求，建议按照《排污单位污染物排放口监测点位设置技术规范》（HJ 1405-2024）“4.3条”中相关要求的采样孔；</w:t>
            </w:r>
          </w:p>
          <w:p w14:paraId="6927708D">
            <w:pPr>
              <w:numPr>
                <w:ilvl w:val="0"/>
                <w:numId w:val="0"/>
              </w:numPr>
              <w:adjustRightInd w:val="0"/>
              <w:snapToGrid w:val="0"/>
              <w:spacing w:line="360" w:lineRule="auto"/>
              <w:ind w:firstLine="420"/>
              <w:rPr>
                <w:rFonts w:hint="default" w:ascii="Times New Roman" w:hAnsi="Times New Roman" w:cs="Times New Roman"/>
                <w:bCs/>
                <w:color w:val="auto"/>
                <w:sz w:val="24"/>
                <w:szCs w:val="24"/>
                <w:lang w:val="en-US" w:eastAsia="zh-CN"/>
              </w:rPr>
            </w:pPr>
            <w:r>
              <w:rPr>
                <w:rFonts w:hint="default" w:ascii="Times New Roman" w:hAnsi="Times New Roman" w:cs="Times New Roman"/>
                <w:bCs/>
                <w:color w:val="auto"/>
                <w:sz w:val="24"/>
                <w:szCs w:val="24"/>
                <w:lang w:val="en-US" w:eastAsia="zh-CN"/>
              </w:rPr>
              <w:t>3、污水处理站臭气处理系统排放口高度过低</w:t>
            </w:r>
            <w:r>
              <w:rPr>
                <w:rFonts w:hint="eastAsia" w:ascii="Times New Roman" w:hAnsi="Times New Roman" w:cs="Times New Roman"/>
                <w:bCs/>
                <w:color w:val="auto"/>
                <w:sz w:val="24"/>
                <w:szCs w:val="24"/>
                <w:lang w:val="en-US" w:eastAsia="zh-CN"/>
              </w:rPr>
              <w:t>（现为在污水站设备间楼顶排放，排放高度3m）</w:t>
            </w:r>
            <w:r>
              <w:rPr>
                <w:rFonts w:hint="default" w:ascii="Times New Roman" w:hAnsi="Times New Roman" w:cs="Times New Roman"/>
                <w:bCs/>
                <w:color w:val="auto"/>
                <w:sz w:val="24"/>
                <w:szCs w:val="24"/>
                <w:lang w:val="en-US" w:eastAsia="zh-CN"/>
              </w:rPr>
              <w:t>，为无组织排放，建议用排气管道引至综合楼楼顶</w:t>
            </w:r>
            <w:r>
              <w:rPr>
                <w:rFonts w:hint="eastAsia" w:ascii="Times New Roman" w:hAnsi="Times New Roman" w:cs="Times New Roman"/>
                <w:bCs/>
                <w:color w:val="auto"/>
                <w:sz w:val="24"/>
                <w:szCs w:val="24"/>
                <w:lang w:val="en-US" w:eastAsia="zh-CN"/>
              </w:rPr>
              <w:t>（63m）</w:t>
            </w:r>
            <w:r>
              <w:rPr>
                <w:rFonts w:hint="default" w:ascii="Times New Roman" w:hAnsi="Times New Roman" w:cs="Times New Roman"/>
                <w:bCs/>
                <w:color w:val="auto"/>
                <w:sz w:val="24"/>
                <w:szCs w:val="24"/>
                <w:lang w:val="en-US" w:eastAsia="zh-CN"/>
              </w:rPr>
              <w:t>高空排放；</w:t>
            </w:r>
          </w:p>
          <w:p w14:paraId="16C6B124">
            <w:pPr>
              <w:numPr>
                <w:ilvl w:val="0"/>
                <w:numId w:val="0"/>
              </w:numPr>
              <w:adjustRightInd w:val="0"/>
              <w:snapToGrid w:val="0"/>
              <w:spacing w:line="360" w:lineRule="auto"/>
              <w:ind w:firstLine="420"/>
              <w:rPr>
                <w:rFonts w:hint="default" w:ascii="Times New Roman" w:hAnsi="Times New Roman" w:eastAsia="宋体" w:cs="Times New Roman"/>
                <w:bCs/>
                <w:color w:val="auto"/>
                <w:sz w:val="21"/>
                <w:szCs w:val="21"/>
                <w:lang w:val="en-US" w:eastAsia="zh-CN"/>
              </w:rPr>
            </w:pPr>
            <w:r>
              <w:rPr>
                <w:rFonts w:hint="default" w:ascii="Times New Roman" w:hAnsi="Times New Roman" w:cs="Times New Roman"/>
                <w:bCs/>
                <w:color w:val="auto"/>
                <w:sz w:val="24"/>
                <w:szCs w:val="24"/>
                <w:lang w:val="en-US" w:eastAsia="zh-CN"/>
              </w:rPr>
              <w:t>4、本项目现设有一个30m</w:t>
            </w:r>
            <w:r>
              <w:rPr>
                <w:rFonts w:hint="default" w:ascii="Times New Roman" w:hAnsi="Times New Roman" w:cs="Times New Roman"/>
                <w:bCs/>
                <w:color w:val="auto"/>
                <w:sz w:val="24"/>
                <w:szCs w:val="24"/>
                <w:vertAlign w:val="superscript"/>
                <w:lang w:val="en-US" w:eastAsia="zh-CN"/>
              </w:rPr>
              <w:t>3</w:t>
            </w:r>
            <w:r>
              <w:rPr>
                <w:rFonts w:hint="default" w:ascii="Times New Roman" w:hAnsi="Times New Roman" w:cs="Times New Roman"/>
                <w:bCs/>
                <w:color w:val="auto"/>
                <w:sz w:val="24"/>
                <w:szCs w:val="24"/>
                <w:lang w:val="en-US" w:eastAsia="zh-CN"/>
              </w:rPr>
              <w:t>的应急池。现有综合污水处理站处理能力为300m</w:t>
            </w:r>
            <w:r>
              <w:rPr>
                <w:rFonts w:hint="default" w:ascii="Times New Roman" w:hAnsi="Times New Roman" w:cs="Times New Roman"/>
                <w:bCs/>
                <w:color w:val="auto"/>
                <w:sz w:val="24"/>
                <w:szCs w:val="24"/>
                <w:vertAlign w:val="superscript"/>
                <w:lang w:val="en-US" w:eastAsia="zh-CN"/>
              </w:rPr>
              <w:t>3</w:t>
            </w:r>
            <w:r>
              <w:rPr>
                <w:rFonts w:hint="default" w:ascii="Times New Roman" w:hAnsi="Times New Roman" w:cs="Times New Roman"/>
                <w:bCs/>
                <w:color w:val="auto"/>
                <w:sz w:val="24"/>
                <w:szCs w:val="24"/>
                <w:lang w:val="en-US" w:eastAsia="zh-CN"/>
              </w:rPr>
              <w:t>/d，未满足《医院污水处理工程技术规范》HJ2029-2013中：医院污水处理工程应急事故池容积不小于日排放量的30%的要求，</w:t>
            </w:r>
            <w:r>
              <w:rPr>
                <w:rFonts w:hint="eastAsia" w:cs="Times New Roman"/>
                <w:bCs/>
                <w:color w:val="auto"/>
                <w:sz w:val="24"/>
                <w:szCs w:val="24"/>
                <w:u w:val="single"/>
                <w:lang w:val="en-US" w:eastAsia="zh-CN"/>
              </w:rPr>
              <w:t>本评价要求建设单位</w:t>
            </w:r>
            <w:r>
              <w:rPr>
                <w:rFonts w:hint="default" w:ascii="Times New Roman" w:hAnsi="Times New Roman" w:cs="Times New Roman"/>
                <w:bCs/>
                <w:color w:val="auto"/>
                <w:sz w:val="24"/>
                <w:szCs w:val="24"/>
                <w:u w:val="single"/>
                <w:lang w:val="en-US" w:eastAsia="zh-CN"/>
              </w:rPr>
              <w:t>将应急池容积扩充至90m</w:t>
            </w:r>
            <w:r>
              <w:rPr>
                <w:rFonts w:hint="default" w:ascii="Times New Roman" w:hAnsi="Times New Roman" w:cs="Times New Roman"/>
                <w:bCs/>
                <w:color w:val="auto"/>
                <w:sz w:val="24"/>
                <w:szCs w:val="24"/>
                <w:u w:val="single"/>
                <w:vertAlign w:val="superscript"/>
                <w:lang w:val="en-US" w:eastAsia="zh-CN"/>
              </w:rPr>
              <w:t>3</w:t>
            </w:r>
            <w:r>
              <w:rPr>
                <w:rFonts w:hint="default" w:ascii="Times New Roman" w:hAnsi="Times New Roman" w:cs="Times New Roman"/>
                <w:bCs/>
                <w:color w:val="auto"/>
                <w:sz w:val="24"/>
                <w:szCs w:val="24"/>
                <w:u w:val="single"/>
                <w:lang w:val="en-US" w:eastAsia="zh-CN"/>
              </w:rPr>
              <w:t>。</w:t>
            </w:r>
          </w:p>
          <w:p w14:paraId="2E9DB168">
            <w:pPr>
              <w:adjustRightInd w:val="0"/>
              <w:snapToGrid w:val="0"/>
              <w:spacing w:line="360" w:lineRule="auto"/>
              <w:rPr>
                <w:rFonts w:hint="default" w:ascii="Times New Roman" w:hAnsi="Times New Roman" w:eastAsia="宋体" w:cs="Times New Roman"/>
                <w:bCs/>
                <w:sz w:val="21"/>
                <w:szCs w:val="21"/>
              </w:rPr>
            </w:pPr>
          </w:p>
          <w:p w14:paraId="21D45863">
            <w:pPr>
              <w:adjustRightInd w:val="0"/>
              <w:snapToGrid w:val="0"/>
              <w:spacing w:line="360" w:lineRule="auto"/>
              <w:rPr>
                <w:rFonts w:hint="default" w:ascii="Times New Roman" w:hAnsi="Times New Roman" w:eastAsia="宋体" w:cs="Times New Roman"/>
                <w:b/>
                <w:sz w:val="21"/>
                <w:szCs w:val="21"/>
                <w:lang w:eastAsia="zh-CN"/>
              </w:rPr>
            </w:pPr>
          </w:p>
        </w:tc>
      </w:tr>
    </w:tbl>
    <w:p w14:paraId="228653A2">
      <w:pPr>
        <w:pStyle w:val="21"/>
        <w:spacing w:line="360" w:lineRule="auto"/>
        <w:ind w:firstLine="720"/>
        <w:jc w:val="center"/>
        <w:rPr>
          <w:rFonts w:ascii="黑体" w:hAnsi="黑体" w:eastAsia="黑体"/>
          <w:snapToGrid w:val="0"/>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2D78C66F">
      <w:pPr>
        <w:pStyle w:val="21"/>
        <w:spacing w:line="360" w:lineRule="auto"/>
        <w:ind w:firstLine="600"/>
        <w:jc w:val="center"/>
        <w:outlineLvl w:val="0"/>
        <w:rPr>
          <w:rFonts w:ascii="黑体" w:hAnsi="黑体" w:eastAsia="黑体"/>
          <w:snapToGrid w:val="0"/>
          <w:sz w:val="30"/>
          <w:szCs w:val="30"/>
        </w:rPr>
      </w:pPr>
      <w:bookmarkStart w:id="9" w:name="_Toc134611496"/>
      <w:bookmarkStart w:id="10" w:name="_Toc139925580"/>
      <w:r>
        <w:rPr>
          <w:rFonts w:hint="eastAsia" w:ascii="黑体" w:hAnsi="黑体" w:eastAsia="黑体"/>
          <w:snapToGrid w:val="0"/>
          <w:sz w:val="30"/>
          <w:szCs w:val="30"/>
        </w:rPr>
        <w:t>三、区域环境质量现状、环境保护目标及评价标准</w:t>
      </w:r>
      <w:bookmarkEnd w:id="9"/>
      <w:bookmarkEnd w:id="10"/>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0"/>
        <w:gridCol w:w="8190"/>
      </w:tblGrid>
      <w:tr w14:paraId="7B6C73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800" w:type="dxa"/>
            <w:vAlign w:val="center"/>
          </w:tcPr>
          <w:p w14:paraId="09596C8D">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区域</w:t>
            </w:r>
          </w:p>
          <w:p w14:paraId="7FF1C656">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环境</w:t>
            </w:r>
          </w:p>
          <w:p w14:paraId="4A486068">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质量</w:t>
            </w:r>
          </w:p>
          <w:p w14:paraId="03C4AD85">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现状</w:t>
            </w:r>
          </w:p>
        </w:tc>
        <w:tc>
          <w:tcPr>
            <w:tcW w:w="8190" w:type="dxa"/>
            <w:vAlign w:val="center"/>
          </w:tcPr>
          <w:p w14:paraId="3AF8FD34">
            <w:pPr>
              <w:adjustRightInd w:val="0"/>
              <w:snapToGrid w:val="0"/>
              <w:spacing w:line="360" w:lineRule="auto"/>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1、环境空气质量现状</w:t>
            </w:r>
          </w:p>
          <w:p w14:paraId="0AD9002E">
            <w:pPr>
              <w:adjustRightInd w:val="0"/>
              <w:snapToGrid w:val="0"/>
              <w:spacing w:line="360" w:lineRule="auto"/>
              <w:ind w:firstLine="480" w:firstLineChars="200"/>
              <w:jc w:val="left"/>
              <w:rPr>
                <w:rFonts w:hint="default" w:ascii="Times New Roman" w:hAnsi="Times New Roman" w:eastAsia="宋体" w:cs="Times New Roman"/>
                <w:b w:val="0"/>
                <w:bCs w:val="0"/>
                <w:kern w:val="0"/>
                <w:sz w:val="24"/>
                <w:szCs w:val="24"/>
                <w:u w:val="none"/>
              </w:rPr>
            </w:pPr>
            <w:r>
              <w:rPr>
                <w:rFonts w:hint="default" w:ascii="Times New Roman" w:hAnsi="Times New Roman" w:eastAsia="宋体" w:cs="Times New Roman"/>
                <w:b w:val="0"/>
                <w:bCs w:val="0"/>
                <w:kern w:val="0"/>
                <w:sz w:val="24"/>
                <w:szCs w:val="24"/>
              </w:rPr>
              <w:t>（</w:t>
            </w:r>
            <w:r>
              <w:rPr>
                <w:rFonts w:hint="default" w:ascii="Times New Roman" w:hAnsi="Times New Roman" w:eastAsia="宋体" w:cs="Times New Roman"/>
                <w:b w:val="0"/>
                <w:bCs w:val="0"/>
                <w:kern w:val="0"/>
                <w:sz w:val="24"/>
                <w:szCs w:val="24"/>
                <w:u w:val="none"/>
              </w:rPr>
              <w:t>1）常规污染物环境质量现状</w:t>
            </w:r>
          </w:p>
          <w:p w14:paraId="296EF8E8">
            <w:pPr>
              <w:pStyle w:val="3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kern w:val="0"/>
                <w:sz w:val="24"/>
                <w:szCs w:val="24"/>
                <w:u w:val="none"/>
                <w:lang w:val="en-US" w:eastAsia="zh-CN" w:bidi="ar-SA"/>
              </w:rPr>
            </w:pPr>
            <w:r>
              <w:rPr>
                <w:rFonts w:hint="default" w:ascii="Times New Roman" w:hAnsi="Times New Roman" w:eastAsia="宋体" w:cs="Times New Roman"/>
                <w:kern w:val="0"/>
                <w:sz w:val="24"/>
                <w:szCs w:val="24"/>
                <w:u w:val="none"/>
                <w:lang w:val="en-US" w:eastAsia="zh-CN" w:bidi="ar-SA"/>
              </w:rPr>
              <w:t>本项目位于岳阳市</w:t>
            </w:r>
            <w:r>
              <w:rPr>
                <w:rFonts w:hint="default" w:ascii="Times New Roman" w:hAnsi="Times New Roman" w:cs="Times New Roman"/>
                <w:kern w:val="0"/>
                <w:sz w:val="24"/>
                <w:szCs w:val="24"/>
                <w:u w:val="none"/>
                <w:lang w:val="en-US" w:eastAsia="zh-CN" w:bidi="ar-SA"/>
              </w:rPr>
              <w:t>岳阳楼区</w:t>
            </w:r>
            <w:r>
              <w:rPr>
                <w:rFonts w:hint="default" w:ascii="Times New Roman" w:hAnsi="Times New Roman" w:eastAsia="宋体" w:cs="Times New Roman"/>
                <w:kern w:val="0"/>
                <w:sz w:val="24"/>
                <w:szCs w:val="24"/>
                <w:u w:val="none"/>
                <w:lang w:val="en-US" w:eastAsia="zh-CN" w:bidi="ar-SA"/>
              </w:rPr>
              <w:t>行政区范围内，故本次评价大气环境质量现状调查引用岳阳市202</w:t>
            </w:r>
            <w:r>
              <w:rPr>
                <w:rFonts w:hint="default" w:ascii="Times New Roman" w:hAnsi="Times New Roman" w:cs="Times New Roman"/>
                <w:kern w:val="0"/>
                <w:sz w:val="24"/>
                <w:szCs w:val="24"/>
                <w:u w:val="none"/>
                <w:lang w:val="en-US" w:eastAsia="zh-CN" w:bidi="ar-SA"/>
              </w:rPr>
              <w:t>5</w:t>
            </w:r>
            <w:r>
              <w:rPr>
                <w:rFonts w:hint="default" w:ascii="Times New Roman" w:hAnsi="Times New Roman" w:eastAsia="宋体" w:cs="Times New Roman"/>
                <w:kern w:val="0"/>
                <w:sz w:val="24"/>
                <w:szCs w:val="24"/>
                <w:u w:val="none"/>
                <w:lang w:val="en-US" w:eastAsia="zh-CN" w:bidi="ar-SA"/>
              </w:rPr>
              <w:t>年度生态环境质量公报</w:t>
            </w:r>
            <w:r>
              <w:rPr>
                <w:rFonts w:hint="default" w:ascii="Times New Roman" w:hAnsi="Times New Roman" w:cs="Times New Roman"/>
                <w:kern w:val="0"/>
                <w:sz w:val="24"/>
                <w:szCs w:val="24"/>
                <w:u w:val="none"/>
                <w:lang w:val="en-US" w:eastAsia="zh-CN" w:bidi="ar-SA"/>
              </w:rPr>
              <w:t>数据</w:t>
            </w:r>
            <w:r>
              <w:rPr>
                <w:rFonts w:hint="default" w:ascii="Times New Roman" w:hAnsi="Times New Roman" w:eastAsia="宋体" w:cs="Times New Roman"/>
                <w:kern w:val="0"/>
                <w:sz w:val="24"/>
                <w:szCs w:val="24"/>
                <w:u w:val="none"/>
                <w:lang w:val="en-US" w:eastAsia="zh-CN" w:bidi="ar-SA"/>
              </w:rPr>
              <w:t>进行项目所在区域环境质量空气现状评价。项目所在区域的环境空气属二类功能区，执行《环境空气质量标准》（GB3095-2012）二级标准。按照《环境空气质量标准》（GB3095-2012）监测六个基本因子：SO</w:t>
            </w:r>
            <w:r>
              <w:rPr>
                <w:rFonts w:hint="default" w:ascii="Times New Roman" w:hAnsi="Times New Roman" w:eastAsia="宋体" w:cs="Times New Roman"/>
                <w:kern w:val="0"/>
                <w:sz w:val="24"/>
                <w:szCs w:val="24"/>
                <w:u w:val="none"/>
                <w:vertAlign w:val="subscript"/>
                <w:lang w:val="en-US" w:eastAsia="zh-CN" w:bidi="ar-SA"/>
              </w:rPr>
              <w:t>2</w:t>
            </w:r>
            <w:r>
              <w:rPr>
                <w:rFonts w:hint="default" w:ascii="Times New Roman" w:hAnsi="Times New Roman" w:eastAsia="宋体" w:cs="Times New Roman"/>
                <w:kern w:val="0"/>
                <w:sz w:val="24"/>
                <w:szCs w:val="24"/>
                <w:u w:val="none"/>
                <w:lang w:val="en-US" w:eastAsia="zh-CN" w:bidi="ar-SA"/>
              </w:rPr>
              <w:t>、NO</w:t>
            </w:r>
            <w:r>
              <w:rPr>
                <w:rFonts w:hint="default" w:ascii="Times New Roman" w:hAnsi="Times New Roman" w:eastAsia="宋体" w:cs="Times New Roman"/>
                <w:kern w:val="0"/>
                <w:sz w:val="24"/>
                <w:szCs w:val="24"/>
                <w:u w:val="none"/>
                <w:vertAlign w:val="subscript"/>
                <w:lang w:val="en-US" w:eastAsia="zh-CN" w:bidi="ar-SA"/>
              </w:rPr>
              <w:t>2</w:t>
            </w:r>
            <w:r>
              <w:rPr>
                <w:rFonts w:hint="default" w:ascii="Times New Roman" w:hAnsi="Times New Roman" w:eastAsia="宋体" w:cs="Times New Roman"/>
                <w:kern w:val="0"/>
                <w:sz w:val="24"/>
                <w:szCs w:val="24"/>
                <w:u w:val="none"/>
                <w:lang w:val="en-US" w:eastAsia="zh-CN" w:bidi="ar-SA"/>
              </w:rPr>
              <w:t>、PM</w:t>
            </w:r>
            <w:r>
              <w:rPr>
                <w:rFonts w:hint="default" w:ascii="Times New Roman" w:hAnsi="Times New Roman" w:eastAsia="宋体" w:cs="Times New Roman"/>
                <w:kern w:val="0"/>
                <w:sz w:val="24"/>
                <w:szCs w:val="24"/>
                <w:u w:val="none"/>
                <w:vertAlign w:val="subscript"/>
                <w:lang w:val="en-US" w:eastAsia="zh-CN" w:bidi="ar-SA"/>
              </w:rPr>
              <w:t>10</w:t>
            </w:r>
            <w:r>
              <w:rPr>
                <w:rFonts w:hint="default" w:ascii="Times New Roman" w:hAnsi="Times New Roman" w:eastAsia="宋体" w:cs="Times New Roman"/>
                <w:kern w:val="0"/>
                <w:sz w:val="24"/>
                <w:szCs w:val="24"/>
                <w:u w:val="none"/>
                <w:lang w:val="en-US" w:eastAsia="zh-CN" w:bidi="ar-SA"/>
              </w:rPr>
              <w:t>、PM</w:t>
            </w:r>
            <w:r>
              <w:rPr>
                <w:rFonts w:hint="default" w:ascii="Times New Roman" w:hAnsi="Times New Roman" w:eastAsia="宋体" w:cs="Times New Roman"/>
                <w:kern w:val="0"/>
                <w:sz w:val="24"/>
                <w:szCs w:val="24"/>
                <w:u w:val="none"/>
                <w:vertAlign w:val="subscript"/>
                <w:lang w:val="en-US" w:eastAsia="zh-CN" w:bidi="ar-SA"/>
              </w:rPr>
              <w:t>2.5</w:t>
            </w:r>
            <w:r>
              <w:rPr>
                <w:rFonts w:hint="default" w:ascii="Times New Roman" w:hAnsi="Times New Roman" w:eastAsia="宋体" w:cs="Times New Roman"/>
                <w:kern w:val="0"/>
                <w:sz w:val="24"/>
                <w:szCs w:val="24"/>
                <w:u w:val="none"/>
                <w:lang w:val="en-US" w:eastAsia="zh-CN" w:bidi="ar-SA"/>
              </w:rPr>
              <w:t>、CO、O</w:t>
            </w:r>
            <w:r>
              <w:rPr>
                <w:rFonts w:hint="default" w:ascii="Times New Roman" w:hAnsi="Times New Roman" w:eastAsia="宋体" w:cs="Times New Roman"/>
                <w:kern w:val="0"/>
                <w:sz w:val="24"/>
                <w:szCs w:val="24"/>
                <w:u w:val="none"/>
                <w:vertAlign w:val="subscript"/>
                <w:lang w:val="en-US" w:eastAsia="zh-CN" w:bidi="ar-SA"/>
              </w:rPr>
              <w:t>3</w:t>
            </w:r>
            <w:r>
              <w:rPr>
                <w:rFonts w:hint="default" w:ascii="Times New Roman" w:hAnsi="Times New Roman" w:eastAsia="宋体" w:cs="Times New Roman"/>
                <w:kern w:val="0"/>
                <w:sz w:val="24"/>
                <w:szCs w:val="24"/>
                <w:u w:val="none"/>
                <w:lang w:val="en-US" w:eastAsia="zh-CN" w:bidi="ar-SA"/>
              </w:rPr>
              <w:t>。根据202</w:t>
            </w:r>
            <w:r>
              <w:rPr>
                <w:rFonts w:hint="default" w:ascii="Times New Roman" w:hAnsi="Times New Roman" w:cs="Times New Roman"/>
                <w:kern w:val="0"/>
                <w:sz w:val="24"/>
                <w:szCs w:val="24"/>
                <w:u w:val="none"/>
                <w:lang w:val="en-US" w:eastAsia="zh-CN" w:bidi="ar-SA"/>
              </w:rPr>
              <w:t>5</w:t>
            </w:r>
            <w:r>
              <w:rPr>
                <w:rFonts w:hint="default" w:ascii="Times New Roman" w:hAnsi="Times New Roman" w:eastAsia="宋体" w:cs="Times New Roman"/>
                <w:kern w:val="0"/>
                <w:sz w:val="24"/>
                <w:szCs w:val="24"/>
                <w:u w:val="none"/>
                <w:lang w:val="en-US" w:eastAsia="zh-CN" w:bidi="ar-SA"/>
              </w:rPr>
              <w:t>年岳阳</w:t>
            </w:r>
            <w:r>
              <w:rPr>
                <w:rFonts w:hint="default" w:ascii="Times New Roman" w:hAnsi="Times New Roman" w:cs="Times New Roman"/>
                <w:kern w:val="0"/>
                <w:sz w:val="24"/>
                <w:szCs w:val="24"/>
                <w:u w:val="none"/>
                <w:lang w:val="en-US" w:eastAsia="zh-CN" w:bidi="ar-SA"/>
              </w:rPr>
              <w:t>市</w:t>
            </w:r>
            <w:r>
              <w:rPr>
                <w:rFonts w:hint="default" w:ascii="Times New Roman" w:hAnsi="Times New Roman" w:eastAsia="宋体" w:cs="Times New Roman"/>
                <w:kern w:val="0"/>
                <w:sz w:val="24"/>
                <w:szCs w:val="24"/>
                <w:u w:val="none"/>
                <w:lang w:val="en-US" w:eastAsia="zh-CN" w:bidi="ar-SA"/>
              </w:rPr>
              <w:t>环境空气质量公</w:t>
            </w:r>
            <w:r>
              <w:rPr>
                <w:rFonts w:hint="default" w:ascii="Times New Roman" w:hAnsi="Times New Roman" w:cs="Times New Roman"/>
                <w:kern w:val="0"/>
                <w:sz w:val="24"/>
                <w:szCs w:val="24"/>
                <w:u w:val="none"/>
                <w:lang w:val="en-US" w:eastAsia="zh-CN" w:bidi="ar-SA"/>
              </w:rPr>
              <w:t>报</w:t>
            </w:r>
            <w:r>
              <w:rPr>
                <w:rFonts w:hint="default" w:ascii="Times New Roman" w:hAnsi="Times New Roman" w:eastAsia="宋体" w:cs="Times New Roman"/>
                <w:kern w:val="0"/>
                <w:sz w:val="24"/>
                <w:szCs w:val="24"/>
                <w:u w:val="none"/>
                <w:lang w:val="en-US" w:eastAsia="zh-CN" w:bidi="ar-SA"/>
              </w:rPr>
              <w:t>，具体监测数据及评价结果见下表3-1。</w:t>
            </w:r>
          </w:p>
          <w:p w14:paraId="7E5BA6F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表3-1 区域环境空气质量评价表</w:t>
            </w:r>
          </w:p>
          <w:tbl>
            <w:tblPr>
              <w:tblStyle w:val="24"/>
              <w:tblW w:w="79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07"/>
              <w:gridCol w:w="3100"/>
              <w:gridCol w:w="1200"/>
              <w:gridCol w:w="1234"/>
              <w:gridCol w:w="1033"/>
              <w:gridCol w:w="695"/>
            </w:tblGrid>
            <w:tr w14:paraId="1BF6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707" w:type="dxa"/>
                  <w:tcBorders>
                    <w:top w:val="single" w:color="000000" w:sz="4" w:space="0"/>
                    <w:left w:val="single" w:color="000000" w:sz="4" w:space="0"/>
                    <w:bottom w:val="single" w:color="000000" w:sz="4" w:space="0"/>
                    <w:right w:val="single" w:color="000000" w:sz="4" w:space="0"/>
                  </w:tcBorders>
                  <w:noWrap w:val="0"/>
                  <w:vAlign w:val="center"/>
                </w:tcPr>
                <w:p w14:paraId="5B23F4B1">
                  <w:pPr>
                    <w:pStyle w:val="80"/>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污染物</w:t>
                  </w:r>
                </w:p>
              </w:tc>
              <w:tc>
                <w:tcPr>
                  <w:tcW w:w="3100" w:type="dxa"/>
                  <w:tcBorders>
                    <w:top w:val="single" w:color="000000" w:sz="4" w:space="0"/>
                    <w:left w:val="single" w:color="000000" w:sz="4" w:space="0"/>
                    <w:bottom w:val="single" w:color="000000" w:sz="4" w:space="0"/>
                    <w:right w:val="single" w:color="000000" w:sz="4" w:space="0"/>
                  </w:tcBorders>
                  <w:noWrap w:val="0"/>
                  <w:vAlign w:val="center"/>
                </w:tcPr>
                <w:p w14:paraId="1C5459C8">
                  <w:pPr>
                    <w:pStyle w:val="80"/>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年评价指标</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2DE4009C">
                  <w:pPr>
                    <w:pStyle w:val="80"/>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现状浓度/(μg/m³)</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14:paraId="62727621">
                  <w:pPr>
                    <w:pStyle w:val="80"/>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标准值/(μg/m³)</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213C5EC7">
                  <w:pPr>
                    <w:pStyle w:val="80"/>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占标率/%</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14:paraId="6BA770BF">
                  <w:pPr>
                    <w:pStyle w:val="80"/>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达标情况</w:t>
                  </w:r>
                </w:p>
              </w:tc>
            </w:tr>
            <w:tr w14:paraId="79BA9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707" w:type="dxa"/>
                  <w:tcBorders>
                    <w:top w:val="single" w:color="000000" w:sz="4" w:space="0"/>
                    <w:left w:val="single" w:color="000000" w:sz="4" w:space="0"/>
                    <w:bottom w:val="single" w:color="000000" w:sz="4" w:space="0"/>
                    <w:right w:val="single" w:color="000000" w:sz="4" w:space="0"/>
                  </w:tcBorders>
                  <w:noWrap w:val="0"/>
                  <w:vAlign w:val="center"/>
                </w:tcPr>
                <w:p w14:paraId="349C7BEF">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SO</w:t>
                  </w:r>
                  <w:r>
                    <w:rPr>
                      <w:rFonts w:hint="default" w:ascii="Times New Roman" w:hAnsi="Times New Roman" w:eastAsia="宋体" w:cs="Times New Roman"/>
                      <w:sz w:val="21"/>
                      <w:szCs w:val="21"/>
                      <w:vertAlign w:val="subscript"/>
                      <w:lang w:val="en-US" w:eastAsia="zh-CN"/>
                    </w:rPr>
                    <w:t>2</w:t>
                  </w:r>
                </w:p>
              </w:tc>
              <w:tc>
                <w:tcPr>
                  <w:tcW w:w="3100" w:type="dxa"/>
                  <w:tcBorders>
                    <w:top w:val="single" w:color="000000" w:sz="4" w:space="0"/>
                    <w:left w:val="single" w:color="000000" w:sz="4" w:space="0"/>
                    <w:bottom w:val="single" w:color="000000" w:sz="4" w:space="0"/>
                    <w:right w:val="single" w:color="000000" w:sz="4" w:space="0"/>
                  </w:tcBorders>
                  <w:noWrap w:val="0"/>
                  <w:vAlign w:val="center"/>
                </w:tcPr>
                <w:p w14:paraId="6C8BE74B">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年平均质量浓度</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5614E5D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8</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14:paraId="2D934B2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60</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247D475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13.33</w:t>
                  </w:r>
                  <w:r>
                    <w:rPr>
                      <w:rFonts w:hint="default" w:ascii="Times New Roman" w:hAnsi="Times New Roman" w:eastAsia="宋体" w:cs="Times New Roman"/>
                      <w:kern w:val="0"/>
                      <w:sz w:val="21"/>
                      <w:szCs w:val="21"/>
                      <w:vertAlign w:val="baseline"/>
                      <w:lang w:val="en-US" w:eastAsia="zh-CN"/>
                    </w:rPr>
                    <w:t>%</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14:paraId="27ED8BA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达标</w:t>
                  </w:r>
                </w:p>
              </w:tc>
            </w:tr>
            <w:tr w14:paraId="49968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707" w:type="dxa"/>
                  <w:tcBorders>
                    <w:top w:val="single" w:color="000000" w:sz="4" w:space="0"/>
                    <w:left w:val="single" w:color="000000" w:sz="4" w:space="0"/>
                    <w:bottom w:val="single" w:color="000000" w:sz="4" w:space="0"/>
                    <w:right w:val="single" w:color="000000" w:sz="4" w:space="0"/>
                  </w:tcBorders>
                  <w:noWrap w:val="0"/>
                  <w:vAlign w:val="center"/>
                </w:tcPr>
                <w:p w14:paraId="78A5CCDE">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NO</w:t>
                  </w:r>
                  <w:r>
                    <w:rPr>
                      <w:rFonts w:hint="default" w:ascii="Times New Roman" w:hAnsi="Times New Roman" w:eastAsia="宋体" w:cs="Times New Roman"/>
                      <w:sz w:val="21"/>
                      <w:szCs w:val="21"/>
                      <w:vertAlign w:val="subscript"/>
                      <w:lang w:val="en-US" w:eastAsia="zh-CN"/>
                    </w:rPr>
                    <w:t>2</w:t>
                  </w:r>
                </w:p>
              </w:tc>
              <w:tc>
                <w:tcPr>
                  <w:tcW w:w="3100" w:type="dxa"/>
                  <w:tcBorders>
                    <w:top w:val="single" w:color="000000" w:sz="4" w:space="0"/>
                    <w:left w:val="single" w:color="000000" w:sz="4" w:space="0"/>
                    <w:bottom w:val="single" w:color="000000" w:sz="4" w:space="0"/>
                    <w:right w:val="single" w:color="000000" w:sz="4" w:space="0"/>
                  </w:tcBorders>
                  <w:noWrap w:val="0"/>
                  <w:vAlign w:val="center"/>
                </w:tcPr>
                <w:p w14:paraId="1AB062F2">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年平均质量浓度</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C59D72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vertAlign w:val="baseline"/>
                      <w:lang w:val="en-US" w:eastAsia="zh-CN"/>
                    </w:rPr>
                    <w:t>21</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14:paraId="73206C9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40</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120C1C8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52.50</w:t>
                  </w:r>
                  <w:r>
                    <w:rPr>
                      <w:rFonts w:hint="default" w:ascii="Times New Roman" w:hAnsi="Times New Roman" w:eastAsia="宋体" w:cs="Times New Roman"/>
                      <w:kern w:val="0"/>
                      <w:sz w:val="21"/>
                      <w:szCs w:val="21"/>
                      <w:vertAlign w:val="baseline"/>
                      <w:lang w:val="en-US" w:eastAsia="zh-CN"/>
                    </w:rPr>
                    <w:t>%</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14:paraId="18D5436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达标</w:t>
                  </w:r>
                </w:p>
              </w:tc>
            </w:tr>
            <w:tr w14:paraId="5DA6E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707" w:type="dxa"/>
                  <w:tcBorders>
                    <w:top w:val="single" w:color="000000" w:sz="4" w:space="0"/>
                    <w:left w:val="single" w:color="000000" w:sz="4" w:space="0"/>
                    <w:bottom w:val="single" w:color="000000" w:sz="4" w:space="0"/>
                    <w:right w:val="single" w:color="000000" w:sz="4" w:space="0"/>
                  </w:tcBorders>
                  <w:noWrap w:val="0"/>
                  <w:vAlign w:val="center"/>
                </w:tcPr>
                <w:p w14:paraId="391F72FA">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PM</w:t>
                  </w:r>
                  <w:r>
                    <w:rPr>
                      <w:rFonts w:hint="default" w:ascii="Times New Roman" w:hAnsi="Times New Roman" w:eastAsia="宋体" w:cs="Times New Roman"/>
                      <w:sz w:val="21"/>
                      <w:szCs w:val="21"/>
                      <w:vertAlign w:val="subscript"/>
                      <w:lang w:val="en-US" w:eastAsia="zh-CN"/>
                    </w:rPr>
                    <w:t>10</w:t>
                  </w:r>
                </w:p>
              </w:tc>
              <w:tc>
                <w:tcPr>
                  <w:tcW w:w="3100" w:type="dxa"/>
                  <w:tcBorders>
                    <w:top w:val="single" w:color="000000" w:sz="4" w:space="0"/>
                    <w:left w:val="single" w:color="000000" w:sz="4" w:space="0"/>
                    <w:bottom w:val="single" w:color="000000" w:sz="4" w:space="0"/>
                    <w:right w:val="single" w:color="000000" w:sz="4" w:space="0"/>
                  </w:tcBorders>
                  <w:noWrap w:val="0"/>
                  <w:vAlign w:val="center"/>
                </w:tcPr>
                <w:p w14:paraId="2B168124">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年平均质量浓度</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9A40D2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50</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14:paraId="4FCE516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70</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2C4EC96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vertAlign w:val="baseline"/>
                      <w:lang w:val="en-US" w:eastAsia="zh-CN"/>
                    </w:rPr>
                    <w:t>71.43</w:t>
                  </w:r>
                  <w:r>
                    <w:rPr>
                      <w:rFonts w:hint="default" w:ascii="Times New Roman" w:hAnsi="Times New Roman" w:eastAsia="宋体" w:cs="Times New Roman"/>
                      <w:kern w:val="0"/>
                      <w:sz w:val="21"/>
                      <w:szCs w:val="21"/>
                      <w:vertAlign w:val="baseline"/>
                      <w:lang w:val="en-US" w:eastAsia="zh-CN"/>
                    </w:rPr>
                    <w:t>%</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14:paraId="66A3EC1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达标</w:t>
                  </w:r>
                </w:p>
              </w:tc>
            </w:tr>
            <w:tr w14:paraId="542BF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707" w:type="dxa"/>
                  <w:tcBorders>
                    <w:top w:val="single" w:color="000000" w:sz="4" w:space="0"/>
                    <w:left w:val="single" w:color="000000" w:sz="4" w:space="0"/>
                    <w:bottom w:val="single" w:color="000000" w:sz="4" w:space="0"/>
                    <w:right w:val="single" w:color="000000" w:sz="4" w:space="0"/>
                  </w:tcBorders>
                  <w:noWrap w:val="0"/>
                  <w:vAlign w:val="center"/>
                </w:tcPr>
                <w:p w14:paraId="752D35D4">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PM</w:t>
                  </w:r>
                  <w:r>
                    <w:rPr>
                      <w:rFonts w:hint="default" w:ascii="Times New Roman" w:hAnsi="Times New Roman" w:eastAsia="宋体" w:cs="Times New Roman"/>
                      <w:sz w:val="21"/>
                      <w:szCs w:val="21"/>
                      <w:vertAlign w:val="subscript"/>
                      <w:lang w:val="en-US" w:eastAsia="zh-CN"/>
                    </w:rPr>
                    <w:t>2.5</w:t>
                  </w:r>
                </w:p>
              </w:tc>
              <w:tc>
                <w:tcPr>
                  <w:tcW w:w="3100" w:type="dxa"/>
                  <w:tcBorders>
                    <w:top w:val="single" w:color="000000" w:sz="4" w:space="0"/>
                    <w:left w:val="single" w:color="000000" w:sz="4" w:space="0"/>
                    <w:bottom w:val="single" w:color="000000" w:sz="4" w:space="0"/>
                    <w:right w:val="single" w:color="000000" w:sz="4" w:space="0"/>
                  </w:tcBorders>
                  <w:noWrap w:val="0"/>
                  <w:vAlign w:val="center"/>
                </w:tcPr>
                <w:p w14:paraId="72A57965">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年平均质量浓度</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3236CB2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vertAlign w:val="baseline"/>
                      <w:lang w:val="en-US" w:eastAsia="zh-CN"/>
                    </w:rPr>
                    <w:t>34.9</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14:paraId="5C4A6BB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35</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3076C92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cs="Times New Roman"/>
                      <w:kern w:val="0"/>
                      <w:sz w:val="21"/>
                      <w:szCs w:val="21"/>
                      <w:vertAlign w:val="baseline"/>
                      <w:lang w:val="en-US" w:eastAsia="zh-CN"/>
                    </w:rPr>
                    <w:t>98.57</w:t>
                  </w:r>
                  <w:r>
                    <w:rPr>
                      <w:rFonts w:hint="default" w:ascii="Times New Roman" w:hAnsi="Times New Roman" w:eastAsia="宋体" w:cs="Times New Roman"/>
                      <w:kern w:val="0"/>
                      <w:sz w:val="21"/>
                      <w:szCs w:val="21"/>
                      <w:vertAlign w:val="baseline"/>
                      <w:lang w:val="en-US" w:eastAsia="zh-CN"/>
                    </w:rPr>
                    <w:t>%</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14:paraId="6D22A10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达标</w:t>
                  </w:r>
                </w:p>
              </w:tc>
            </w:tr>
            <w:tr w14:paraId="76F20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 w:hRule="atLeast"/>
              </w:trPr>
              <w:tc>
                <w:tcPr>
                  <w:tcW w:w="707" w:type="dxa"/>
                  <w:tcBorders>
                    <w:top w:val="single" w:color="000000" w:sz="4" w:space="0"/>
                    <w:left w:val="single" w:color="000000" w:sz="4" w:space="0"/>
                    <w:bottom w:val="single" w:color="000000" w:sz="4" w:space="0"/>
                    <w:right w:val="single" w:color="000000" w:sz="4" w:space="0"/>
                  </w:tcBorders>
                  <w:noWrap w:val="0"/>
                  <w:vAlign w:val="center"/>
                </w:tcPr>
                <w:p w14:paraId="4A099D2A">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CO</w:t>
                  </w:r>
                </w:p>
              </w:tc>
              <w:tc>
                <w:tcPr>
                  <w:tcW w:w="3100" w:type="dxa"/>
                  <w:tcBorders>
                    <w:top w:val="single" w:color="000000" w:sz="4" w:space="0"/>
                    <w:left w:val="single" w:color="000000" w:sz="4" w:space="0"/>
                    <w:bottom w:val="single" w:color="000000" w:sz="4" w:space="0"/>
                    <w:right w:val="single" w:color="000000" w:sz="4" w:space="0"/>
                  </w:tcBorders>
                  <w:noWrap w:val="0"/>
                  <w:vAlign w:val="center"/>
                </w:tcPr>
                <w:p w14:paraId="275A94B0">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95 位百分位数日平均质量浓度</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3D839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kern w:val="0"/>
                      <w:sz w:val="21"/>
                      <w:szCs w:val="21"/>
                      <w:vertAlign w:val="baseline"/>
                      <w:lang w:val="en-US" w:eastAsia="zh-CN"/>
                    </w:rPr>
                    <w:t>1000</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14:paraId="3C19746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4000</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21F5FE9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kern w:val="0"/>
                      <w:sz w:val="21"/>
                      <w:szCs w:val="21"/>
                      <w:vertAlign w:val="baseline"/>
                      <w:lang w:val="en-US" w:eastAsia="zh-CN"/>
                    </w:rPr>
                    <w:t>25.00%</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14:paraId="63980CA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达标</w:t>
                  </w:r>
                </w:p>
              </w:tc>
            </w:tr>
            <w:tr w14:paraId="2FE25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707" w:type="dxa"/>
                  <w:tcBorders>
                    <w:top w:val="single" w:color="000000" w:sz="4" w:space="0"/>
                    <w:left w:val="single" w:color="000000" w:sz="4" w:space="0"/>
                    <w:bottom w:val="single" w:color="000000" w:sz="4" w:space="0"/>
                    <w:right w:val="single" w:color="000000" w:sz="4" w:space="0"/>
                  </w:tcBorders>
                  <w:noWrap w:val="0"/>
                  <w:vAlign w:val="center"/>
                </w:tcPr>
                <w:p w14:paraId="2B46BC20">
                  <w:pPr>
                    <w:pStyle w:val="80"/>
                    <w:widowControl w:val="0"/>
                    <w:spacing w:line="240" w:lineRule="auto"/>
                    <w:ind w:firstLine="0" w:firstLineChars="0"/>
                    <w:jc w:val="center"/>
                    <w:rPr>
                      <w:rFonts w:hint="default" w:ascii="Times New Roman" w:hAnsi="Times New Roman" w:eastAsia="宋体" w:cs="Times New Roman"/>
                      <w:sz w:val="21"/>
                      <w:szCs w:val="21"/>
                      <w:lang w:val="en-US"/>
                    </w:rPr>
                  </w:pPr>
                  <w:r>
                    <w:rPr>
                      <w:rFonts w:hint="default" w:ascii="Times New Roman" w:hAnsi="Times New Roman" w:eastAsia="宋体" w:cs="Times New Roman"/>
                      <w:sz w:val="21"/>
                      <w:szCs w:val="21"/>
                      <w:lang w:val="en-US" w:eastAsia="zh-CN"/>
                    </w:rPr>
                    <w:t>O</w:t>
                  </w:r>
                  <w:r>
                    <w:rPr>
                      <w:rFonts w:hint="default" w:ascii="Times New Roman" w:hAnsi="Times New Roman" w:eastAsia="宋体" w:cs="Times New Roman"/>
                      <w:sz w:val="21"/>
                      <w:szCs w:val="21"/>
                      <w:vertAlign w:val="subscript"/>
                      <w:lang w:val="en-US" w:eastAsia="zh-CN"/>
                    </w:rPr>
                    <w:t>3</w:t>
                  </w:r>
                </w:p>
              </w:tc>
              <w:tc>
                <w:tcPr>
                  <w:tcW w:w="3100" w:type="dxa"/>
                  <w:tcBorders>
                    <w:top w:val="single" w:color="000000" w:sz="4" w:space="0"/>
                    <w:left w:val="single" w:color="000000" w:sz="4" w:space="0"/>
                    <w:bottom w:val="single" w:color="000000" w:sz="4" w:space="0"/>
                    <w:right w:val="single" w:color="000000" w:sz="4" w:space="0"/>
                  </w:tcBorders>
                  <w:noWrap w:val="0"/>
                  <w:vAlign w:val="center"/>
                </w:tcPr>
                <w:p w14:paraId="1A73DAAC">
                  <w:pPr>
                    <w:pStyle w:val="80"/>
                    <w:widowControl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日最大8小时平均第90百分位数</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62E7CDB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rPr>
                  </w:pPr>
                  <w:r>
                    <w:rPr>
                      <w:rFonts w:hint="default" w:ascii="Times New Roman" w:hAnsi="Times New Roman" w:eastAsia="宋体" w:cs="Times New Roman"/>
                      <w:kern w:val="0"/>
                      <w:sz w:val="21"/>
                      <w:szCs w:val="21"/>
                      <w:vertAlign w:val="baseline"/>
                      <w:lang w:val="en-US" w:eastAsia="zh-CN"/>
                    </w:rPr>
                    <w:t>14</w:t>
                  </w:r>
                  <w:r>
                    <w:rPr>
                      <w:rFonts w:hint="default" w:ascii="Times New Roman" w:hAnsi="Times New Roman" w:cs="Times New Roman"/>
                      <w:kern w:val="0"/>
                      <w:sz w:val="21"/>
                      <w:szCs w:val="21"/>
                      <w:vertAlign w:val="baseline"/>
                      <w:lang w:val="en-US" w:eastAsia="zh-CN"/>
                    </w:rPr>
                    <w:t>1</w:t>
                  </w:r>
                </w:p>
              </w:tc>
              <w:tc>
                <w:tcPr>
                  <w:tcW w:w="1234" w:type="dxa"/>
                  <w:tcBorders>
                    <w:top w:val="single" w:color="000000" w:sz="4" w:space="0"/>
                    <w:left w:val="single" w:color="000000" w:sz="4" w:space="0"/>
                    <w:bottom w:val="single" w:color="000000" w:sz="4" w:space="0"/>
                    <w:right w:val="single" w:color="000000" w:sz="4" w:space="0"/>
                  </w:tcBorders>
                  <w:noWrap w:val="0"/>
                  <w:vAlign w:val="center"/>
                </w:tcPr>
                <w:p w14:paraId="59672ED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160</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14:paraId="01C9615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kern w:val="0"/>
                      <w:sz w:val="21"/>
                      <w:szCs w:val="21"/>
                      <w:vertAlign w:val="baseline"/>
                      <w:lang w:val="en-US" w:eastAsia="zh-CN"/>
                    </w:rPr>
                    <w:t>88.12</w:t>
                  </w:r>
                  <w:r>
                    <w:rPr>
                      <w:rFonts w:hint="default" w:ascii="Times New Roman" w:hAnsi="Times New Roman" w:eastAsia="宋体" w:cs="Times New Roman"/>
                      <w:kern w:val="0"/>
                      <w:sz w:val="21"/>
                      <w:szCs w:val="21"/>
                      <w:vertAlign w:val="baseline"/>
                      <w:lang w:val="en-US" w:eastAsia="zh-CN"/>
                    </w:rPr>
                    <w:t>%</w:t>
                  </w:r>
                </w:p>
              </w:tc>
              <w:tc>
                <w:tcPr>
                  <w:tcW w:w="695" w:type="dxa"/>
                  <w:tcBorders>
                    <w:top w:val="single" w:color="000000" w:sz="4" w:space="0"/>
                    <w:left w:val="single" w:color="000000" w:sz="4" w:space="0"/>
                    <w:bottom w:val="single" w:color="000000" w:sz="4" w:space="0"/>
                    <w:right w:val="single" w:color="000000" w:sz="4" w:space="0"/>
                  </w:tcBorders>
                  <w:noWrap w:val="0"/>
                  <w:vAlign w:val="center"/>
                </w:tcPr>
                <w:p w14:paraId="25FD911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vertAlign w:val="baseline"/>
                      <w:lang w:val="en-US" w:eastAsia="zh-CN"/>
                    </w:rPr>
                    <w:t>达标</w:t>
                  </w:r>
                </w:p>
              </w:tc>
            </w:tr>
          </w:tbl>
          <w:p w14:paraId="13301626">
            <w:pPr>
              <w:pStyle w:val="3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cs="Times New Roman"/>
                <w:kern w:val="0"/>
                <w:sz w:val="24"/>
                <w:szCs w:val="24"/>
                <w:u w:val="none"/>
                <w:lang w:val="en-US" w:eastAsia="zh-CN" w:bidi="ar-SA"/>
              </w:rPr>
            </w:pPr>
            <w:r>
              <w:rPr>
                <w:rFonts w:hint="default" w:ascii="Times New Roman" w:hAnsi="Times New Roman" w:eastAsia="宋体" w:cs="Times New Roman"/>
                <w:kern w:val="0"/>
                <w:sz w:val="24"/>
                <w:szCs w:val="24"/>
                <w:u w:val="none"/>
                <w:lang w:val="en-US" w:eastAsia="zh-CN" w:bidi="ar-SA"/>
              </w:rPr>
              <w:t>由《岳阳市202</w:t>
            </w:r>
            <w:r>
              <w:rPr>
                <w:rFonts w:hint="default" w:ascii="Times New Roman" w:hAnsi="Times New Roman" w:cs="Times New Roman"/>
                <w:kern w:val="0"/>
                <w:sz w:val="24"/>
                <w:szCs w:val="24"/>
                <w:u w:val="none"/>
                <w:lang w:val="en-US" w:eastAsia="zh-CN" w:bidi="ar-SA"/>
              </w:rPr>
              <w:t>5</w:t>
            </w:r>
            <w:r>
              <w:rPr>
                <w:rFonts w:hint="default" w:ascii="Times New Roman" w:hAnsi="Times New Roman" w:eastAsia="宋体" w:cs="Times New Roman"/>
                <w:kern w:val="0"/>
                <w:sz w:val="24"/>
                <w:szCs w:val="24"/>
                <w:u w:val="none"/>
                <w:lang w:val="en-US" w:eastAsia="zh-CN" w:bidi="ar-SA"/>
              </w:rPr>
              <w:t>年度生态环境质量公报》可知，202</w:t>
            </w:r>
            <w:r>
              <w:rPr>
                <w:rFonts w:hint="default" w:ascii="Times New Roman" w:hAnsi="Times New Roman" w:cs="Times New Roman"/>
                <w:kern w:val="0"/>
                <w:sz w:val="24"/>
                <w:szCs w:val="24"/>
                <w:u w:val="none"/>
                <w:lang w:val="en-US" w:eastAsia="zh-CN" w:bidi="ar-SA"/>
              </w:rPr>
              <w:t>5</w:t>
            </w:r>
            <w:r>
              <w:rPr>
                <w:rFonts w:hint="default" w:ascii="Times New Roman" w:hAnsi="Times New Roman" w:eastAsia="宋体" w:cs="Times New Roman"/>
                <w:kern w:val="0"/>
                <w:sz w:val="24"/>
                <w:szCs w:val="24"/>
                <w:u w:val="none"/>
                <w:lang w:val="en-US" w:eastAsia="zh-CN" w:bidi="ar-SA"/>
              </w:rPr>
              <w:t>年项目所在质量现状区域基本污染物SO</w:t>
            </w:r>
            <w:r>
              <w:rPr>
                <w:rFonts w:hint="default" w:ascii="Times New Roman" w:hAnsi="Times New Roman" w:eastAsia="宋体" w:cs="Times New Roman"/>
                <w:kern w:val="0"/>
                <w:sz w:val="24"/>
                <w:szCs w:val="24"/>
                <w:u w:val="none"/>
                <w:vertAlign w:val="subscript"/>
                <w:lang w:val="en-US" w:eastAsia="zh-CN" w:bidi="ar-SA"/>
              </w:rPr>
              <w:t>2</w:t>
            </w:r>
            <w:r>
              <w:rPr>
                <w:rFonts w:hint="default" w:ascii="Times New Roman" w:hAnsi="Times New Roman" w:eastAsia="宋体" w:cs="Times New Roman"/>
                <w:kern w:val="0"/>
                <w:sz w:val="24"/>
                <w:szCs w:val="24"/>
                <w:u w:val="none"/>
                <w:lang w:val="en-US" w:eastAsia="zh-CN" w:bidi="ar-SA"/>
              </w:rPr>
              <w:t>、NO</w:t>
            </w:r>
            <w:r>
              <w:rPr>
                <w:rFonts w:hint="default" w:ascii="Times New Roman" w:hAnsi="Times New Roman" w:eastAsia="宋体" w:cs="Times New Roman"/>
                <w:kern w:val="0"/>
                <w:sz w:val="24"/>
                <w:szCs w:val="24"/>
                <w:u w:val="none"/>
                <w:vertAlign w:val="subscript"/>
                <w:lang w:val="en-US" w:eastAsia="zh-CN" w:bidi="ar-SA"/>
              </w:rPr>
              <w:t>2</w:t>
            </w:r>
            <w:r>
              <w:rPr>
                <w:rFonts w:hint="default" w:ascii="Times New Roman" w:hAnsi="Times New Roman" w:eastAsia="宋体" w:cs="Times New Roman"/>
                <w:kern w:val="0"/>
                <w:sz w:val="24"/>
                <w:szCs w:val="24"/>
                <w:u w:val="none"/>
                <w:lang w:val="en-US" w:eastAsia="zh-CN" w:bidi="ar-SA"/>
              </w:rPr>
              <w:t>、PM</w:t>
            </w:r>
            <w:r>
              <w:rPr>
                <w:rFonts w:hint="default" w:ascii="Times New Roman" w:hAnsi="Times New Roman" w:eastAsia="宋体" w:cs="Times New Roman"/>
                <w:kern w:val="0"/>
                <w:sz w:val="24"/>
                <w:szCs w:val="24"/>
                <w:u w:val="none"/>
                <w:vertAlign w:val="subscript"/>
                <w:lang w:val="en-US" w:eastAsia="zh-CN" w:bidi="ar-SA"/>
              </w:rPr>
              <w:t>10</w:t>
            </w:r>
            <w:r>
              <w:rPr>
                <w:rFonts w:hint="default" w:ascii="Times New Roman" w:hAnsi="Times New Roman" w:eastAsia="宋体" w:cs="Times New Roman"/>
                <w:kern w:val="0"/>
                <w:sz w:val="24"/>
                <w:szCs w:val="24"/>
                <w:u w:val="none"/>
                <w:lang w:val="en-US" w:eastAsia="zh-CN" w:bidi="ar-SA"/>
              </w:rPr>
              <w:t>、PM</w:t>
            </w:r>
            <w:r>
              <w:rPr>
                <w:rFonts w:hint="default" w:ascii="Times New Roman" w:hAnsi="Times New Roman" w:eastAsia="宋体" w:cs="Times New Roman"/>
                <w:kern w:val="0"/>
                <w:sz w:val="24"/>
                <w:szCs w:val="24"/>
                <w:u w:val="none"/>
                <w:vertAlign w:val="subscript"/>
                <w:lang w:val="en-US" w:eastAsia="zh-CN" w:bidi="ar-SA"/>
              </w:rPr>
              <w:t>2.5</w:t>
            </w:r>
            <w:r>
              <w:rPr>
                <w:rFonts w:hint="default" w:ascii="Times New Roman" w:hAnsi="Times New Roman" w:eastAsia="宋体" w:cs="Times New Roman"/>
                <w:kern w:val="0"/>
                <w:sz w:val="24"/>
                <w:szCs w:val="24"/>
                <w:u w:val="none"/>
                <w:lang w:val="en-US" w:eastAsia="zh-CN" w:bidi="ar-SA"/>
              </w:rPr>
              <w:t>、CO和O</w:t>
            </w:r>
            <w:r>
              <w:rPr>
                <w:rFonts w:hint="default" w:ascii="Times New Roman" w:hAnsi="Times New Roman" w:eastAsia="宋体" w:cs="Times New Roman"/>
                <w:kern w:val="0"/>
                <w:sz w:val="24"/>
                <w:szCs w:val="24"/>
                <w:u w:val="none"/>
                <w:vertAlign w:val="subscript"/>
                <w:lang w:val="en-US" w:eastAsia="zh-CN" w:bidi="ar-SA"/>
              </w:rPr>
              <w:t>3</w:t>
            </w:r>
            <w:r>
              <w:rPr>
                <w:rFonts w:hint="default" w:ascii="Times New Roman" w:hAnsi="Times New Roman" w:eastAsia="宋体" w:cs="Times New Roman"/>
                <w:kern w:val="0"/>
                <w:sz w:val="24"/>
                <w:szCs w:val="24"/>
                <w:u w:val="none"/>
                <w:lang w:val="en-US" w:eastAsia="zh-CN" w:bidi="ar-SA"/>
              </w:rPr>
              <w:t>均满足《环境空气质量标准》（GB3095-2012）及其修改单二级标准要求，</w:t>
            </w:r>
            <w:r>
              <w:rPr>
                <w:rFonts w:hint="default" w:ascii="Times New Roman" w:hAnsi="Times New Roman" w:cs="Times New Roman"/>
                <w:kern w:val="0"/>
                <w:sz w:val="24"/>
                <w:szCs w:val="24"/>
                <w:u w:val="none"/>
                <w:lang w:val="en-US" w:eastAsia="zh-CN" w:bidi="ar-SA"/>
              </w:rPr>
              <w:t>故2025年度的公报</w:t>
            </w:r>
            <w:r>
              <w:rPr>
                <w:rFonts w:hint="default" w:ascii="Times New Roman" w:hAnsi="Times New Roman" w:eastAsia="宋体" w:cs="Times New Roman"/>
                <w:kern w:val="0"/>
                <w:sz w:val="24"/>
                <w:szCs w:val="24"/>
                <w:u w:val="none"/>
                <w:lang w:val="en-US" w:eastAsia="zh-CN" w:bidi="ar-SA"/>
              </w:rPr>
              <w:t>判定本项目所在区域202</w:t>
            </w:r>
            <w:r>
              <w:rPr>
                <w:rFonts w:hint="default" w:ascii="Times New Roman" w:hAnsi="Times New Roman" w:cs="Times New Roman"/>
                <w:kern w:val="0"/>
                <w:sz w:val="24"/>
                <w:szCs w:val="24"/>
                <w:u w:val="none"/>
                <w:lang w:val="en-US" w:eastAsia="zh-CN" w:bidi="ar-SA"/>
              </w:rPr>
              <w:t>5</w:t>
            </w:r>
            <w:r>
              <w:rPr>
                <w:rFonts w:hint="default" w:ascii="Times New Roman" w:hAnsi="Times New Roman" w:eastAsia="宋体" w:cs="Times New Roman"/>
                <w:kern w:val="0"/>
                <w:sz w:val="24"/>
                <w:szCs w:val="24"/>
                <w:u w:val="none"/>
                <w:lang w:val="en-US" w:eastAsia="zh-CN" w:bidi="ar-SA"/>
              </w:rPr>
              <w:t>年为环境空气质量达标区</w:t>
            </w:r>
            <w:r>
              <w:rPr>
                <w:rFonts w:hint="default" w:ascii="Times New Roman" w:hAnsi="Times New Roman" w:cs="Times New Roman"/>
                <w:kern w:val="0"/>
                <w:sz w:val="24"/>
                <w:szCs w:val="24"/>
                <w:u w:val="none"/>
                <w:lang w:val="en-US" w:eastAsia="zh-CN" w:bidi="ar-SA"/>
              </w:rPr>
              <w:t>。</w:t>
            </w:r>
          </w:p>
          <w:p w14:paraId="587372F9">
            <w:pPr>
              <w:pStyle w:val="3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480" w:firstLineChars="200"/>
              <w:jc w:val="both"/>
              <w:textAlignment w:val="auto"/>
              <w:rPr>
                <w:rFonts w:hint="default" w:ascii="Times New Roman" w:hAnsi="Times New Roman" w:eastAsia="宋体" w:cs="Times New Roman"/>
                <w:b w:val="0"/>
                <w:bCs w:val="0"/>
                <w:color w:val="auto"/>
                <w:kern w:val="0"/>
                <w:sz w:val="24"/>
                <w:szCs w:val="24"/>
                <w:u w:val="none"/>
                <w:lang w:val="en-US" w:eastAsia="zh-CN" w:bidi="ar-SA"/>
              </w:rPr>
            </w:pPr>
            <w:r>
              <w:rPr>
                <w:rFonts w:hint="default" w:ascii="Times New Roman" w:hAnsi="Times New Roman" w:cs="Times New Roman"/>
                <w:b w:val="0"/>
                <w:bCs w:val="0"/>
                <w:color w:val="auto"/>
                <w:kern w:val="0"/>
                <w:sz w:val="24"/>
                <w:szCs w:val="24"/>
                <w:u w:val="single"/>
                <w:lang w:val="en-US" w:eastAsia="zh-CN" w:bidi="ar-SA"/>
              </w:rPr>
              <w:t>《环境空气质量标准》（GB3095-2026）已于2026年3月1日开始实施，本次环评引用的2025年环境质量公报仍执行2012版标准，故《岳阳市2025年度生态环境质量公报》判定为环境空气质量达标区，但《环境空气质量标准》（GB3095-2026）中：表1 环境空气污染物基本项目浓度限制“过渡阶段浓度限值”为：SO</w:t>
            </w:r>
            <w:r>
              <w:rPr>
                <w:rFonts w:hint="default" w:ascii="Times New Roman" w:hAnsi="Times New Roman" w:cs="Times New Roman"/>
                <w:b w:val="0"/>
                <w:bCs w:val="0"/>
                <w:color w:val="auto"/>
                <w:kern w:val="0"/>
                <w:sz w:val="24"/>
                <w:szCs w:val="24"/>
                <w:u w:val="single"/>
                <w:vertAlign w:val="subscript"/>
                <w:lang w:val="en-US" w:eastAsia="zh-CN" w:bidi="ar-SA"/>
              </w:rPr>
              <w:t>2</w:t>
            </w:r>
            <w:r>
              <w:rPr>
                <w:rFonts w:hint="default" w:ascii="Times New Roman" w:hAnsi="Times New Roman" w:cs="Times New Roman"/>
                <w:b w:val="0"/>
                <w:bCs w:val="0"/>
                <w:color w:val="auto"/>
                <w:kern w:val="0"/>
                <w:sz w:val="24"/>
                <w:szCs w:val="24"/>
                <w:u w:val="single"/>
                <w:lang w:val="en-US" w:eastAsia="zh-CN" w:bidi="ar-SA"/>
              </w:rPr>
              <w:t>：60μg/m³、NO</w:t>
            </w:r>
            <w:r>
              <w:rPr>
                <w:rFonts w:hint="default" w:ascii="Times New Roman" w:hAnsi="Times New Roman" w:cs="Times New Roman"/>
                <w:b w:val="0"/>
                <w:bCs w:val="0"/>
                <w:color w:val="auto"/>
                <w:kern w:val="0"/>
                <w:sz w:val="24"/>
                <w:szCs w:val="24"/>
                <w:u w:val="single"/>
                <w:vertAlign w:val="subscript"/>
                <w:lang w:val="en-US" w:eastAsia="zh-CN" w:bidi="ar-SA"/>
              </w:rPr>
              <w:t>2</w:t>
            </w:r>
            <w:r>
              <w:rPr>
                <w:rFonts w:hint="default" w:ascii="Times New Roman" w:hAnsi="Times New Roman" w:cs="Times New Roman"/>
                <w:b w:val="0"/>
                <w:bCs w:val="0"/>
                <w:color w:val="auto"/>
                <w:kern w:val="0"/>
                <w:sz w:val="24"/>
                <w:szCs w:val="24"/>
                <w:u w:val="single"/>
                <w:lang w:val="en-US" w:eastAsia="zh-CN" w:bidi="ar-SA"/>
              </w:rPr>
              <w:t>:40μg/m³、CO：4000μg/m³、O</w:t>
            </w:r>
            <w:r>
              <w:rPr>
                <w:rFonts w:hint="default" w:ascii="Times New Roman" w:hAnsi="Times New Roman" w:cs="Times New Roman"/>
                <w:b w:val="0"/>
                <w:bCs w:val="0"/>
                <w:color w:val="auto"/>
                <w:kern w:val="0"/>
                <w:sz w:val="24"/>
                <w:szCs w:val="24"/>
                <w:u w:val="single"/>
                <w:vertAlign w:val="subscript"/>
                <w:lang w:val="en-US" w:eastAsia="zh-CN" w:bidi="ar-SA"/>
              </w:rPr>
              <w:t>3</w:t>
            </w:r>
            <w:r>
              <w:rPr>
                <w:rFonts w:hint="default" w:ascii="Times New Roman" w:hAnsi="Times New Roman" w:cs="Times New Roman"/>
                <w:b w:val="0"/>
                <w:bCs w:val="0"/>
                <w:color w:val="auto"/>
                <w:kern w:val="0"/>
                <w:sz w:val="24"/>
                <w:szCs w:val="24"/>
                <w:u w:val="single"/>
                <w:lang w:val="en-US" w:eastAsia="zh-CN" w:bidi="ar-SA"/>
              </w:rPr>
              <w:t>:160μg/m³、PM</w:t>
            </w:r>
            <w:r>
              <w:rPr>
                <w:rFonts w:hint="default" w:ascii="Times New Roman" w:hAnsi="Times New Roman" w:cs="Times New Roman"/>
                <w:b w:val="0"/>
                <w:bCs w:val="0"/>
                <w:color w:val="auto"/>
                <w:kern w:val="0"/>
                <w:sz w:val="24"/>
                <w:szCs w:val="24"/>
                <w:u w:val="single"/>
                <w:vertAlign w:val="subscript"/>
                <w:lang w:val="en-US" w:eastAsia="zh-CN" w:bidi="ar-SA"/>
              </w:rPr>
              <w:t>10</w:t>
            </w:r>
            <w:r>
              <w:rPr>
                <w:rFonts w:hint="default" w:ascii="Times New Roman" w:hAnsi="Times New Roman" w:cs="Times New Roman"/>
                <w:b w:val="0"/>
                <w:bCs w:val="0"/>
                <w:color w:val="auto"/>
                <w:kern w:val="0"/>
                <w:sz w:val="24"/>
                <w:szCs w:val="24"/>
                <w:u w:val="single"/>
                <w:lang w:val="en-US" w:eastAsia="zh-CN" w:bidi="ar-SA"/>
              </w:rPr>
              <w:t>:60μg/m³、PM</w:t>
            </w:r>
            <w:r>
              <w:rPr>
                <w:rFonts w:hint="default" w:ascii="Times New Roman" w:hAnsi="Times New Roman" w:cs="Times New Roman"/>
                <w:b w:val="0"/>
                <w:bCs w:val="0"/>
                <w:color w:val="auto"/>
                <w:kern w:val="0"/>
                <w:sz w:val="24"/>
                <w:szCs w:val="24"/>
                <w:u w:val="single"/>
                <w:vertAlign w:val="subscript"/>
                <w:lang w:val="en-US" w:eastAsia="zh-CN" w:bidi="ar-SA"/>
              </w:rPr>
              <w:t>2.5</w:t>
            </w:r>
            <w:r>
              <w:rPr>
                <w:rFonts w:hint="default" w:ascii="Times New Roman" w:hAnsi="Times New Roman" w:cs="Times New Roman"/>
                <w:b w:val="0"/>
                <w:bCs w:val="0"/>
                <w:color w:val="auto"/>
                <w:kern w:val="0"/>
                <w:sz w:val="24"/>
                <w:szCs w:val="24"/>
                <w:u w:val="single"/>
                <w:lang w:val="en-US" w:eastAsia="zh-CN" w:bidi="ar-SA"/>
              </w:rPr>
              <w:t>:30μg/m³，按照2026年标准判定，则本项目所在区域PM</w:t>
            </w:r>
            <w:r>
              <w:rPr>
                <w:rFonts w:hint="default" w:ascii="Times New Roman" w:hAnsi="Times New Roman" w:cs="Times New Roman"/>
                <w:b w:val="0"/>
                <w:bCs w:val="0"/>
                <w:color w:val="auto"/>
                <w:kern w:val="0"/>
                <w:sz w:val="24"/>
                <w:szCs w:val="24"/>
                <w:u w:val="single"/>
                <w:vertAlign w:val="subscript"/>
                <w:lang w:val="en-US" w:eastAsia="zh-CN" w:bidi="ar-SA"/>
              </w:rPr>
              <w:t>2.5</w:t>
            </w:r>
            <w:r>
              <w:rPr>
                <w:rFonts w:hint="default" w:ascii="Times New Roman" w:hAnsi="Times New Roman" w:cs="Times New Roman"/>
                <w:b w:val="0"/>
                <w:bCs w:val="0"/>
                <w:color w:val="auto"/>
                <w:kern w:val="0"/>
                <w:sz w:val="24"/>
                <w:szCs w:val="24"/>
                <w:u w:val="single"/>
                <w:lang w:val="en-US" w:eastAsia="zh-CN" w:bidi="ar-SA"/>
              </w:rPr>
              <w:t>超标，为环境空气质量不达标区</w:t>
            </w:r>
            <w:r>
              <w:rPr>
                <w:rFonts w:hint="default" w:ascii="Times New Roman" w:hAnsi="Times New Roman" w:cs="Times New Roman"/>
                <w:b w:val="0"/>
                <w:bCs w:val="0"/>
                <w:color w:val="auto"/>
                <w:kern w:val="0"/>
                <w:sz w:val="24"/>
                <w:szCs w:val="24"/>
                <w:u w:val="none"/>
                <w:lang w:val="en-US" w:eastAsia="zh-CN" w:bidi="ar-SA"/>
              </w:rPr>
              <w:t>。</w:t>
            </w:r>
          </w:p>
          <w:p w14:paraId="50ADDB79">
            <w:pPr>
              <w:pStyle w:val="3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textAlignment w:val="auto"/>
              <w:rPr>
                <w:rFonts w:hint="default" w:ascii="Times New Roman" w:hAnsi="Times New Roman" w:eastAsia="宋体" w:cs="Times New Roman"/>
                <w:color w:val="auto"/>
                <w:kern w:val="0"/>
                <w:sz w:val="24"/>
                <w:szCs w:val="24"/>
                <w:u w:val="none"/>
                <w:lang w:val="en-US" w:eastAsia="zh-CN" w:bidi="ar-SA"/>
              </w:rPr>
            </w:pPr>
            <w:r>
              <w:rPr>
                <w:rFonts w:hint="eastAsia" w:cs="Times New Roman"/>
                <w:color w:val="auto"/>
                <w:kern w:val="0"/>
                <w:sz w:val="24"/>
                <w:szCs w:val="24"/>
                <w:u w:val="single"/>
                <w:lang w:val="en-US" w:eastAsia="zh-CN" w:bidi="ar-SA"/>
              </w:rPr>
              <w:t>根据《湖南省大气污染防治攻坚三年行动实施方案（2026~2028 年）》，“到2028年，全省PM</w:t>
            </w:r>
            <w:r>
              <w:rPr>
                <w:rFonts w:hint="eastAsia" w:cs="Times New Roman"/>
                <w:color w:val="auto"/>
                <w:kern w:val="0"/>
                <w:sz w:val="24"/>
                <w:szCs w:val="24"/>
                <w:u w:val="single"/>
                <w:vertAlign w:val="subscript"/>
                <w:lang w:val="en-US" w:eastAsia="zh-CN" w:bidi="ar-SA"/>
              </w:rPr>
              <w:t>2.5</w:t>
            </w:r>
            <w:r>
              <w:rPr>
                <w:rFonts w:hint="eastAsia" w:cs="Times New Roman"/>
                <w:color w:val="auto"/>
                <w:kern w:val="0"/>
                <w:sz w:val="24"/>
                <w:szCs w:val="24"/>
                <w:u w:val="single"/>
                <w:lang w:val="en-US" w:eastAsia="zh-CN" w:bidi="ar-SA"/>
              </w:rPr>
              <w:t>年平均浓度控制在31.7 ug/m</w:t>
            </w:r>
            <w:r>
              <w:rPr>
                <w:rFonts w:hint="eastAsia" w:cs="Times New Roman"/>
                <w:color w:val="auto"/>
                <w:kern w:val="0"/>
                <w:sz w:val="24"/>
                <w:szCs w:val="24"/>
                <w:u w:val="single"/>
                <w:vertAlign w:val="superscript"/>
                <w:lang w:val="en-US" w:eastAsia="zh-CN" w:bidi="ar-SA"/>
              </w:rPr>
              <w:t>3</w:t>
            </w:r>
            <w:r>
              <w:rPr>
                <w:rFonts w:hint="eastAsia" w:cs="Times New Roman"/>
                <w:color w:val="auto"/>
                <w:kern w:val="0"/>
                <w:sz w:val="24"/>
                <w:szCs w:val="24"/>
                <w:u w:val="single"/>
                <w:lang w:val="en-US" w:eastAsia="zh-CN" w:bidi="ar-SA"/>
              </w:rPr>
              <w:t>以内”，在落实实施方案的基础上，区域环境质量将逐渐好转；同时，</w:t>
            </w:r>
            <w:r>
              <w:rPr>
                <w:rFonts w:hint="default" w:ascii="Times New Roman" w:hAnsi="Times New Roman" w:cs="Times New Roman"/>
                <w:color w:val="auto"/>
                <w:kern w:val="0"/>
                <w:sz w:val="24"/>
                <w:szCs w:val="24"/>
                <w:u w:val="single"/>
                <w:lang w:val="en-US" w:eastAsia="zh-CN" w:bidi="ar-SA"/>
              </w:rPr>
              <w:t>岳阳市政府开展了“夏季攻势”等一系列的专项行动来治理环境空气，制定了《岳阳市大气污染防治攻坚三年行动实施方案（2026-2028年）》指导全市的环境空气治理工作，岳阳市的环境空气质量整体呈稳步向好趋势</w:t>
            </w:r>
            <w:r>
              <w:rPr>
                <w:rFonts w:hint="default" w:ascii="Times New Roman" w:hAnsi="Times New Roman" w:eastAsia="宋体" w:cs="Times New Roman"/>
                <w:color w:val="auto"/>
                <w:kern w:val="0"/>
                <w:sz w:val="24"/>
                <w:szCs w:val="24"/>
                <w:u w:val="none"/>
                <w:lang w:val="en-US" w:eastAsia="zh-CN" w:bidi="ar-SA"/>
              </w:rPr>
              <w:t>。</w:t>
            </w:r>
          </w:p>
          <w:p w14:paraId="53F42D4C">
            <w:pPr>
              <w:adjustRightInd w:val="0"/>
              <w:snapToGrid w:val="0"/>
              <w:spacing w:line="360" w:lineRule="auto"/>
              <w:ind w:firstLine="480" w:firstLineChars="200"/>
              <w:jc w:val="left"/>
              <w:rPr>
                <w:rFonts w:hint="default" w:ascii="Times New Roman" w:hAnsi="Times New Roman" w:eastAsia="宋体" w:cs="Times New Roman"/>
                <w:b w:val="0"/>
                <w:bCs w:val="0"/>
                <w:kern w:val="0"/>
                <w:sz w:val="24"/>
                <w:szCs w:val="24"/>
                <w:u w:val="none"/>
              </w:rPr>
            </w:pPr>
            <w:r>
              <w:rPr>
                <w:rFonts w:hint="default" w:ascii="Times New Roman" w:hAnsi="Times New Roman" w:eastAsia="宋体" w:cs="Times New Roman"/>
                <w:b w:val="0"/>
                <w:bCs w:val="0"/>
                <w:kern w:val="0"/>
                <w:sz w:val="24"/>
                <w:szCs w:val="24"/>
                <w:u w:val="none"/>
              </w:rPr>
              <w:t>（2）特征污染物环境质量现状</w:t>
            </w:r>
          </w:p>
          <w:p w14:paraId="04657570">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u w:val="single"/>
              </w:rPr>
            </w:pPr>
            <w:r>
              <w:rPr>
                <w:rFonts w:hint="default" w:ascii="Times New Roman" w:hAnsi="Times New Roman" w:eastAsia="宋体" w:cs="Times New Roman"/>
                <w:kern w:val="0"/>
                <w:sz w:val="24"/>
                <w:szCs w:val="24"/>
                <w:u w:val="none"/>
              </w:rPr>
              <w:t>为了解项目区域特征污染物的空气环境质量现状，结合本项目实际情况，确定本项目特征污染物为氨、氯</w:t>
            </w:r>
            <w:r>
              <w:rPr>
                <w:rFonts w:hint="default" w:ascii="Times New Roman" w:hAnsi="Times New Roman" w:cs="Times New Roman"/>
                <w:kern w:val="0"/>
                <w:sz w:val="24"/>
                <w:szCs w:val="24"/>
                <w:u w:val="none"/>
                <w:lang w:val="en-US" w:eastAsia="zh-CN"/>
              </w:rPr>
              <w:t>气、臭气浓度</w:t>
            </w:r>
            <w:r>
              <w:rPr>
                <w:rFonts w:hint="default" w:ascii="Times New Roman" w:hAnsi="Times New Roman" w:eastAsia="宋体" w:cs="Times New Roman"/>
                <w:kern w:val="0"/>
                <w:sz w:val="24"/>
                <w:szCs w:val="24"/>
                <w:u w:val="none"/>
              </w:rPr>
              <w:t>及硫化氢</w:t>
            </w:r>
            <w:r>
              <w:rPr>
                <w:rFonts w:hint="default" w:ascii="Times New Roman" w:hAnsi="Times New Roman" w:cs="Times New Roman"/>
                <w:kern w:val="0"/>
                <w:sz w:val="24"/>
                <w:szCs w:val="24"/>
                <w:u w:val="none"/>
                <w:lang w:eastAsia="zh-CN"/>
              </w:rPr>
              <w:t>，</w:t>
            </w:r>
            <w:r>
              <w:rPr>
                <w:rFonts w:hint="default" w:ascii="Times New Roman" w:hAnsi="Times New Roman" w:eastAsia="宋体" w:cs="Times New Roman"/>
                <w:kern w:val="0"/>
                <w:sz w:val="24"/>
                <w:szCs w:val="24"/>
                <w:u w:val="none"/>
              </w:rPr>
              <w:t>本</w:t>
            </w:r>
            <w:r>
              <w:rPr>
                <w:rFonts w:hint="default" w:ascii="Times New Roman" w:hAnsi="Times New Roman" w:cs="Times New Roman"/>
                <w:kern w:val="0"/>
                <w:sz w:val="24"/>
                <w:szCs w:val="24"/>
                <w:u w:val="none"/>
                <w:lang w:val="en-US" w:eastAsia="zh-CN"/>
              </w:rPr>
              <w:t>评价</w:t>
            </w:r>
            <w:r>
              <w:rPr>
                <w:rFonts w:hint="default" w:ascii="Times New Roman" w:hAnsi="Times New Roman" w:eastAsia="宋体" w:cs="Times New Roman"/>
                <w:kern w:val="0"/>
                <w:sz w:val="24"/>
                <w:szCs w:val="24"/>
                <w:u w:val="none"/>
              </w:rPr>
              <w:t>委托</w:t>
            </w:r>
            <w:r>
              <w:rPr>
                <w:rFonts w:hint="default" w:ascii="Times New Roman" w:hAnsi="Times New Roman" w:cs="Times New Roman"/>
                <w:color w:val="auto"/>
                <w:kern w:val="0"/>
                <w:sz w:val="24"/>
                <w:szCs w:val="24"/>
                <w:highlight w:val="none"/>
                <w:u w:val="none"/>
                <w:shd w:val="clear"/>
                <w:lang w:eastAsia="zh-CN"/>
              </w:rPr>
              <w:t>湖南宇昂检测技术有限公司</w:t>
            </w:r>
            <w:r>
              <w:rPr>
                <w:rFonts w:hint="default" w:ascii="Times New Roman" w:hAnsi="Times New Roman" w:eastAsia="宋体" w:cs="Times New Roman"/>
                <w:kern w:val="0"/>
                <w:sz w:val="24"/>
                <w:szCs w:val="24"/>
                <w:u w:val="none"/>
              </w:rPr>
              <w:t>对项目特征污染物进行了</w:t>
            </w:r>
            <w:r>
              <w:rPr>
                <w:rFonts w:hint="default" w:ascii="Times New Roman" w:hAnsi="Times New Roman" w:eastAsia="宋体" w:cs="Times New Roman"/>
                <w:color w:val="auto"/>
                <w:kern w:val="0"/>
                <w:sz w:val="24"/>
                <w:szCs w:val="24"/>
                <w:u w:val="none"/>
              </w:rPr>
              <w:t>现状监测，</w:t>
            </w:r>
            <w:r>
              <w:rPr>
                <w:rFonts w:hint="default" w:ascii="Times New Roman" w:hAnsi="Times New Roman" w:cs="Times New Roman"/>
                <w:color w:val="auto"/>
                <w:kern w:val="0"/>
                <w:sz w:val="24"/>
                <w:szCs w:val="24"/>
                <w:u w:val="none"/>
                <w:lang w:val="en-US" w:eastAsia="zh-CN"/>
              </w:rPr>
              <w:t>监测点</w:t>
            </w:r>
            <w:r>
              <w:rPr>
                <w:rFonts w:hint="default" w:ascii="Times New Roman" w:hAnsi="Times New Roman" w:eastAsia="宋体" w:cs="Times New Roman"/>
                <w:color w:val="auto"/>
                <w:kern w:val="0"/>
                <w:sz w:val="24"/>
                <w:szCs w:val="24"/>
                <w:u w:val="none"/>
              </w:rPr>
              <w:t>位于本项目</w:t>
            </w:r>
            <w:r>
              <w:rPr>
                <w:rFonts w:hint="default" w:ascii="Times New Roman" w:hAnsi="Times New Roman" w:cs="Times New Roman"/>
                <w:color w:val="auto"/>
                <w:kern w:val="0"/>
                <w:sz w:val="24"/>
                <w:szCs w:val="24"/>
                <w:u w:val="none"/>
                <w:lang w:val="en-US" w:eastAsia="zh-CN"/>
              </w:rPr>
              <w:t>西南</w:t>
            </w:r>
            <w:r>
              <w:rPr>
                <w:rFonts w:hint="default" w:ascii="Times New Roman" w:hAnsi="Times New Roman" w:eastAsia="宋体" w:cs="Times New Roman"/>
                <w:color w:val="auto"/>
                <w:kern w:val="0"/>
                <w:sz w:val="24"/>
                <w:szCs w:val="24"/>
                <w:u w:val="none"/>
              </w:rPr>
              <w:t>侧</w:t>
            </w:r>
            <w:r>
              <w:rPr>
                <w:rFonts w:hint="default" w:ascii="Times New Roman" w:hAnsi="Times New Roman" w:cs="Times New Roman"/>
                <w:color w:val="auto"/>
                <w:kern w:val="0"/>
                <w:sz w:val="24"/>
                <w:szCs w:val="24"/>
                <w:u w:val="none"/>
                <w:lang w:val="en-US" w:eastAsia="zh-CN"/>
              </w:rPr>
              <w:t>186</w:t>
            </w:r>
            <w:r>
              <w:rPr>
                <w:rFonts w:hint="default" w:ascii="Times New Roman" w:hAnsi="Times New Roman" w:eastAsia="宋体" w:cs="Times New Roman"/>
                <w:color w:val="auto"/>
                <w:kern w:val="0"/>
                <w:sz w:val="24"/>
                <w:szCs w:val="24"/>
                <w:u w:val="none"/>
              </w:rPr>
              <w:t>米。特征污染物环境质量现状监测数据见下表3-2。</w:t>
            </w:r>
          </w:p>
          <w:p w14:paraId="5EDF02F7">
            <w:pPr>
              <w:adjustRightInd w:val="0"/>
              <w:snapToGrid w:val="0"/>
              <w:spacing w:line="360" w:lineRule="auto"/>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表3-2 特征污染物环境质量现状监测数据一览表</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
              <w:gridCol w:w="1773"/>
              <w:gridCol w:w="1183"/>
              <w:gridCol w:w="2"/>
              <w:gridCol w:w="1277"/>
              <w:gridCol w:w="1243"/>
              <w:gridCol w:w="1167"/>
            </w:tblGrid>
            <w:tr w14:paraId="2062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gridSpan w:val="2"/>
                  <w:vMerge w:val="restart"/>
                  <w:vAlign w:val="center"/>
                </w:tcPr>
                <w:p w14:paraId="1C6EE233">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采样日期</w:t>
                  </w:r>
                </w:p>
              </w:tc>
              <w:tc>
                <w:tcPr>
                  <w:tcW w:w="1773" w:type="dxa"/>
                  <w:vMerge w:val="restart"/>
                  <w:vAlign w:val="center"/>
                </w:tcPr>
                <w:p w14:paraId="5B5033B2">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采样点位</w:t>
                  </w:r>
                </w:p>
              </w:tc>
              <w:tc>
                <w:tcPr>
                  <w:tcW w:w="4872" w:type="dxa"/>
                  <w:gridSpan w:val="5"/>
                </w:tcPr>
                <w:p w14:paraId="20F81888">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检测结果（mg/m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lang w:val="en-US" w:eastAsia="zh-CN"/>
                    </w:rPr>
                    <w:t>；臭气浓度：无量纲）</w:t>
                  </w:r>
                </w:p>
              </w:tc>
            </w:tr>
            <w:tr w14:paraId="723D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gridSpan w:val="2"/>
                  <w:vMerge w:val="continue"/>
                </w:tcPr>
                <w:p w14:paraId="25D8B99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773" w:type="dxa"/>
                  <w:vMerge w:val="continue"/>
                </w:tcPr>
                <w:p w14:paraId="473AFBB6">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4872" w:type="dxa"/>
                  <w:gridSpan w:val="5"/>
                  <w:vAlign w:val="center"/>
                </w:tcPr>
                <w:p w14:paraId="47D99B1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氨</w:t>
                  </w:r>
                </w:p>
              </w:tc>
            </w:tr>
            <w:tr w14:paraId="59F60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gridSpan w:val="2"/>
                  <w:vMerge w:val="continue"/>
                </w:tcPr>
                <w:p w14:paraId="6957AFE4">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773" w:type="dxa"/>
                  <w:vMerge w:val="continue"/>
                </w:tcPr>
                <w:p w14:paraId="0F885B5B">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185" w:type="dxa"/>
                  <w:gridSpan w:val="2"/>
                  <w:vAlign w:val="center"/>
                </w:tcPr>
                <w:p w14:paraId="7C681FAB">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第一次</w:t>
                  </w:r>
                </w:p>
              </w:tc>
              <w:tc>
                <w:tcPr>
                  <w:tcW w:w="1277" w:type="dxa"/>
                  <w:vAlign w:val="center"/>
                </w:tcPr>
                <w:p w14:paraId="1193340A">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第二次</w:t>
                  </w:r>
                </w:p>
              </w:tc>
              <w:tc>
                <w:tcPr>
                  <w:tcW w:w="1243" w:type="dxa"/>
                  <w:vAlign w:val="center"/>
                </w:tcPr>
                <w:p w14:paraId="155F2FF7">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第三次</w:t>
                  </w:r>
                </w:p>
              </w:tc>
              <w:tc>
                <w:tcPr>
                  <w:tcW w:w="1167" w:type="dxa"/>
                  <w:vAlign w:val="center"/>
                </w:tcPr>
                <w:p w14:paraId="42D0548A">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第四次</w:t>
                  </w:r>
                </w:p>
              </w:tc>
            </w:tr>
            <w:tr w14:paraId="2697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gridSpan w:val="2"/>
                  <w:vAlign w:val="center"/>
                </w:tcPr>
                <w:p w14:paraId="3C8D03C7">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2026.05.21</w:t>
                  </w:r>
                </w:p>
              </w:tc>
              <w:tc>
                <w:tcPr>
                  <w:tcW w:w="1773" w:type="dxa"/>
                  <w:vMerge w:val="restart"/>
                  <w:vAlign w:val="center"/>
                </w:tcPr>
                <w:p w14:paraId="49C95ED8">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G1金鹗花园西侧</w:t>
                  </w:r>
                </w:p>
              </w:tc>
              <w:tc>
                <w:tcPr>
                  <w:tcW w:w="1185" w:type="dxa"/>
                  <w:gridSpan w:val="2"/>
                  <w:vAlign w:val="center"/>
                </w:tcPr>
                <w:p w14:paraId="520F7884">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0.02 </w:t>
                  </w:r>
                </w:p>
              </w:tc>
              <w:tc>
                <w:tcPr>
                  <w:tcW w:w="1277" w:type="dxa"/>
                  <w:vAlign w:val="center"/>
                </w:tcPr>
                <w:p w14:paraId="2D29A1AA">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0.03 </w:t>
                  </w:r>
                </w:p>
              </w:tc>
              <w:tc>
                <w:tcPr>
                  <w:tcW w:w="1243" w:type="dxa"/>
                  <w:vAlign w:val="center"/>
                </w:tcPr>
                <w:p w14:paraId="5F71B0D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0.02 </w:t>
                  </w:r>
                </w:p>
              </w:tc>
              <w:tc>
                <w:tcPr>
                  <w:tcW w:w="1167" w:type="dxa"/>
                  <w:vAlign w:val="center"/>
                </w:tcPr>
                <w:p w14:paraId="78221221">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0.03</w:t>
                  </w:r>
                </w:p>
              </w:tc>
            </w:tr>
            <w:tr w14:paraId="5C03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 w:hRule="atLeast"/>
              </w:trPr>
              <w:tc>
                <w:tcPr>
                  <w:tcW w:w="1329" w:type="dxa"/>
                  <w:gridSpan w:val="2"/>
                  <w:vAlign w:val="center"/>
                </w:tcPr>
                <w:p w14:paraId="0984917B">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2026.05.22</w:t>
                  </w:r>
                </w:p>
              </w:tc>
              <w:tc>
                <w:tcPr>
                  <w:tcW w:w="1773" w:type="dxa"/>
                  <w:vMerge w:val="continue"/>
                  <w:vAlign w:val="center"/>
                </w:tcPr>
                <w:p w14:paraId="26FC13AC">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185" w:type="dxa"/>
                  <w:gridSpan w:val="2"/>
                  <w:vAlign w:val="center"/>
                </w:tcPr>
                <w:p w14:paraId="6C13A154">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0.03 </w:t>
                  </w:r>
                </w:p>
              </w:tc>
              <w:tc>
                <w:tcPr>
                  <w:tcW w:w="1277" w:type="dxa"/>
                  <w:vAlign w:val="center"/>
                </w:tcPr>
                <w:p w14:paraId="56E7DF8C">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0.02 </w:t>
                  </w:r>
                </w:p>
              </w:tc>
              <w:tc>
                <w:tcPr>
                  <w:tcW w:w="1243" w:type="dxa"/>
                  <w:vAlign w:val="center"/>
                </w:tcPr>
                <w:p w14:paraId="43410AFF">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0.02 </w:t>
                  </w:r>
                </w:p>
              </w:tc>
              <w:tc>
                <w:tcPr>
                  <w:tcW w:w="1167" w:type="dxa"/>
                  <w:vAlign w:val="center"/>
                </w:tcPr>
                <w:p w14:paraId="658D340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w:t>
                  </w:r>
                </w:p>
              </w:tc>
            </w:tr>
            <w:tr w14:paraId="0552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9" w:type="dxa"/>
                  <w:gridSpan w:val="2"/>
                  <w:vAlign w:val="center"/>
                </w:tcPr>
                <w:p w14:paraId="08126B39">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2026.05.23</w:t>
                  </w:r>
                </w:p>
              </w:tc>
              <w:tc>
                <w:tcPr>
                  <w:tcW w:w="1773" w:type="dxa"/>
                  <w:vMerge w:val="continue"/>
                  <w:vAlign w:val="center"/>
                </w:tcPr>
                <w:p w14:paraId="2B50DE0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185" w:type="dxa"/>
                  <w:gridSpan w:val="2"/>
                  <w:vAlign w:val="center"/>
                </w:tcPr>
                <w:p w14:paraId="53B19C4B">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0.04 </w:t>
                  </w:r>
                </w:p>
              </w:tc>
              <w:tc>
                <w:tcPr>
                  <w:tcW w:w="1277" w:type="dxa"/>
                  <w:vAlign w:val="center"/>
                </w:tcPr>
                <w:p w14:paraId="39489AA0">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0.00 </w:t>
                  </w:r>
                </w:p>
              </w:tc>
              <w:tc>
                <w:tcPr>
                  <w:tcW w:w="1243" w:type="dxa"/>
                  <w:vAlign w:val="center"/>
                </w:tcPr>
                <w:p w14:paraId="78734075">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0.02 </w:t>
                  </w:r>
                </w:p>
              </w:tc>
              <w:tc>
                <w:tcPr>
                  <w:tcW w:w="1167" w:type="dxa"/>
                  <w:vAlign w:val="center"/>
                </w:tcPr>
                <w:p w14:paraId="227D1B92">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w:t>
                  </w:r>
                </w:p>
              </w:tc>
            </w:tr>
            <w:tr w14:paraId="51C3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gridSpan w:val="3"/>
                  <w:vAlign w:val="center"/>
                </w:tcPr>
                <w:p w14:paraId="43547B6F">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标准限值</w:t>
                  </w:r>
                </w:p>
              </w:tc>
              <w:tc>
                <w:tcPr>
                  <w:tcW w:w="4872" w:type="dxa"/>
                  <w:gridSpan w:val="5"/>
                  <w:vAlign w:val="center"/>
                </w:tcPr>
                <w:p w14:paraId="2B304A4B">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w:t>
                  </w:r>
                </w:p>
              </w:tc>
            </w:tr>
            <w:tr w14:paraId="2A4B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restart"/>
                  <w:vAlign w:val="center"/>
                </w:tcPr>
                <w:p w14:paraId="2F791DEB">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采样日期</w:t>
                  </w:r>
                </w:p>
              </w:tc>
              <w:tc>
                <w:tcPr>
                  <w:tcW w:w="1780" w:type="dxa"/>
                  <w:gridSpan w:val="2"/>
                  <w:vMerge w:val="restart"/>
                  <w:vAlign w:val="center"/>
                </w:tcPr>
                <w:p w14:paraId="40C2A612">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采样点位</w:t>
                  </w:r>
                </w:p>
              </w:tc>
              <w:tc>
                <w:tcPr>
                  <w:tcW w:w="4872" w:type="dxa"/>
                  <w:gridSpan w:val="5"/>
                  <w:vAlign w:val="center"/>
                </w:tcPr>
                <w:p w14:paraId="444DC675">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硫化氢</w:t>
                  </w:r>
                </w:p>
              </w:tc>
            </w:tr>
            <w:tr w14:paraId="77EE4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continue"/>
                  <w:vAlign w:val="center"/>
                </w:tcPr>
                <w:p w14:paraId="7CBE7B63">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780" w:type="dxa"/>
                  <w:gridSpan w:val="2"/>
                  <w:vMerge w:val="continue"/>
                  <w:vAlign w:val="center"/>
                </w:tcPr>
                <w:p w14:paraId="74753D08">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183" w:type="dxa"/>
                  <w:vAlign w:val="center"/>
                </w:tcPr>
                <w:p w14:paraId="586D1CF4">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第一次</w:t>
                  </w:r>
                </w:p>
              </w:tc>
              <w:tc>
                <w:tcPr>
                  <w:tcW w:w="1279" w:type="dxa"/>
                  <w:gridSpan w:val="2"/>
                  <w:vAlign w:val="center"/>
                </w:tcPr>
                <w:p w14:paraId="52F697EC">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第二次</w:t>
                  </w:r>
                </w:p>
              </w:tc>
              <w:tc>
                <w:tcPr>
                  <w:tcW w:w="1243" w:type="dxa"/>
                  <w:vAlign w:val="center"/>
                </w:tcPr>
                <w:p w14:paraId="6E04CE03">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第三次</w:t>
                  </w:r>
                </w:p>
              </w:tc>
              <w:tc>
                <w:tcPr>
                  <w:tcW w:w="1167" w:type="dxa"/>
                  <w:vAlign w:val="center"/>
                </w:tcPr>
                <w:p w14:paraId="680DBDBA">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第四次</w:t>
                  </w:r>
                </w:p>
              </w:tc>
            </w:tr>
            <w:tr w14:paraId="42D4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3047C191">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2026.05.21</w:t>
                  </w:r>
                </w:p>
              </w:tc>
              <w:tc>
                <w:tcPr>
                  <w:tcW w:w="1780" w:type="dxa"/>
                  <w:gridSpan w:val="2"/>
                  <w:vMerge w:val="restart"/>
                  <w:vAlign w:val="center"/>
                </w:tcPr>
                <w:p w14:paraId="18F332B8">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G1金鹗花园西侧</w:t>
                  </w:r>
                </w:p>
              </w:tc>
              <w:tc>
                <w:tcPr>
                  <w:tcW w:w="1185" w:type="dxa"/>
                  <w:gridSpan w:val="2"/>
                  <w:vAlign w:val="center"/>
                </w:tcPr>
                <w:p w14:paraId="674CA45E">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0.003</w:t>
                  </w:r>
                </w:p>
              </w:tc>
              <w:tc>
                <w:tcPr>
                  <w:tcW w:w="1277" w:type="dxa"/>
                  <w:vAlign w:val="center"/>
                </w:tcPr>
                <w:p w14:paraId="68779E83">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1243" w:type="dxa"/>
                  <w:vAlign w:val="center"/>
                </w:tcPr>
                <w:p w14:paraId="6AA1F700">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0.001L</w:t>
                  </w:r>
                </w:p>
              </w:tc>
              <w:tc>
                <w:tcPr>
                  <w:tcW w:w="1167" w:type="dxa"/>
                  <w:vAlign w:val="center"/>
                </w:tcPr>
                <w:p w14:paraId="0F666FB9">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w:t>
                  </w:r>
                </w:p>
              </w:tc>
            </w:tr>
            <w:tr w14:paraId="6229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4FCB4E36">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2026.05.22</w:t>
                  </w:r>
                </w:p>
              </w:tc>
              <w:tc>
                <w:tcPr>
                  <w:tcW w:w="1780" w:type="dxa"/>
                  <w:gridSpan w:val="2"/>
                  <w:vMerge w:val="continue"/>
                  <w:vAlign w:val="center"/>
                </w:tcPr>
                <w:p w14:paraId="324D5A2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185" w:type="dxa"/>
                  <w:gridSpan w:val="2"/>
                  <w:vAlign w:val="center"/>
                </w:tcPr>
                <w:p w14:paraId="5A9C150B">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1277" w:type="dxa"/>
                  <w:vAlign w:val="center"/>
                </w:tcPr>
                <w:p w14:paraId="6F985D7C">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1243" w:type="dxa"/>
                  <w:vAlign w:val="center"/>
                </w:tcPr>
                <w:p w14:paraId="4EE4C823">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1167" w:type="dxa"/>
                  <w:vAlign w:val="center"/>
                </w:tcPr>
                <w:p w14:paraId="2AB34BA2">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w:t>
                  </w:r>
                </w:p>
              </w:tc>
            </w:tr>
            <w:tr w14:paraId="3DA2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2429B3E9">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2026.05.23</w:t>
                  </w:r>
                </w:p>
              </w:tc>
              <w:tc>
                <w:tcPr>
                  <w:tcW w:w="1780" w:type="dxa"/>
                  <w:gridSpan w:val="2"/>
                  <w:vMerge w:val="continue"/>
                  <w:vAlign w:val="center"/>
                </w:tcPr>
                <w:p w14:paraId="3E0C0150">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185" w:type="dxa"/>
                  <w:gridSpan w:val="2"/>
                  <w:vAlign w:val="center"/>
                </w:tcPr>
                <w:p w14:paraId="45C6DCA6">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0.002</w:t>
                  </w:r>
                </w:p>
              </w:tc>
              <w:tc>
                <w:tcPr>
                  <w:tcW w:w="1277" w:type="dxa"/>
                  <w:vAlign w:val="center"/>
                </w:tcPr>
                <w:p w14:paraId="0E82F2B0">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w:t>
                  </w:r>
                </w:p>
              </w:tc>
              <w:tc>
                <w:tcPr>
                  <w:tcW w:w="1243" w:type="dxa"/>
                  <w:vAlign w:val="center"/>
                </w:tcPr>
                <w:p w14:paraId="1014B48B">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0.001L</w:t>
                  </w:r>
                </w:p>
              </w:tc>
              <w:tc>
                <w:tcPr>
                  <w:tcW w:w="1167" w:type="dxa"/>
                  <w:vAlign w:val="center"/>
                </w:tcPr>
                <w:p w14:paraId="4B4E2602">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i w:val="0"/>
                      <w:iCs w:val="0"/>
                      <w:color w:val="auto"/>
                      <w:kern w:val="0"/>
                      <w:sz w:val="21"/>
                      <w:szCs w:val="21"/>
                      <w:u w:val="none"/>
                      <w:lang w:val="en-US" w:eastAsia="zh-CN" w:bidi="ar"/>
                    </w:rPr>
                    <w:t>0.001</w:t>
                  </w:r>
                </w:p>
              </w:tc>
            </w:tr>
            <w:tr w14:paraId="11D5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gridSpan w:val="3"/>
                  <w:vAlign w:val="center"/>
                </w:tcPr>
                <w:p w14:paraId="582F45B0">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标准限值</w:t>
                  </w:r>
                </w:p>
              </w:tc>
              <w:tc>
                <w:tcPr>
                  <w:tcW w:w="4872" w:type="dxa"/>
                  <w:gridSpan w:val="5"/>
                  <w:vAlign w:val="center"/>
                </w:tcPr>
                <w:p w14:paraId="51BA5C27">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w:t>
                  </w:r>
                </w:p>
              </w:tc>
            </w:tr>
            <w:tr w14:paraId="7EA2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restart"/>
                  <w:vAlign w:val="center"/>
                </w:tcPr>
                <w:p w14:paraId="33721378">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采样日期</w:t>
                  </w:r>
                </w:p>
              </w:tc>
              <w:tc>
                <w:tcPr>
                  <w:tcW w:w="1780" w:type="dxa"/>
                  <w:gridSpan w:val="2"/>
                  <w:vMerge w:val="restart"/>
                  <w:vAlign w:val="center"/>
                </w:tcPr>
                <w:p w14:paraId="61089AD3">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采样点位</w:t>
                  </w:r>
                </w:p>
              </w:tc>
              <w:tc>
                <w:tcPr>
                  <w:tcW w:w="4872" w:type="dxa"/>
                  <w:gridSpan w:val="5"/>
                  <w:vAlign w:val="center"/>
                </w:tcPr>
                <w:p w14:paraId="5054C7F6">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氯气</w:t>
                  </w:r>
                </w:p>
              </w:tc>
            </w:tr>
            <w:tr w14:paraId="3341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continue"/>
                  <w:vAlign w:val="center"/>
                </w:tcPr>
                <w:p w14:paraId="79B19671">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780" w:type="dxa"/>
                  <w:gridSpan w:val="2"/>
                  <w:vMerge w:val="continue"/>
                  <w:vAlign w:val="center"/>
                </w:tcPr>
                <w:p w14:paraId="3DC09FCC">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185" w:type="dxa"/>
                  <w:gridSpan w:val="2"/>
                  <w:vAlign w:val="center"/>
                </w:tcPr>
                <w:p w14:paraId="622CB867">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第一次</w:t>
                  </w:r>
                </w:p>
              </w:tc>
              <w:tc>
                <w:tcPr>
                  <w:tcW w:w="1277" w:type="dxa"/>
                  <w:vAlign w:val="center"/>
                </w:tcPr>
                <w:p w14:paraId="7BC0AE1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第二次</w:t>
                  </w:r>
                </w:p>
              </w:tc>
              <w:tc>
                <w:tcPr>
                  <w:tcW w:w="1243" w:type="dxa"/>
                  <w:vAlign w:val="center"/>
                </w:tcPr>
                <w:p w14:paraId="30E49CB3">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第三次</w:t>
                  </w:r>
                </w:p>
              </w:tc>
              <w:tc>
                <w:tcPr>
                  <w:tcW w:w="1167" w:type="dxa"/>
                  <w:vAlign w:val="center"/>
                </w:tcPr>
                <w:p w14:paraId="2D2D1A3F">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第四次</w:t>
                  </w:r>
                </w:p>
              </w:tc>
            </w:tr>
            <w:tr w14:paraId="1CDF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166318A9">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2026.05.21</w:t>
                  </w:r>
                </w:p>
              </w:tc>
              <w:tc>
                <w:tcPr>
                  <w:tcW w:w="1780" w:type="dxa"/>
                  <w:gridSpan w:val="2"/>
                  <w:vMerge w:val="restart"/>
                  <w:vAlign w:val="center"/>
                </w:tcPr>
                <w:p w14:paraId="3880ED8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G1金鹗花园西侧</w:t>
                  </w:r>
                </w:p>
              </w:tc>
              <w:tc>
                <w:tcPr>
                  <w:tcW w:w="1185" w:type="dxa"/>
                  <w:gridSpan w:val="2"/>
                  <w:vAlign w:val="center"/>
                </w:tcPr>
                <w:p w14:paraId="0C52A291">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277" w:type="dxa"/>
                  <w:vAlign w:val="center"/>
                </w:tcPr>
                <w:p w14:paraId="14213099">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243" w:type="dxa"/>
                  <w:vAlign w:val="center"/>
                </w:tcPr>
                <w:p w14:paraId="1C6D7FD1">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167" w:type="dxa"/>
                  <w:vAlign w:val="center"/>
                </w:tcPr>
                <w:p w14:paraId="4804F0C9">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r>
            <w:tr w14:paraId="4D98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2E51717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2026.05.22</w:t>
                  </w:r>
                </w:p>
              </w:tc>
              <w:tc>
                <w:tcPr>
                  <w:tcW w:w="1780" w:type="dxa"/>
                  <w:gridSpan w:val="2"/>
                  <w:vMerge w:val="continue"/>
                  <w:vAlign w:val="center"/>
                </w:tcPr>
                <w:p w14:paraId="05482A0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185" w:type="dxa"/>
                  <w:gridSpan w:val="2"/>
                  <w:vAlign w:val="center"/>
                </w:tcPr>
                <w:p w14:paraId="3D81C586">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277" w:type="dxa"/>
                  <w:vAlign w:val="center"/>
                </w:tcPr>
                <w:p w14:paraId="2B73F3F3">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243" w:type="dxa"/>
                  <w:vAlign w:val="center"/>
                </w:tcPr>
                <w:p w14:paraId="48EC256C">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167" w:type="dxa"/>
                  <w:vAlign w:val="center"/>
                </w:tcPr>
                <w:p w14:paraId="60756E31">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r>
            <w:tr w14:paraId="4D36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18A8D6EC">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2026.05.23</w:t>
                  </w:r>
                </w:p>
              </w:tc>
              <w:tc>
                <w:tcPr>
                  <w:tcW w:w="1780" w:type="dxa"/>
                  <w:gridSpan w:val="2"/>
                  <w:vMerge w:val="continue"/>
                  <w:vAlign w:val="center"/>
                </w:tcPr>
                <w:p w14:paraId="46649BB5">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p>
              </w:tc>
              <w:tc>
                <w:tcPr>
                  <w:tcW w:w="1185" w:type="dxa"/>
                  <w:gridSpan w:val="2"/>
                  <w:vAlign w:val="center"/>
                </w:tcPr>
                <w:p w14:paraId="6420FB97">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277" w:type="dxa"/>
                  <w:vAlign w:val="center"/>
                </w:tcPr>
                <w:p w14:paraId="227C4CE5">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243" w:type="dxa"/>
                  <w:vAlign w:val="center"/>
                </w:tcPr>
                <w:p w14:paraId="73463568">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c>
                <w:tcPr>
                  <w:tcW w:w="1167" w:type="dxa"/>
                  <w:vAlign w:val="center"/>
                </w:tcPr>
                <w:p w14:paraId="0F7C2404">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0.03L</w:t>
                  </w:r>
                </w:p>
              </w:tc>
            </w:tr>
            <w:tr w14:paraId="2F4D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gridSpan w:val="3"/>
                  <w:vAlign w:val="center"/>
                </w:tcPr>
                <w:p w14:paraId="22C2BAB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标准限值</w:t>
                  </w:r>
                </w:p>
              </w:tc>
              <w:tc>
                <w:tcPr>
                  <w:tcW w:w="4872" w:type="dxa"/>
                  <w:gridSpan w:val="5"/>
                  <w:vAlign w:val="center"/>
                </w:tcPr>
                <w:p w14:paraId="062397A5">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0.1</w:t>
                  </w:r>
                </w:p>
              </w:tc>
            </w:tr>
            <w:tr w14:paraId="2BC3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restart"/>
                  <w:vAlign w:val="center"/>
                </w:tcPr>
                <w:p w14:paraId="1A0DD4C9">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采样日期</w:t>
                  </w:r>
                </w:p>
              </w:tc>
              <w:tc>
                <w:tcPr>
                  <w:tcW w:w="1780" w:type="dxa"/>
                  <w:gridSpan w:val="2"/>
                  <w:vMerge w:val="restart"/>
                  <w:vAlign w:val="center"/>
                </w:tcPr>
                <w:p w14:paraId="29E7DE85">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采样点位</w:t>
                  </w:r>
                </w:p>
              </w:tc>
              <w:tc>
                <w:tcPr>
                  <w:tcW w:w="4872" w:type="dxa"/>
                  <w:gridSpan w:val="5"/>
                  <w:vAlign w:val="center"/>
                </w:tcPr>
                <w:p w14:paraId="75985615">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b/>
                      <w:bCs/>
                      <w:i w:val="0"/>
                      <w:iCs w:val="0"/>
                      <w:color w:val="auto"/>
                      <w:kern w:val="0"/>
                      <w:sz w:val="21"/>
                      <w:szCs w:val="21"/>
                      <w:u w:val="none"/>
                      <w:lang w:val="en-US" w:eastAsia="zh-CN" w:bidi="ar"/>
                    </w:rPr>
                    <w:t>臭气浓度</w:t>
                  </w:r>
                </w:p>
              </w:tc>
            </w:tr>
            <w:tr w14:paraId="214A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Merge w:val="continue"/>
                  <w:vAlign w:val="center"/>
                </w:tcPr>
                <w:p w14:paraId="43A7519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780" w:type="dxa"/>
                  <w:gridSpan w:val="2"/>
                  <w:vMerge w:val="continue"/>
                  <w:vAlign w:val="center"/>
                </w:tcPr>
                <w:p w14:paraId="21EFD35A">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p>
              </w:tc>
              <w:tc>
                <w:tcPr>
                  <w:tcW w:w="1185" w:type="dxa"/>
                  <w:gridSpan w:val="2"/>
                  <w:vAlign w:val="center"/>
                </w:tcPr>
                <w:p w14:paraId="52E2EAB6">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第一次</w:t>
                  </w:r>
                </w:p>
              </w:tc>
              <w:tc>
                <w:tcPr>
                  <w:tcW w:w="1277" w:type="dxa"/>
                  <w:vAlign w:val="center"/>
                </w:tcPr>
                <w:p w14:paraId="085E626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第二次</w:t>
                  </w:r>
                </w:p>
              </w:tc>
              <w:tc>
                <w:tcPr>
                  <w:tcW w:w="1243" w:type="dxa"/>
                  <w:vAlign w:val="center"/>
                </w:tcPr>
                <w:p w14:paraId="62027E5B">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第三次</w:t>
                  </w:r>
                </w:p>
              </w:tc>
              <w:tc>
                <w:tcPr>
                  <w:tcW w:w="1167" w:type="dxa"/>
                  <w:vAlign w:val="center"/>
                </w:tcPr>
                <w:p w14:paraId="10564B18">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b/>
                      <w:bCs/>
                      <w:i w:val="0"/>
                      <w:iCs w:val="0"/>
                      <w:color w:val="auto"/>
                      <w:kern w:val="0"/>
                      <w:sz w:val="21"/>
                      <w:szCs w:val="21"/>
                      <w:u w:val="none"/>
                      <w:lang w:val="en-US" w:eastAsia="zh-CN" w:bidi="ar"/>
                    </w:rPr>
                  </w:pPr>
                  <w:r>
                    <w:rPr>
                      <w:rFonts w:hint="default" w:ascii="Times New Roman" w:hAnsi="Times New Roman" w:cs="Times New Roman"/>
                      <w:b/>
                      <w:bCs/>
                      <w:color w:val="auto"/>
                      <w:sz w:val="21"/>
                      <w:szCs w:val="21"/>
                      <w:lang w:val="en-US" w:eastAsia="zh-CN"/>
                    </w:rPr>
                    <w:t>第四次</w:t>
                  </w:r>
                </w:p>
              </w:tc>
            </w:tr>
            <w:tr w14:paraId="4FB4C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6B07E220">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2026.05.21</w:t>
                  </w:r>
                </w:p>
              </w:tc>
              <w:tc>
                <w:tcPr>
                  <w:tcW w:w="1780" w:type="dxa"/>
                  <w:gridSpan w:val="2"/>
                  <w:vMerge w:val="restart"/>
                  <w:vAlign w:val="center"/>
                </w:tcPr>
                <w:p w14:paraId="1A11F3E5">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G1金鹗花园西侧</w:t>
                  </w:r>
                </w:p>
              </w:tc>
              <w:tc>
                <w:tcPr>
                  <w:tcW w:w="1185" w:type="dxa"/>
                  <w:gridSpan w:val="2"/>
                  <w:vAlign w:val="center"/>
                </w:tcPr>
                <w:p w14:paraId="22813733">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&lt;10</w:t>
                  </w:r>
                </w:p>
              </w:tc>
              <w:tc>
                <w:tcPr>
                  <w:tcW w:w="1277" w:type="dxa"/>
                  <w:vAlign w:val="center"/>
                </w:tcPr>
                <w:p w14:paraId="049290D8">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&lt;10</w:t>
                  </w:r>
                </w:p>
              </w:tc>
              <w:tc>
                <w:tcPr>
                  <w:tcW w:w="1243" w:type="dxa"/>
                  <w:vAlign w:val="center"/>
                </w:tcPr>
                <w:p w14:paraId="67F0A9A4">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&lt;10</w:t>
                  </w:r>
                </w:p>
              </w:tc>
              <w:tc>
                <w:tcPr>
                  <w:tcW w:w="1167" w:type="dxa"/>
                  <w:vAlign w:val="center"/>
                </w:tcPr>
                <w:p w14:paraId="142BD445">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&lt;10</w:t>
                  </w:r>
                </w:p>
              </w:tc>
            </w:tr>
            <w:tr w14:paraId="7B67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1A0C4A0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2026.05.22</w:t>
                  </w:r>
                </w:p>
              </w:tc>
              <w:tc>
                <w:tcPr>
                  <w:tcW w:w="1780" w:type="dxa"/>
                  <w:gridSpan w:val="2"/>
                  <w:vMerge w:val="continue"/>
                  <w:vAlign w:val="center"/>
                </w:tcPr>
                <w:p w14:paraId="068EF33D">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1185" w:type="dxa"/>
                  <w:gridSpan w:val="2"/>
                  <w:vAlign w:val="center"/>
                </w:tcPr>
                <w:p w14:paraId="74C4FCAF">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c>
                <w:tcPr>
                  <w:tcW w:w="1277" w:type="dxa"/>
                  <w:vAlign w:val="center"/>
                </w:tcPr>
                <w:p w14:paraId="291F9985">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c>
                <w:tcPr>
                  <w:tcW w:w="1243" w:type="dxa"/>
                  <w:vAlign w:val="center"/>
                </w:tcPr>
                <w:p w14:paraId="45BF3C8C">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c>
                <w:tcPr>
                  <w:tcW w:w="1167" w:type="dxa"/>
                  <w:vAlign w:val="center"/>
                </w:tcPr>
                <w:p w14:paraId="5E7BB74B">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r>
            <w:tr w14:paraId="1F10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2254DD2E">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2026.05.23</w:t>
                  </w:r>
                </w:p>
              </w:tc>
              <w:tc>
                <w:tcPr>
                  <w:tcW w:w="1780" w:type="dxa"/>
                  <w:gridSpan w:val="2"/>
                  <w:vMerge w:val="continue"/>
                  <w:vAlign w:val="center"/>
                </w:tcPr>
                <w:p w14:paraId="58EA61C8">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1185" w:type="dxa"/>
                  <w:gridSpan w:val="2"/>
                  <w:vAlign w:val="center"/>
                </w:tcPr>
                <w:p w14:paraId="60EE3C5E">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c>
                <w:tcPr>
                  <w:tcW w:w="1277" w:type="dxa"/>
                  <w:vAlign w:val="center"/>
                </w:tcPr>
                <w:p w14:paraId="66229F3F">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c>
                <w:tcPr>
                  <w:tcW w:w="1243" w:type="dxa"/>
                  <w:vAlign w:val="center"/>
                </w:tcPr>
                <w:p w14:paraId="02E44EB3">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c>
                <w:tcPr>
                  <w:tcW w:w="1167" w:type="dxa"/>
                  <w:vAlign w:val="center"/>
                </w:tcPr>
                <w:p w14:paraId="20BD233B">
                  <w:pPr>
                    <w:keepNext w:val="0"/>
                    <w:keepLines w:val="0"/>
                    <w:pageBreakBefore w:val="0"/>
                    <w:widowControl/>
                    <w:suppressLineNumbers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&lt;10</w:t>
                  </w:r>
                </w:p>
              </w:tc>
            </w:tr>
            <w:tr w14:paraId="6CAA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02" w:type="dxa"/>
                  <w:gridSpan w:val="3"/>
                  <w:vAlign w:val="center"/>
                </w:tcPr>
                <w:p w14:paraId="18D0D244">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标准限值</w:t>
                  </w:r>
                </w:p>
              </w:tc>
              <w:tc>
                <w:tcPr>
                  <w:tcW w:w="4872" w:type="dxa"/>
                  <w:gridSpan w:val="5"/>
                  <w:vAlign w:val="center"/>
                </w:tcPr>
                <w:p w14:paraId="637B0A5F">
                  <w:pPr>
                    <w:pStyle w:val="80"/>
                    <w:keepNext w:val="0"/>
                    <w:keepLines w:val="0"/>
                    <w:pageBreakBefore w:val="0"/>
                    <w:widowControl w:val="0"/>
                    <w:kinsoku/>
                    <w:wordWrap/>
                    <w:overflowPunct/>
                    <w:topLinePunct w:val="0"/>
                    <w:autoSpaceDE/>
                    <w:autoSpaceDN/>
                    <w:bidi w:val="0"/>
                    <w:adjustRightInd/>
                    <w:snapToGrid/>
                    <w:spacing w:before="60" w:after="60"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color w:val="FF0000"/>
                      <w:sz w:val="21"/>
                      <w:szCs w:val="21"/>
                      <w:lang w:val="en-US" w:eastAsia="zh-CN"/>
                    </w:rPr>
                    <w:t>/</w:t>
                  </w:r>
                </w:p>
              </w:tc>
            </w:tr>
            <w:tr w14:paraId="70F04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1E1266B8">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color w:val="000000"/>
                      <w:sz w:val="21"/>
                      <w:szCs w:val="21"/>
                      <w:lang w:val="en-US" w:eastAsia="zh-CN"/>
                    </w:rPr>
                    <w:t>执行标准</w:t>
                  </w:r>
                </w:p>
              </w:tc>
              <w:tc>
                <w:tcPr>
                  <w:tcW w:w="6652" w:type="dxa"/>
                  <w:gridSpan w:val="7"/>
                  <w:vAlign w:val="center"/>
                </w:tcPr>
                <w:p w14:paraId="0EA2B064">
                  <w:pPr>
                    <w:keepNext w:val="0"/>
                    <w:keepLines w:val="0"/>
                    <w:pageBreakBefore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sz w:val="21"/>
                      <w:szCs w:val="21"/>
                      <w:highlight w:val="none"/>
                      <w:lang w:val="en-US" w:eastAsia="zh-CN"/>
                    </w:rPr>
                    <w:t>《环境影响评价技术导则 大气环境》（HJ2.2-2018）附录D标准限值</w:t>
                  </w:r>
                </w:p>
              </w:tc>
            </w:tr>
            <w:tr w14:paraId="1934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2" w:type="dxa"/>
                  <w:vAlign w:val="center"/>
                </w:tcPr>
                <w:p w14:paraId="04F2591D">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color w:val="000000"/>
                      <w:sz w:val="21"/>
                      <w:szCs w:val="21"/>
                      <w:lang w:val="en-US" w:eastAsia="zh-CN"/>
                    </w:rPr>
                    <w:t>气象参数</w:t>
                  </w:r>
                </w:p>
              </w:tc>
              <w:tc>
                <w:tcPr>
                  <w:tcW w:w="6652" w:type="dxa"/>
                  <w:gridSpan w:val="7"/>
                  <w:vAlign w:val="center"/>
                </w:tcPr>
                <w:p w14:paraId="4DCAB831">
                  <w:pPr>
                    <w:keepNext w:val="0"/>
                    <w:keepLines w:val="0"/>
                    <w:pageBreakBefore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000000"/>
                      <w:sz w:val="21"/>
                      <w:szCs w:val="21"/>
                      <w:highlight w:val="none"/>
                      <w:shd w:val="clear" w:color="auto" w:fill="auto"/>
                      <w:lang w:val="en-US" w:eastAsia="zh-CN"/>
                    </w:rPr>
                  </w:pPr>
                  <w:r>
                    <w:rPr>
                      <w:rFonts w:hint="default" w:ascii="Times New Roman" w:hAnsi="Times New Roman" w:eastAsia="宋体" w:cs="Times New Roman"/>
                      <w:color w:val="0D0D0D"/>
                      <w:sz w:val="21"/>
                      <w:szCs w:val="21"/>
                      <w:highlight w:val="none"/>
                      <w:lang w:val="en-US" w:eastAsia="zh-CN"/>
                    </w:rPr>
                    <w:t>2026.05.21</w:t>
                  </w:r>
                  <w:r>
                    <w:rPr>
                      <w:rFonts w:hint="default" w:ascii="Times New Roman" w:hAnsi="Times New Roman" w:eastAsia="宋体" w:cs="Times New Roman"/>
                      <w:b w:val="0"/>
                      <w:bCs/>
                      <w:color w:val="000000"/>
                      <w:sz w:val="21"/>
                      <w:szCs w:val="21"/>
                      <w:highlight w:val="none"/>
                      <w:shd w:val="clear" w:color="auto" w:fill="auto"/>
                      <w:lang w:val="en-US" w:eastAsia="zh-CN"/>
                    </w:rPr>
                    <w:t>天气：晴；气温：32.7℃；大气压：100.52Pa</w:t>
                  </w:r>
                </w:p>
                <w:p w14:paraId="79F16364">
                  <w:pPr>
                    <w:keepNext w:val="0"/>
                    <w:keepLines w:val="0"/>
                    <w:pageBreakBefore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b w:val="0"/>
                      <w:bCs/>
                      <w:color w:val="000000"/>
                      <w:sz w:val="21"/>
                      <w:szCs w:val="21"/>
                      <w:highlight w:val="none"/>
                      <w:shd w:val="clear" w:color="auto" w:fill="auto"/>
                      <w:lang w:val="en-US" w:eastAsia="zh-CN"/>
                    </w:rPr>
                  </w:pPr>
                  <w:r>
                    <w:rPr>
                      <w:rFonts w:hint="default" w:ascii="Times New Roman" w:hAnsi="Times New Roman" w:eastAsia="宋体" w:cs="Times New Roman"/>
                      <w:color w:val="0D0D0D"/>
                      <w:sz w:val="21"/>
                      <w:szCs w:val="21"/>
                      <w:highlight w:val="none"/>
                      <w:lang w:val="en-US" w:eastAsia="zh-CN"/>
                    </w:rPr>
                    <w:t>2026.05.22</w:t>
                  </w:r>
                  <w:r>
                    <w:rPr>
                      <w:rFonts w:hint="default" w:ascii="Times New Roman" w:hAnsi="Times New Roman" w:eastAsia="宋体" w:cs="Times New Roman"/>
                      <w:b w:val="0"/>
                      <w:bCs/>
                      <w:color w:val="000000"/>
                      <w:sz w:val="21"/>
                      <w:szCs w:val="21"/>
                      <w:highlight w:val="none"/>
                      <w:shd w:val="clear" w:color="auto" w:fill="auto"/>
                      <w:lang w:val="en-US" w:eastAsia="zh-CN"/>
                    </w:rPr>
                    <w:t>天气：晴；气温：28.8℃；大气压：99.66kPa</w:t>
                  </w:r>
                </w:p>
                <w:p w14:paraId="0D1B2429">
                  <w:pPr>
                    <w:keepNext w:val="0"/>
                    <w:keepLines w:val="0"/>
                    <w:pageBreakBefore w:val="0"/>
                    <w:kinsoku/>
                    <w:wordWrap/>
                    <w:overflowPunct/>
                    <w:topLinePunct w:val="0"/>
                    <w:autoSpaceDE/>
                    <w:autoSpaceDN/>
                    <w:bidi w:val="0"/>
                    <w:adjustRightInd/>
                    <w:snapToGrid/>
                    <w:spacing w:before="60" w:after="60"/>
                    <w:jc w:val="left"/>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0D0D0D"/>
                      <w:sz w:val="21"/>
                      <w:szCs w:val="21"/>
                      <w:highlight w:val="none"/>
                      <w:lang w:val="en-US" w:eastAsia="zh-CN"/>
                    </w:rPr>
                    <w:t>2026.05.23</w:t>
                  </w:r>
                  <w:r>
                    <w:rPr>
                      <w:rFonts w:hint="default" w:ascii="Times New Roman" w:hAnsi="Times New Roman" w:eastAsia="宋体" w:cs="Times New Roman"/>
                      <w:b w:val="0"/>
                      <w:bCs/>
                      <w:color w:val="000000"/>
                      <w:sz w:val="21"/>
                      <w:szCs w:val="21"/>
                      <w:highlight w:val="none"/>
                      <w:shd w:val="clear" w:color="auto" w:fill="auto"/>
                      <w:lang w:val="en-US" w:eastAsia="zh-CN"/>
                    </w:rPr>
                    <w:t>天气：晴；气温：28.9℃；大气压：99.62kPa</w:t>
                  </w:r>
                </w:p>
              </w:tc>
            </w:tr>
          </w:tbl>
          <w:p w14:paraId="478A3B7A">
            <w:pPr>
              <w:spacing w:line="360" w:lineRule="auto"/>
              <w:ind w:firstLine="480" w:firstLineChars="200"/>
              <w:rPr>
                <w:rFonts w:hint="default" w:ascii="Times New Roman" w:hAnsi="Times New Roman" w:eastAsia="宋体" w:cs="Times New Roman"/>
                <w:color w:val="0000FF"/>
                <w:sz w:val="24"/>
                <w:szCs w:val="24"/>
                <w:lang w:val="en-US" w:eastAsia="zh-CN"/>
              </w:rPr>
            </w:pPr>
            <w:r>
              <w:rPr>
                <w:rFonts w:hint="default" w:ascii="Times New Roman" w:hAnsi="Times New Roman" w:eastAsia="宋体" w:cs="Times New Roman"/>
                <w:color w:val="auto"/>
                <w:kern w:val="0"/>
                <w:sz w:val="24"/>
                <w:szCs w:val="24"/>
              </w:rPr>
              <w:t>由上表监测结果可知，项目区域范围内特征污染物氨、硫化氢、氯均能达到《环境影响评价技术导则大气环境》（HJ2.2-2018）中表 D.1 其他污染物空气质量浓度参考限值，区域环境空气质量较好。</w:t>
            </w:r>
            <w:r>
              <w:rPr>
                <w:rFonts w:hint="default" w:ascii="Times New Roman" w:hAnsi="Times New Roman" w:cs="Times New Roman"/>
                <w:color w:val="auto"/>
                <w:kern w:val="0"/>
                <w:sz w:val="24"/>
                <w:szCs w:val="24"/>
                <w:lang w:val="en-US" w:eastAsia="zh-CN"/>
              </w:rPr>
              <w:t xml:space="preserve"> </w:t>
            </w:r>
          </w:p>
          <w:p w14:paraId="2FA26D7C">
            <w:pPr>
              <w:adjustRightInd w:val="0"/>
              <w:snapToGrid w:val="0"/>
              <w:spacing w:line="360" w:lineRule="auto"/>
              <w:jc w:val="left"/>
              <w:rPr>
                <w:rFonts w:hint="default" w:ascii="Times New Roman" w:hAnsi="Times New Roman" w:eastAsia="宋体" w:cs="Times New Roman"/>
                <w:kern w:val="0"/>
                <w:sz w:val="24"/>
                <w:szCs w:val="24"/>
                <w:u w:val="none"/>
              </w:rPr>
            </w:pPr>
            <w:r>
              <w:rPr>
                <w:rFonts w:hint="default" w:ascii="Times New Roman" w:hAnsi="Times New Roman" w:eastAsia="宋体" w:cs="Times New Roman"/>
                <w:b/>
                <w:bCs/>
                <w:kern w:val="0"/>
                <w:sz w:val="24"/>
                <w:szCs w:val="24"/>
              </w:rPr>
              <w:t>2、</w:t>
            </w:r>
            <w:r>
              <w:rPr>
                <w:rFonts w:hint="default" w:ascii="Times New Roman" w:hAnsi="Times New Roman" w:eastAsia="宋体" w:cs="Times New Roman"/>
                <w:b/>
                <w:bCs/>
                <w:kern w:val="0"/>
                <w:sz w:val="24"/>
                <w:szCs w:val="24"/>
                <w:u w:val="none"/>
              </w:rPr>
              <w:t>地表水环境质量现状</w:t>
            </w:r>
          </w:p>
          <w:p w14:paraId="676ED8B6">
            <w:pPr>
              <w:adjustRightInd w:val="0"/>
              <w:snapToGrid w:val="0"/>
              <w:spacing w:line="360" w:lineRule="auto"/>
              <w:ind w:firstLine="480" w:firstLineChars="200"/>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w:t>
            </w:r>
            <w:r>
              <w:rPr>
                <w:rFonts w:hint="eastAsia" w:ascii="Times New Roman" w:hAnsi="Times New Roman" w:cs="Times New Roman"/>
                <w:color w:val="auto"/>
                <w:kern w:val="0"/>
                <w:sz w:val="24"/>
                <w:szCs w:val="24"/>
                <w:lang w:val="en-US" w:eastAsia="zh-CN"/>
              </w:rPr>
              <w:t>办公楼生活污水和食堂废水</w:t>
            </w:r>
            <w:r>
              <w:rPr>
                <w:rFonts w:hint="eastAsia" w:cs="Times New Roman"/>
                <w:color w:val="auto"/>
                <w:kern w:val="0"/>
                <w:sz w:val="24"/>
                <w:szCs w:val="24"/>
                <w:lang w:val="en-US" w:eastAsia="zh-CN"/>
              </w:rPr>
              <w:t>分别</w:t>
            </w:r>
            <w:r>
              <w:rPr>
                <w:rFonts w:hint="eastAsia" w:ascii="Times New Roman" w:hAnsi="Times New Roman" w:cs="Times New Roman"/>
                <w:color w:val="auto"/>
                <w:kern w:val="0"/>
                <w:sz w:val="24"/>
                <w:szCs w:val="24"/>
                <w:lang w:val="en-US" w:eastAsia="zh-CN"/>
              </w:rPr>
              <w:t>经化粪池</w:t>
            </w:r>
            <w:r>
              <w:rPr>
                <w:rFonts w:hint="eastAsia" w:cs="Times New Roman"/>
                <w:color w:val="auto"/>
                <w:kern w:val="0"/>
                <w:sz w:val="24"/>
                <w:szCs w:val="24"/>
                <w:lang w:val="en-US" w:eastAsia="zh-CN"/>
              </w:rPr>
              <w:t>、隔油池</w:t>
            </w:r>
            <w:r>
              <w:rPr>
                <w:rFonts w:hint="eastAsia" w:ascii="Times New Roman" w:hAnsi="Times New Roman" w:cs="Times New Roman"/>
                <w:color w:val="auto"/>
                <w:kern w:val="0"/>
                <w:sz w:val="24"/>
                <w:szCs w:val="24"/>
                <w:lang w:val="en-US" w:eastAsia="zh-CN"/>
              </w:rPr>
              <w:t>预处理后进入综合污水处理站，传染科废水经传染科废水处理装置预处理后进入综合废水处理站，所有</w:t>
            </w:r>
            <w:r>
              <w:rPr>
                <w:rFonts w:hint="default" w:ascii="Times New Roman" w:hAnsi="Times New Roman" w:cs="Times New Roman"/>
                <w:color w:val="auto"/>
                <w:kern w:val="0"/>
                <w:sz w:val="24"/>
                <w:szCs w:val="24"/>
                <w:lang w:val="en-US" w:eastAsia="zh-CN"/>
              </w:rPr>
              <w:t>废水</w:t>
            </w:r>
            <w:r>
              <w:rPr>
                <w:rFonts w:hint="eastAsia" w:ascii="Times New Roman" w:hAnsi="Times New Roman" w:cs="Times New Roman"/>
                <w:color w:val="auto"/>
                <w:kern w:val="0"/>
                <w:sz w:val="24"/>
                <w:szCs w:val="24"/>
                <w:lang w:val="en-US" w:eastAsia="zh-CN"/>
              </w:rPr>
              <w:t>一同进入综合</w:t>
            </w:r>
            <w:r>
              <w:rPr>
                <w:rFonts w:hint="default" w:ascii="Times New Roman" w:hAnsi="Times New Roman" w:cs="Times New Roman"/>
                <w:color w:val="auto"/>
                <w:kern w:val="0"/>
                <w:sz w:val="24"/>
                <w:szCs w:val="24"/>
                <w:highlight w:val="none"/>
                <w:lang w:val="en-US" w:eastAsia="zh-CN"/>
              </w:rPr>
              <w:t>污水处理站处理达标后排入市政管网，后进入南津港污水处理厂深度处理达标后最终排入东洞庭湖</w:t>
            </w:r>
            <w:r>
              <w:rPr>
                <w:rFonts w:hint="default" w:ascii="Times New Roman" w:hAnsi="Times New Roman" w:eastAsia="宋体" w:cs="Times New Roman"/>
                <w:kern w:val="0"/>
                <w:sz w:val="24"/>
                <w:szCs w:val="24"/>
                <w:u w:val="none"/>
              </w:rPr>
              <w:t>。根据《建设项目环境影响报告表编制技术指南（污染影响类）（试行）》中具体编制要求“引用与建设项目距离近的有效数据，包括近3年的规划环境影响评价的监测数据，所在流域控制单元内国家、地方控制断面监测数据，生态环境主管部门发布的水环境质量数据或地表水达标情况的结论”；本次环评引用岳阳市202</w:t>
            </w:r>
            <w:r>
              <w:rPr>
                <w:rFonts w:hint="default" w:ascii="Times New Roman" w:hAnsi="Times New Roman" w:cs="Times New Roman"/>
                <w:kern w:val="0"/>
                <w:sz w:val="24"/>
                <w:szCs w:val="24"/>
                <w:u w:val="none"/>
                <w:lang w:val="en-US" w:eastAsia="zh-CN"/>
              </w:rPr>
              <w:t>5</w:t>
            </w:r>
            <w:r>
              <w:rPr>
                <w:rFonts w:hint="default" w:ascii="Times New Roman" w:hAnsi="Times New Roman" w:eastAsia="宋体" w:cs="Times New Roman"/>
                <w:kern w:val="0"/>
                <w:sz w:val="24"/>
                <w:szCs w:val="24"/>
                <w:u w:val="none"/>
              </w:rPr>
              <w:t>年度环境质量公报中地表水环境质量结论：</w:t>
            </w:r>
            <w:r>
              <w:rPr>
                <w:rFonts w:hint="default" w:ascii="Times New Roman" w:hAnsi="Times New Roman" w:cs="Times New Roman"/>
                <w:color w:val="auto"/>
                <w:kern w:val="0"/>
                <w:sz w:val="24"/>
                <w:szCs w:val="24"/>
                <w:lang w:val="en-US" w:eastAsia="zh-CN"/>
              </w:rPr>
              <w:t>岳阳洞庭湖湖体总体处于中营养水平，7个断面中有6个断面为中营养状态，1个断面（东洞庭湖）为轻度富营养状态。洞庭湖水质综合评价达到考核要求，岳阳洞庭湖总磷浓度均值为0.060mg/L。</w:t>
            </w:r>
          </w:p>
          <w:p w14:paraId="005A9662">
            <w:pPr>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cs="Times New Roman"/>
                <w:color w:val="auto"/>
                <w:kern w:val="0"/>
                <w:sz w:val="24"/>
                <w:szCs w:val="24"/>
                <w:lang w:val="en-US" w:eastAsia="zh-CN"/>
              </w:rPr>
              <w:t>岳阳市政府近年来一直在大力治理洞庭湖水环境，开展了“守护好一江碧水、洞庭清波、洞庭湖总磷污染控制与消减攻坚”等一系列跨市、跨部门专项整治行动，洞庭湖水质呈稳步向好趋势</w:t>
            </w:r>
            <w:r>
              <w:rPr>
                <w:rFonts w:hint="default" w:ascii="Times New Roman" w:hAnsi="Times New Roman" w:eastAsia="宋体" w:cs="Times New Roman"/>
                <w:kern w:val="0"/>
                <w:sz w:val="24"/>
                <w:szCs w:val="24"/>
                <w:u w:val="none"/>
              </w:rPr>
              <w:t>。</w:t>
            </w:r>
          </w:p>
          <w:p w14:paraId="77123893">
            <w:pPr>
              <w:adjustRightInd w:val="0"/>
              <w:snapToGrid w:val="0"/>
              <w:spacing w:line="360" w:lineRule="auto"/>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3</w:t>
            </w:r>
            <w:r>
              <w:rPr>
                <w:rFonts w:hint="default" w:ascii="Times New Roman" w:hAnsi="Times New Roman" w:eastAsia="宋体" w:cs="Times New Roman"/>
                <w:b/>
                <w:bCs/>
                <w:color w:val="000000" w:themeColor="text1"/>
                <w:kern w:val="0"/>
                <w:sz w:val="24"/>
                <w:szCs w:val="24"/>
              </w:rPr>
              <w:t>、声环境质量现状</w:t>
            </w:r>
          </w:p>
          <w:p w14:paraId="66F2D256">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kern w:val="0"/>
                <w:sz w:val="24"/>
                <w:szCs w:val="24"/>
              </w:rPr>
              <w:t>为进</w:t>
            </w:r>
            <w:r>
              <w:rPr>
                <w:rFonts w:hint="default" w:ascii="Times New Roman" w:hAnsi="Times New Roman" w:eastAsia="宋体" w:cs="Times New Roman"/>
                <w:color w:val="auto"/>
                <w:kern w:val="0"/>
                <w:sz w:val="24"/>
                <w:szCs w:val="24"/>
              </w:rPr>
              <w:t>一步了解本项目厂界周边50米范围内声环</w:t>
            </w:r>
            <w:r>
              <w:rPr>
                <w:rFonts w:hint="default" w:ascii="Times New Roman" w:hAnsi="Times New Roman" w:eastAsia="宋体" w:cs="Times New Roman"/>
                <w:color w:val="000000" w:themeColor="text1"/>
                <w:kern w:val="0"/>
                <w:sz w:val="24"/>
                <w:szCs w:val="24"/>
              </w:rPr>
              <w:t>境保护目标的声环境质量现状，本次环评</w:t>
            </w:r>
            <w:r>
              <w:rPr>
                <w:rFonts w:hint="default" w:ascii="Times New Roman" w:hAnsi="Times New Roman" w:cs="Times New Roman"/>
                <w:color w:val="000000" w:themeColor="text1"/>
                <w:kern w:val="0"/>
                <w:sz w:val="24"/>
                <w:szCs w:val="24"/>
                <w:lang w:val="en-US" w:eastAsia="zh-CN"/>
              </w:rPr>
              <w:t>委托</w:t>
            </w:r>
            <w:r>
              <w:rPr>
                <w:rFonts w:hint="default" w:ascii="Times New Roman" w:hAnsi="Times New Roman" w:cs="Times New Roman"/>
                <w:color w:val="000000" w:themeColor="text1"/>
                <w:kern w:val="0"/>
                <w:sz w:val="24"/>
                <w:szCs w:val="24"/>
                <w:lang w:eastAsia="zh-CN"/>
              </w:rPr>
              <w:t>湖南宇昂检测技术有限公司</w:t>
            </w:r>
            <w:r>
              <w:rPr>
                <w:rFonts w:hint="default" w:ascii="Times New Roman" w:hAnsi="Times New Roman" w:eastAsia="宋体" w:cs="Times New Roman"/>
                <w:color w:val="000000" w:themeColor="text1"/>
                <w:kern w:val="0"/>
                <w:sz w:val="24"/>
                <w:szCs w:val="24"/>
              </w:rPr>
              <w:t>于202</w:t>
            </w:r>
            <w:r>
              <w:rPr>
                <w:rFonts w:hint="default" w:ascii="Times New Roman" w:hAnsi="Times New Roman" w:cs="Times New Roman"/>
                <w:color w:val="000000" w:themeColor="text1"/>
                <w:kern w:val="0"/>
                <w:sz w:val="24"/>
                <w:szCs w:val="24"/>
                <w:lang w:val="en-US" w:eastAsia="zh-CN"/>
              </w:rPr>
              <w:t>6</w:t>
            </w:r>
            <w:r>
              <w:rPr>
                <w:rFonts w:hint="default" w:ascii="Times New Roman" w:hAnsi="Times New Roman" w:eastAsia="宋体" w:cs="Times New Roman"/>
                <w:color w:val="000000" w:themeColor="text1"/>
                <w:kern w:val="0"/>
                <w:sz w:val="24"/>
                <w:szCs w:val="24"/>
              </w:rPr>
              <w:t>年</w:t>
            </w:r>
            <w:r>
              <w:rPr>
                <w:rFonts w:hint="eastAsia" w:cs="Times New Roman"/>
                <w:color w:val="000000" w:themeColor="text1"/>
                <w:kern w:val="0"/>
                <w:sz w:val="24"/>
                <w:szCs w:val="24"/>
                <w:highlight w:val="none"/>
                <w:lang w:val="en-US" w:eastAsia="zh-CN"/>
              </w:rPr>
              <w:t>7月20日</w:t>
            </w:r>
            <w:r>
              <w:rPr>
                <w:rFonts w:hint="default" w:ascii="Times New Roman" w:hAnsi="Times New Roman" w:eastAsia="宋体" w:cs="Times New Roman"/>
                <w:color w:val="000000" w:themeColor="text1"/>
                <w:kern w:val="0"/>
                <w:sz w:val="24"/>
                <w:szCs w:val="24"/>
              </w:rPr>
              <w:t>对项</w:t>
            </w:r>
            <w:r>
              <w:rPr>
                <w:rFonts w:hint="default" w:ascii="Times New Roman" w:hAnsi="Times New Roman" w:eastAsia="宋体" w:cs="Times New Roman"/>
                <w:color w:val="auto"/>
                <w:kern w:val="0"/>
                <w:sz w:val="24"/>
                <w:szCs w:val="24"/>
              </w:rPr>
              <w:t>目厂界周边环境保护目标声环境进行现状监测。具体如下：</w:t>
            </w:r>
          </w:p>
          <w:p w14:paraId="38BB3385">
            <w:pPr>
              <w:adjustRightInd w:val="0"/>
              <w:snapToGrid w:val="0"/>
              <w:spacing w:line="360" w:lineRule="auto"/>
              <w:ind w:firstLine="480" w:firstLineChars="200"/>
              <w:jc w:val="left"/>
              <w:rPr>
                <w:rFonts w:hint="default" w:ascii="Times New Roman" w:hAnsi="Times New Roman" w:eastAsia="宋体" w:cs="Times New Roman"/>
                <w:b w:val="0"/>
                <w:bCs w:val="0"/>
                <w:color w:val="auto"/>
                <w:kern w:val="0"/>
                <w:sz w:val="24"/>
                <w:szCs w:val="24"/>
              </w:rPr>
            </w:pPr>
            <w:r>
              <w:rPr>
                <w:rFonts w:hint="default" w:ascii="Times New Roman" w:hAnsi="Times New Roman" w:eastAsia="宋体" w:cs="Times New Roman"/>
                <w:b w:val="0"/>
                <w:bCs w:val="0"/>
                <w:color w:val="auto"/>
                <w:kern w:val="0"/>
                <w:sz w:val="24"/>
                <w:szCs w:val="24"/>
              </w:rPr>
              <w:t>（1）监测布点</w:t>
            </w:r>
          </w:p>
          <w:p w14:paraId="2E884DBB">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eastAsia" w:cs="Times New Roman"/>
                <w:color w:val="auto"/>
                <w:kern w:val="0"/>
                <w:sz w:val="24"/>
                <w:szCs w:val="24"/>
                <w:lang w:val="en-US" w:eastAsia="zh-CN"/>
              </w:rPr>
              <w:t>本项目北侧为中国工商银行岳阳分行办公楼，西北侧为岳阳市第四中学（南院），西侧为金鹗山孔子公园，南侧为华盛国际，西南侧为高山巷居民点，东侧为南湖大道</w:t>
            </w:r>
            <w:r>
              <w:rPr>
                <w:rFonts w:hint="eastAsia" w:cs="Times New Roman"/>
                <w:color w:val="auto"/>
                <w:kern w:val="0"/>
                <w:sz w:val="24"/>
                <w:szCs w:val="24"/>
                <w:lang w:eastAsia="zh-CN"/>
              </w:rPr>
              <w:t>，</w:t>
            </w:r>
            <w:r>
              <w:rPr>
                <w:rFonts w:hint="default" w:ascii="Times New Roman" w:hAnsi="Times New Roman" w:eastAsia="宋体" w:cs="Times New Roman"/>
                <w:color w:val="auto"/>
                <w:kern w:val="0"/>
                <w:sz w:val="24"/>
                <w:szCs w:val="24"/>
              </w:rPr>
              <w:t>根据《建设项目环境影响报告表编制技术指南（污染影响类）（试行）》，本次于项目厂界周边50米范围内</w:t>
            </w:r>
            <w:r>
              <w:rPr>
                <w:rFonts w:hint="eastAsia" w:cs="Times New Roman"/>
                <w:color w:val="auto"/>
                <w:kern w:val="0"/>
                <w:sz w:val="24"/>
                <w:szCs w:val="24"/>
                <w:lang w:val="en-US" w:eastAsia="zh-CN"/>
              </w:rPr>
              <w:t>选取最具代表性位置</w:t>
            </w:r>
            <w:r>
              <w:rPr>
                <w:rFonts w:hint="default" w:ascii="Times New Roman" w:hAnsi="Times New Roman" w:eastAsia="宋体" w:cs="Times New Roman"/>
                <w:color w:val="auto"/>
                <w:kern w:val="0"/>
                <w:sz w:val="24"/>
                <w:szCs w:val="24"/>
              </w:rPr>
              <w:t>布设</w:t>
            </w:r>
            <w:r>
              <w:rPr>
                <w:rFonts w:hint="default" w:ascii="Times New Roman" w:hAnsi="Times New Roman" w:cs="Times New Roman"/>
                <w:color w:val="auto"/>
                <w:kern w:val="0"/>
                <w:sz w:val="24"/>
                <w:szCs w:val="24"/>
                <w:lang w:val="en-US" w:eastAsia="zh-CN"/>
              </w:rPr>
              <w:t>2</w:t>
            </w:r>
            <w:r>
              <w:rPr>
                <w:rFonts w:hint="default" w:ascii="Times New Roman" w:hAnsi="Times New Roman" w:eastAsia="宋体" w:cs="Times New Roman"/>
                <w:color w:val="auto"/>
                <w:kern w:val="0"/>
                <w:sz w:val="24"/>
                <w:szCs w:val="24"/>
              </w:rPr>
              <w:t>个监测点位。</w:t>
            </w:r>
          </w:p>
          <w:p w14:paraId="6B301776">
            <w:pPr>
              <w:adjustRightInd w:val="0"/>
              <w:snapToGrid w:val="0"/>
              <w:spacing w:line="360" w:lineRule="auto"/>
              <w:ind w:firstLine="480" w:firstLineChars="200"/>
              <w:jc w:val="left"/>
              <w:rPr>
                <w:rFonts w:hint="default" w:ascii="Times New Roman" w:hAnsi="Times New Roman" w:eastAsia="宋体" w:cs="Times New Roman"/>
                <w:b w:val="0"/>
                <w:bCs w:val="0"/>
                <w:color w:val="auto"/>
                <w:kern w:val="0"/>
                <w:sz w:val="24"/>
                <w:szCs w:val="24"/>
              </w:rPr>
            </w:pPr>
            <w:r>
              <w:rPr>
                <w:rFonts w:hint="default" w:ascii="Times New Roman" w:hAnsi="Times New Roman" w:eastAsia="宋体" w:cs="Times New Roman"/>
                <w:b w:val="0"/>
                <w:bCs w:val="0"/>
                <w:color w:val="auto"/>
                <w:kern w:val="0"/>
                <w:sz w:val="24"/>
                <w:szCs w:val="24"/>
              </w:rPr>
              <w:t>（2）监测时间及频次</w:t>
            </w:r>
          </w:p>
          <w:p w14:paraId="7180D70B">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本次监测时间为202</w:t>
            </w:r>
            <w:r>
              <w:rPr>
                <w:rFonts w:hint="default" w:ascii="Times New Roman" w:hAnsi="Times New Roman" w:cs="Times New Roman"/>
                <w:color w:val="000000" w:themeColor="text1"/>
                <w:kern w:val="0"/>
                <w:sz w:val="24"/>
                <w:szCs w:val="24"/>
                <w:lang w:val="en-US" w:eastAsia="zh-CN"/>
              </w:rPr>
              <w:t>6</w:t>
            </w:r>
            <w:r>
              <w:rPr>
                <w:rFonts w:hint="default" w:ascii="Times New Roman" w:hAnsi="Times New Roman" w:eastAsia="宋体" w:cs="Times New Roman"/>
                <w:color w:val="000000" w:themeColor="text1"/>
                <w:kern w:val="0"/>
                <w:sz w:val="24"/>
                <w:szCs w:val="24"/>
              </w:rPr>
              <w:t>年</w:t>
            </w:r>
            <w:r>
              <w:rPr>
                <w:rFonts w:hint="eastAsia" w:cs="Times New Roman"/>
                <w:color w:val="000000" w:themeColor="text1"/>
                <w:kern w:val="0"/>
                <w:sz w:val="24"/>
                <w:szCs w:val="24"/>
                <w:highlight w:val="none"/>
                <w:lang w:val="en-US" w:eastAsia="zh-CN"/>
              </w:rPr>
              <w:t>7月20日</w:t>
            </w:r>
            <w:r>
              <w:rPr>
                <w:rFonts w:hint="default" w:ascii="Times New Roman" w:hAnsi="Times New Roman" w:eastAsia="宋体" w:cs="Times New Roman"/>
                <w:color w:val="000000" w:themeColor="text1"/>
                <w:kern w:val="0"/>
                <w:sz w:val="24"/>
                <w:szCs w:val="24"/>
                <w:highlight w:val="none"/>
              </w:rPr>
              <w:t>，</w:t>
            </w:r>
            <w:r>
              <w:rPr>
                <w:rFonts w:hint="default" w:ascii="Times New Roman" w:hAnsi="Times New Roman" w:eastAsia="宋体" w:cs="Times New Roman"/>
                <w:color w:val="000000" w:themeColor="text1"/>
                <w:kern w:val="0"/>
                <w:sz w:val="24"/>
                <w:szCs w:val="24"/>
              </w:rPr>
              <w:t>每</w:t>
            </w:r>
            <w:r>
              <w:rPr>
                <w:rFonts w:hint="default" w:ascii="Times New Roman" w:hAnsi="Times New Roman" w:eastAsia="宋体" w:cs="Times New Roman"/>
                <w:color w:val="auto"/>
                <w:kern w:val="0"/>
                <w:sz w:val="24"/>
                <w:szCs w:val="24"/>
              </w:rPr>
              <w:t>天昼间</w:t>
            </w:r>
            <w:r>
              <w:rPr>
                <w:rFonts w:hint="eastAsia" w:cs="Times New Roman"/>
                <w:color w:val="auto"/>
                <w:kern w:val="0"/>
                <w:sz w:val="24"/>
                <w:szCs w:val="24"/>
                <w:lang w:eastAsia="zh-CN"/>
              </w:rPr>
              <w:t>、</w:t>
            </w:r>
            <w:r>
              <w:rPr>
                <w:rFonts w:hint="default" w:ascii="Times New Roman" w:hAnsi="Times New Roman" w:eastAsia="宋体" w:cs="Times New Roman"/>
                <w:color w:val="auto"/>
                <w:kern w:val="0"/>
                <w:sz w:val="24"/>
                <w:szCs w:val="24"/>
              </w:rPr>
              <w:t>夜间</w:t>
            </w:r>
            <w:r>
              <w:rPr>
                <w:rFonts w:hint="eastAsia" w:cs="Times New Roman"/>
                <w:color w:val="auto"/>
                <w:kern w:val="0"/>
                <w:sz w:val="24"/>
                <w:szCs w:val="24"/>
                <w:lang w:val="en-US" w:eastAsia="zh-CN"/>
              </w:rPr>
              <w:t>各监测</w:t>
            </w:r>
            <w:r>
              <w:rPr>
                <w:rFonts w:hint="default" w:ascii="Times New Roman" w:hAnsi="Times New Roman" w:eastAsia="宋体" w:cs="Times New Roman"/>
                <w:color w:val="auto"/>
                <w:kern w:val="0"/>
                <w:sz w:val="24"/>
                <w:szCs w:val="24"/>
              </w:rPr>
              <w:t>1次。</w:t>
            </w:r>
          </w:p>
          <w:p w14:paraId="56563B74">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（3）监测方法</w:t>
            </w:r>
          </w:p>
          <w:p w14:paraId="30A7C523">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本次监测分析方法见下表。</w:t>
            </w:r>
          </w:p>
          <w:p w14:paraId="3274D96A">
            <w:pPr>
              <w:adjustRightInd w:val="0"/>
              <w:snapToGrid w:val="0"/>
              <w:spacing w:line="360" w:lineRule="auto"/>
              <w:jc w:val="center"/>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表3-</w:t>
            </w:r>
            <w:r>
              <w:rPr>
                <w:rFonts w:hint="default" w:ascii="Times New Roman" w:hAnsi="Times New Roman" w:cs="Times New Roman"/>
                <w:b/>
                <w:bCs/>
                <w:color w:val="auto"/>
                <w:kern w:val="0"/>
                <w:sz w:val="21"/>
                <w:szCs w:val="21"/>
                <w:lang w:val="en-US" w:eastAsia="zh-CN"/>
              </w:rPr>
              <w:t>3</w:t>
            </w:r>
            <w:r>
              <w:rPr>
                <w:rFonts w:hint="default" w:ascii="Times New Roman" w:hAnsi="Times New Roman" w:eastAsia="宋体" w:cs="Times New Roman"/>
                <w:b/>
                <w:bCs/>
                <w:color w:val="auto"/>
                <w:kern w:val="0"/>
                <w:sz w:val="21"/>
                <w:szCs w:val="21"/>
              </w:rPr>
              <w:t xml:space="preserve"> 声环境监测分析方法</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275"/>
              <w:gridCol w:w="2961"/>
              <w:gridCol w:w="2994"/>
            </w:tblGrid>
            <w:tr w14:paraId="69D7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29" w:type="dxa"/>
                  <w:shd w:val="clear" w:color="auto" w:fill="auto"/>
                  <w:vAlign w:val="center"/>
                </w:tcPr>
                <w:p w14:paraId="0B51F98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序号</w:t>
                  </w:r>
                </w:p>
              </w:tc>
              <w:tc>
                <w:tcPr>
                  <w:tcW w:w="1275" w:type="dxa"/>
                  <w:shd w:val="clear" w:color="auto" w:fill="auto"/>
                  <w:vAlign w:val="center"/>
                </w:tcPr>
                <w:p w14:paraId="06766C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检测项目</w:t>
                  </w:r>
                </w:p>
              </w:tc>
              <w:tc>
                <w:tcPr>
                  <w:tcW w:w="2961" w:type="dxa"/>
                  <w:shd w:val="clear" w:color="auto" w:fill="auto"/>
                  <w:vAlign w:val="center"/>
                </w:tcPr>
                <w:p w14:paraId="46803A4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检测方法及依据</w:t>
                  </w:r>
                </w:p>
              </w:tc>
              <w:tc>
                <w:tcPr>
                  <w:tcW w:w="2994" w:type="dxa"/>
                  <w:shd w:val="clear" w:color="auto" w:fill="auto"/>
                  <w:vAlign w:val="center"/>
                </w:tcPr>
                <w:p w14:paraId="426BF47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rPr>
                    <w:t>检测设备及型号</w:t>
                  </w:r>
                </w:p>
              </w:tc>
            </w:tr>
            <w:tr w14:paraId="377A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29" w:type="dxa"/>
                  <w:shd w:val="clear" w:color="auto" w:fill="auto"/>
                  <w:vAlign w:val="center"/>
                </w:tcPr>
                <w:p w14:paraId="1E3F28C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1</w:t>
                  </w:r>
                </w:p>
              </w:tc>
              <w:tc>
                <w:tcPr>
                  <w:tcW w:w="1275" w:type="dxa"/>
                  <w:shd w:val="clear" w:color="auto" w:fill="auto"/>
                  <w:vAlign w:val="center"/>
                </w:tcPr>
                <w:p w14:paraId="44AAEEF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声环境</w:t>
                  </w:r>
                </w:p>
              </w:tc>
              <w:tc>
                <w:tcPr>
                  <w:tcW w:w="2961" w:type="dxa"/>
                  <w:shd w:val="clear" w:color="auto" w:fill="auto"/>
                  <w:vAlign w:val="center"/>
                </w:tcPr>
                <w:p w14:paraId="6EAC845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《声环境质量标准》（GB3096-2008）</w:t>
                  </w:r>
                </w:p>
              </w:tc>
              <w:tc>
                <w:tcPr>
                  <w:tcW w:w="2994" w:type="dxa"/>
                  <w:shd w:val="clear" w:color="auto" w:fill="auto"/>
                  <w:vAlign w:val="center"/>
                </w:tcPr>
                <w:p w14:paraId="76A24DB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声校准器AWA6022A</w:t>
                  </w:r>
                </w:p>
              </w:tc>
            </w:tr>
          </w:tbl>
          <w:p w14:paraId="1B0724EB">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（4）监测结果</w:t>
            </w:r>
          </w:p>
          <w:p w14:paraId="30BC442C">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本次声环境质量现状监测结果如下表。</w:t>
            </w:r>
          </w:p>
          <w:p w14:paraId="2A951CC3">
            <w:pPr>
              <w:adjustRightInd w:val="0"/>
              <w:snapToGrid w:val="0"/>
              <w:spacing w:line="360" w:lineRule="auto"/>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
                <w:color w:val="auto"/>
                <w:sz w:val="21"/>
                <w:szCs w:val="21"/>
              </w:rPr>
              <w:t>表3-</w:t>
            </w:r>
            <w:r>
              <w:rPr>
                <w:rFonts w:hint="default" w:ascii="Times New Roman" w:hAnsi="Times New Roman" w:cs="Times New Roman"/>
                <w:b/>
                <w:color w:val="auto"/>
                <w:sz w:val="21"/>
                <w:szCs w:val="21"/>
                <w:lang w:val="en-US" w:eastAsia="zh-CN"/>
              </w:rPr>
              <w:t>4</w:t>
            </w:r>
            <w:r>
              <w:rPr>
                <w:rFonts w:hint="default" w:ascii="Times New Roman" w:hAnsi="Times New Roman" w:eastAsia="宋体" w:cs="Times New Roman"/>
                <w:b/>
                <w:color w:val="auto"/>
                <w:sz w:val="21"/>
                <w:szCs w:val="21"/>
              </w:rPr>
              <w:t xml:space="preserve"> 项目声环境质量现状监测结果一览表</w:t>
            </w: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bCs w:val="0"/>
                <w:color w:val="auto"/>
                <w:sz w:val="21"/>
                <w:szCs w:val="21"/>
              </w:rPr>
              <w:t>单位：dB（A）</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830"/>
              <w:gridCol w:w="1245"/>
              <w:gridCol w:w="885"/>
              <w:gridCol w:w="765"/>
              <w:gridCol w:w="645"/>
              <w:gridCol w:w="657"/>
            </w:tblGrid>
            <w:tr w14:paraId="31F6A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Merge w:val="restart"/>
                  <w:vAlign w:val="center"/>
                </w:tcPr>
                <w:p w14:paraId="22B3473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rPr>
                    <w:t>检测点位</w:t>
                  </w:r>
                </w:p>
              </w:tc>
              <w:tc>
                <w:tcPr>
                  <w:tcW w:w="1245" w:type="dxa"/>
                  <w:vMerge w:val="restart"/>
                  <w:vAlign w:val="center"/>
                </w:tcPr>
                <w:p w14:paraId="125A2D7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rPr>
                    <w:t>检测日期</w:t>
                  </w:r>
                </w:p>
              </w:tc>
              <w:tc>
                <w:tcPr>
                  <w:tcW w:w="1650" w:type="dxa"/>
                  <w:gridSpan w:val="2"/>
                  <w:vAlign w:val="center"/>
                </w:tcPr>
                <w:p w14:paraId="6AFE4AF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eastAsia="zh-CN"/>
                    </w:rPr>
                    <w:t>检测结果（</w:t>
                  </w:r>
                  <w:r>
                    <w:rPr>
                      <w:rFonts w:hint="default" w:ascii="Times New Roman" w:hAnsi="Times New Roman" w:eastAsia="宋体" w:cs="Times New Roman"/>
                      <w:b/>
                      <w:bCs/>
                      <w:color w:val="auto"/>
                      <w:kern w:val="0"/>
                      <w:sz w:val="21"/>
                      <w:szCs w:val="21"/>
                      <w:lang w:val="en-US" w:eastAsia="zh-CN"/>
                    </w:rPr>
                    <w:t>Leq:dB（A））</w:t>
                  </w:r>
                </w:p>
              </w:tc>
              <w:tc>
                <w:tcPr>
                  <w:tcW w:w="1302" w:type="dxa"/>
                  <w:gridSpan w:val="2"/>
                  <w:vAlign w:val="center"/>
                </w:tcPr>
                <w:p w14:paraId="7EF19EE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rPr>
                    <w:t>标准限值</w:t>
                  </w:r>
                </w:p>
              </w:tc>
            </w:tr>
            <w:tr w14:paraId="2F43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Merge w:val="continue"/>
                  <w:vAlign w:val="center"/>
                </w:tcPr>
                <w:p w14:paraId="60C3DF4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p>
              </w:tc>
              <w:tc>
                <w:tcPr>
                  <w:tcW w:w="1245" w:type="dxa"/>
                  <w:vMerge w:val="continue"/>
                  <w:vAlign w:val="center"/>
                </w:tcPr>
                <w:p w14:paraId="4FEC108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p>
              </w:tc>
              <w:tc>
                <w:tcPr>
                  <w:tcW w:w="885" w:type="dxa"/>
                  <w:vAlign w:val="center"/>
                </w:tcPr>
                <w:p w14:paraId="48AB55D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eastAsia="zh-CN"/>
                    </w:rPr>
                    <w:t>昼间</w:t>
                  </w:r>
                </w:p>
              </w:tc>
              <w:tc>
                <w:tcPr>
                  <w:tcW w:w="765" w:type="dxa"/>
                  <w:vAlign w:val="center"/>
                </w:tcPr>
                <w:p w14:paraId="0F00D77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rPr>
                    <w:t>夜间</w:t>
                  </w:r>
                </w:p>
              </w:tc>
              <w:tc>
                <w:tcPr>
                  <w:tcW w:w="645" w:type="dxa"/>
                  <w:vAlign w:val="center"/>
                </w:tcPr>
                <w:p w14:paraId="7C681C8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eastAsia="zh-CN"/>
                    </w:rPr>
                    <w:t>昼间</w:t>
                  </w:r>
                </w:p>
              </w:tc>
              <w:tc>
                <w:tcPr>
                  <w:tcW w:w="657" w:type="dxa"/>
                  <w:vAlign w:val="center"/>
                </w:tcPr>
                <w:p w14:paraId="53CCCC4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auto"/>
                      <w:kern w:val="0"/>
                      <w:sz w:val="21"/>
                      <w:szCs w:val="21"/>
                    </w:rPr>
                  </w:pPr>
                  <w:r>
                    <w:rPr>
                      <w:rFonts w:hint="default" w:ascii="Times New Roman" w:hAnsi="Times New Roman" w:eastAsia="宋体" w:cs="Times New Roman"/>
                      <w:b/>
                      <w:bCs/>
                      <w:color w:val="auto"/>
                      <w:kern w:val="0"/>
                      <w:sz w:val="21"/>
                      <w:szCs w:val="21"/>
                      <w:lang w:val="en-US" w:eastAsia="zh-CN"/>
                    </w:rPr>
                    <w:t>夜间</w:t>
                  </w:r>
                </w:p>
              </w:tc>
            </w:tr>
            <w:tr w14:paraId="134A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1AFA99F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rPr>
                    <w:t>N1华盛国际</w:t>
                  </w:r>
                  <w:r>
                    <w:rPr>
                      <w:rFonts w:hint="eastAsia" w:cs="Times New Roman"/>
                      <w:color w:val="auto"/>
                      <w:kern w:val="0"/>
                      <w:sz w:val="21"/>
                      <w:szCs w:val="21"/>
                      <w:highlight w:val="none"/>
                      <w:lang w:val="en-US" w:eastAsia="zh-CN"/>
                    </w:rPr>
                    <w:t>1层</w:t>
                  </w:r>
                </w:p>
              </w:tc>
              <w:tc>
                <w:tcPr>
                  <w:tcW w:w="1245" w:type="dxa"/>
                  <w:vMerge w:val="restart"/>
                  <w:vAlign w:val="center"/>
                </w:tcPr>
                <w:p w14:paraId="12528AD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rPr>
                    <w:t>2026.</w:t>
                  </w:r>
                  <w:r>
                    <w:rPr>
                      <w:rFonts w:hint="eastAsia" w:cs="Times New Roman"/>
                      <w:color w:val="auto"/>
                      <w:kern w:val="0"/>
                      <w:sz w:val="21"/>
                      <w:szCs w:val="21"/>
                      <w:highlight w:val="none"/>
                      <w:lang w:val="en-US" w:eastAsia="zh-CN"/>
                    </w:rPr>
                    <w:t>07.20</w:t>
                  </w:r>
                </w:p>
              </w:tc>
              <w:tc>
                <w:tcPr>
                  <w:tcW w:w="885" w:type="dxa"/>
                  <w:vAlign w:val="center"/>
                </w:tcPr>
                <w:p w14:paraId="4833792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55.6</w:t>
                  </w:r>
                </w:p>
              </w:tc>
              <w:tc>
                <w:tcPr>
                  <w:tcW w:w="765" w:type="dxa"/>
                  <w:vAlign w:val="center"/>
                </w:tcPr>
                <w:p w14:paraId="3A24C61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48.4</w:t>
                  </w:r>
                </w:p>
              </w:tc>
              <w:tc>
                <w:tcPr>
                  <w:tcW w:w="645" w:type="dxa"/>
                  <w:vMerge w:val="restart"/>
                  <w:vAlign w:val="center"/>
                </w:tcPr>
                <w:p w14:paraId="7C7E4BD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60</w:t>
                  </w:r>
                </w:p>
              </w:tc>
              <w:tc>
                <w:tcPr>
                  <w:tcW w:w="657" w:type="dxa"/>
                  <w:vMerge w:val="restart"/>
                  <w:vAlign w:val="center"/>
                </w:tcPr>
                <w:p w14:paraId="3372C7F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50</w:t>
                  </w:r>
                </w:p>
              </w:tc>
            </w:tr>
            <w:tr w14:paraId="303F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5A1A93D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N</w:t>
                  </w:r>
                  <w:r>
                    <w:rPr>
                      <w:rFonts w:hint="eastAsia"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lang w:val="en-US" w:eastAsia="zh-CN"/>
                    </w:rPr>
                    <w:t>华盛国际</w:t>
                  </w:r>
                  <w:r>
                    <w:rPr>
                      <w:rFonts w:hint="eastAsia" w:cs="Times New Roman"/>
                      <w:color w:val="auto"/>
                      <w:kern w:val="0"/>
                      <w:sz w:val="21"/>
                      <w:szCs w:val="21"/>
                      <w:highlight w:val="none"/>
                      <w:lang w:val="en-US" w:eastAsia="zh-CN"/>
                    </w:rPr>
                    <w:t>3层</w:t>
                  </w:r>
                </w:p>
              </w:tc>
              <w:tc>
                <w:tcPr>
                  <w:tcW w:w="1245" w:type="dxa"/>
                  <w:vMerge w:val="continue"/>
                  <w:vAlign w:val="center"/>
                </w:tcPr>
                <w:p w14:paraId="5E8A89A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885" w:type="dxa"/>
                  <w:vAlign w:val="center"/>
                </w:tcPr>
                <w:p w14:paraId="7CA3029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51.3</w:t>
                  </w:r>
                </w:p>
              </w:tc>
              <w:tc>
                <w:tcPr>
                  <w:tcW w:w="765" w:type="dxa"/>
                  <w:vAlign w:val="center"/>
                </w:tcPr>
                <w:p w14:paraId="140585B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48.5</w:t>
                  </w:r>
                </w:p>
              </w:tc>
              <w:tc>
                <w:tcPr>
                  <w:tcW w:w="645" w:type="dxa"/>
                  <w:vMerge w:val="continue"/>
                  <w:vAlign w:val="center"/>
                </w:tcPr>
                <w:p w14:paraId="493C85E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c>
                <w:tcPr>
                  <w:tcW w:w="657" w:type="dxa"/>
                  <w:vMerge w:val="continue"/>
                  <w:vAlign w:val="center"/>
                </w:tcPr>
                <w:p w14:paraId="2268A98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r>
            <w:tr w14:paraId="7991C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3C180F2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N</w:t>
                  </w:r>
                  <w:r>
                    <w:rPr>
                      <w:rFonts w:hint="eastAsia"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lang w:val="en-US" w:eastAsia="zh-CN"/>
                    </w:rPr>
                    <w:t>华盛国际</w:t>
                  </w:r>
                  <w:r>
                    <w:rPr>
                      <w:rFonts w:hint="eastAsia" w:cs="Times New Roman"/>
                      <w:color w:val="auto"/>
                      <w:kern w:val="0"/>
                      <w:sz w:val="21"/>
                      <w:szCs w:val="21"/>
                      <w:highlight w:val="none"/>
                      <w:lang w:val="en-US" w:eastAsia="zh-CN"/>
                    </w:rPr>
                    <w:t>5层</w:t>
                  </w:r>
                </w:p>
              </w:tc>
              <w:tc>
                <w:tcPr>
                  <w:tcW w:w="1245" w:type="dxa"/>
                  <w:vMerge w:val="continue"/>
                  <w:vAlign w:val="center"/>
                </w:tcPr>
                <w:p w14:paraId="0BB65E7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885" w:type="dxa"/>
                  <w:vAlign w:val="center"/>
                </w:tcPr>
                <w:p w14:paraId="4397AA2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48.8</w:t>
                  </w:r>
                </w:p>
              </w:tc>
              <w:tc>
                <w:tcPr>
                  <w:tcW w:w="765" w:type="dxa"/>
                  <w:vAlign w:val="center"/>
                </w:tcPr>
                <w:p w14:paraId="2743F7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48.2</w:t>
                  </w:r>
                </w:p>
              </w:tc>
              <w:tc>
                <w:tcPr>
                  <w:tcW w:w="645" w:type="dxa"/>
                  <w:vMerge w:val="continue"/>
                  <w:vAlign w:val="center"/>
                </w:tcPr>
                <w:p w14:paraId="477274E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c>
                <w:tcPr>
                  <w:tcW w:w="657" w:type="dxa"/>
                  <w:vMerge w:val="continue"/>
                  <w:vAlign w:val="center"/>
                </w:tcPr>
                <w:p w14:paraId="030C412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r>
            <w:tr w14:paraId="0A42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064D25E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N</w:t>
                  </w:r>
                  <w:r>
                    <w:rPr>
                      <w:rFonts w:hint="eastAsia"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lang w:val="en-US" w:eastAsia="zh-CN"/>
                    </w:rPr>
                    <w:t>华盛国际</w:t>
                  </w:r>
                  <w:r>
                    <w:rPr>
                      <w:rFonts w:hint="eastAsia" w:cs="Times New Roman"/>
                      <w:color w:val="auto"/>
                      <w:kern w:val="0"/>
                      <w:sz w:val="21"/>
                      <w:szCs w:val="21"/>
                      <w:highlight w:val="none"/>
                      <w:lang w:val="en-US" w:eastAsia="zh-CN"/>
                    </w:rPr>
                    <w:t>7层</w:t>
                  </w:r>
                </w:p>
              </w:tc>
              <w:tc>
                <w:tcPr>
                  <w:tcW w:w="1245" w:type="dxa"/>
                  <w:vMerge w:val="continue"/>
                  <w:vAlign w:val="center"/>
                </w:tcPr>
                <w:p w14:paraId="7233DC5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885" w:type="dxa"/>
                  <w:vAlign w:val="center"/>
                </w:tcPr>
                <w:p w14:paraId="0749A1D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49.8</w:t>
                  </w:r>
                </w:p>
              </w:tc>
              <w:tc>
                <w:tcPr>
                  <w:tcW w:w="765" w:type="dxa"/>
                  <w:vAlign w:val="center"/>
                </w:tcPr>
                <w:p w14:paraId="79AE6CF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48.1</w:t>
                  </w:r>
                </w:p>
              </w:tc>
              <w:tc>
                <w:tcPr>
                  <w:tcW w:w="645" w:type="dxa"/>
                  <w:vMerge w:val="continue"/>
                  <w:vAlign w:val="center"/>
                </w:tcPr>
                <w:p w14:paraId="03B9C13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c>
                <w:tcPr>
                  <w:tcW w:w="657" w:type="dxa"/>
                  <w:vMerge w:val="continue"/>
                  <w:vAlign w:val="center"/>
                </w:tcPr>
                <w:p w14:paraId="777F503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r>
            <w:tr w14:paraId="16A7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7B3C2E4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N</w:t>
                  </w:r>
                  <w:r>
                    <w:rPr>
                      <w:rFonts w:hint="eastAsia"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lang w:val="en-US" w:eastAsia="zh-CN"/>
                    </w:rPr>
                    <w:t>华盛国际</w:t>
                  </w:r>
                  <w:r>
                    <w:rPr>
                      <w:rFonts w:hint="eastAsia" w:cs="Times New Roman"/>
                      <w:color w:val="auto"/>
                      <w:kern w:val="0"/>
                      <w:sz w:val="21"/>
                      <w:szCs w:val="21"/>
                      <w:highlight w:val="none"/>
                      <w:lang w:val="en-US" w:eastAsia="zh-CN"/>
                    </w:rPr>
                    <w:t>12层</w:t>
                  </w:r>
                </w:p>
              </w:tc>
              <w:tc>
                <w:tcPr>
                  <w:tcW w:w="1245" w:type="dxa"/>
                  <w:vMerge w:val="continue"/>
                  <w:vAlign w:val="center"/>
                </w:tcPr>
                <w:p w14:paraId="6B01A01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885" w:type="dxa"/>
                  <w:vAlign w:val="center"/>
                </w:tcPr>
                <w:p w14:paraId="13AAF76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48.9</w:t>
                  </w:r>
                </w:p>
              </w:tc>
              <w:tc>
                <w:tcPr>
                  <w:tcW w:w="765" w:type="dxa"/>
                  <w:vAlign w:val="center"/>
                </w:tcPr>
                <w:p w14:paraId="3F4F938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48.8</w:t>
                  </w:r>
                </w:p>
              </w:tc>
              <w:tc>
                <w:tcPr>
                  <w:tcW w:w="645" w:type="dxa"/>
                  <w:vMerge w:val="continue"/>
                  <w:vAlign w:val="center"/>
                </w:tcPr>
                <w:p w14:paraId="3EDCED5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c>
                <w:tcPr>
                  <w:tcW w:w="657" w:type="dxa"/>
                  <w:vMerge w:val="continue"/>
                  <w:vAlign w:val="center"/>
                </w:tcPr>
                <w:p w14:paraId="19A3AE7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r>
            <w:tr w14:paraId="3CBDC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7627B6B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N</w:t>
                  </w:r>
                  <w:r>
                    <w:rPr>
                      <w:rFonts w:hint="eastAsia" w:cs="Times New Roman"/>
                      <w:color w:val="auto"/>
                      <w:kern w:val="0"/>
                      <w:sz w:val="21"/>
                      <w:szCs w:val="21"/>
                      <w:highlight w:val="none"/>
                      <w:lang w:val="en-US" w:eastAsia="zh-CN"/>
                    </w:rPr>
                    <w:t>6</w:t>
                  </w:r>
                  <w:r>
                    <w:rPr>
                      <w:rFonts w:hint="default" w:ascii="Times New Roman" w:hAnsi="Times New Roman" w:eastAsia="宋体" w:cs="Times New Roman"/>
                      <w:color w:val="auto"/>
                      <w:kern w:val="0"/>
                      <w:sz w:val="21"/>
                      <w:szCs w:val="21"/>
                      <w:highlight w:val="none"/>
                      <w:lang w:val="en-US" w:eastAsia="zh-CN"/>
                    </w:rPr>
                    <w:t>华盛国际</w:t>
                  </w:r>
                  <w:r>
                    <w:rPr>
                      <w:rFonts w:hint="eastAsia" w:cs="Times New Roman"/>
                      <w:color w:val="auto"/>
                      <w:kern w:val="0"/>
                      <w:sz w:val="21"/>
                      <w:szCs w:val="21"/>
                      <w:highlight w:val="none"/>
                      <w:lang w:val="en-US" w:eastAsia="zh-CN"/>
                    </w:rPr>
                    <w:t>20层</w:t>
                  </w:r>
                </w:p>
              </w:tc>
              <w:tc>
                <w:tcPr>
                  <w:tcW w:w="1245" w:type="dxa"/>
                  <w:vMerge w:val="continue"/>
                  <w:vAlign w:val="center"/>
                </w:tcPr>
                <w:p w14:paraId="7B6A0BF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885" w:type="dxa"/>
                  <w:vAlign w:val="center"/>
                </w:tcPr>
                <w:p w14:paraId="60730B8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48.5</w:t>
                  </w:r>
                </w:p>
              </w:tc>
              <w:tc>
                <w:tcPr>
                  <w:tcW w:w="765" w:type="dxa"/>
                  <w:vAlign w:val="center"/>
                </w:tcPr>
                <w:p w14:paraId="2AE518D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48.5</w:t>
                  </w:r>
                </w:p>
              </w:tc>
              <w:tc>
                <w:tcPr>
                  <w:tcW w:w="645" w:type="dxa"/>
                  <w:vMerge w:val="continue"/>
                  <w:vAlign w:val="center"/>
                </w:tcPr>
                <w:p w14:paraId="181D584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c>
                <w:tcPr>
                  <w:tcW w:w="657" w:type="dxa"/>
                  <w:vMerge w:val="continue"/>
                  <w:vAlign w:val="center"/>
                </w:tcPr>
                <w:p w14:paraId="3AA03F0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r>
            <w:tr w14:paraId="4662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43C0D2C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N</w:t>
                  </w:r>
                  <w:r>
                    <w:rPr>
                      <w:rFonts w:hint="eastAsia" w:cs="Times New Roman"/>
                      <w:color w:val="auto"/>
                      <w:kern w:val="0"/>
                      <w:sz w:val="21"/>
                      <w:szCs w:val="21"/>
                      <w:highlight w:val="none"/>
                      <w:lang w:val="en-US" w:eastAsia="zh-CN"/>
                    </w:rPr>
                    <w:t>7</w:t>
                  </w:r>
                  <w:r>
                    <w:rPr>
                      <w:rFonts w:hint="default" w:ascii="Times New Roman" w:hAnsi="Times New Roman" w:eastAsia="宋体" w:cs="Times New Roman"/>
                      <w:color w:val="auto"/>
                      <w:kern w:val="0"/>
                      <w:sz w:val="21"/>
                      <w:szCs w:val="21"/>
                      <w:highlight w:val="none"/>
                      <w:lang w:val="en-US" w:eastAsia="zh-CN"/>
                    </w:rPr>
                    <w:t>岳阳市第四中学</w:t>
                  </w:r>
                  <w:r>
                    <w:rPr>
                      <w:rFonts w:hint="eastAsia" w:cs="Times New Roman"/>
                      <w:color w:val="auto"/>
                      <w:kern w:val="0"/>
                      <w:sz w:val="21"/>
                      <w:szCs w:val="21"/>
                      <w:highlight w:val="none"/>
                      <w:lang w:val="en-US" w:eastAsia="zh-CN"/>
                    </w:rPr>
                    <w:t>教学楼1层</w:t>
                  </w:r>
                </w:p>
              </w:tc>
              <w:tc>
                <w:tcPr>
                  <w:tcW w:w="1245" w:type="dxa"/>
                  <w:vMerge w:val="continue"/>
                  <w:vAlign w:val="center"/>
                </w:tcPr>
                <w:p w14:paraId="34C3D9B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eastAsia="zh-CN"/>
                    </w:rPr>
                  </w:pPr>
                </w:p>
              </w:tc>
              <w:tc>
                <w:tcPr>
                  <w:tcW w:w="885" w:type="dxa"/>
                  <w:vAlign w:val="center"/>
                </w:tcPr>
                <w:p w14:paraId="408DBB6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50.0</w:t>
                  </w:r>
                </w:p>
              </w:tc>
              <w:tc>
                <w:tcPr>
                  <w:tcW w:w="765" w:type="dxa"/>
                  <w:vAlign w:val="center"/>
                </w:tcPr>
                <w:p w14:paraId="0B1A4C1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40.6</w:t>
                  </w:r>
                </w:p>
              </w:tc>
              <w:tc>
                <w:tcPr>
                  <w:tcW w:w="645" w:type="dxa"/>
                  <w:vMerge w:val="restart"/>
                  <w:vAlign w:val="center"/>
                </w:tcPr>
                <w:p w14:paraId="2B991F9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55</w:t>
                  </w:r>
                </w:p>
              </w:tc>
              <w:tc>
                <w:tcPr>
                  <w:tcW w:w="657" w:type="dxa"/>
                  <w:vMerge w:val="restart"/>
                  <w:vAlign w:val="center"/>
                </w:tcPr>
                <w:p w14:paraId="14F130C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lang w:val="en-US" w:eastAsia="zh-CN"/>
                    </w:rPr>
                    <w:t>45</w:t>
                  </w:r>
                </w:p>
              </w:tc>
            </w:tr>
            <w:tr w14:paraId="39AB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77" w:type="dxa"/>
                  <w:gridSpan w:val="2"/>
                  <w:vAlign w:val="center"/>
                </w:tcPr>
                <w:p w14:paraId="3822131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lang w:val="en-US"/>
                    </w:rPr>
                  </w:pPr>
                  <w:r>
                    <w:rPr>
                      <w:rFonts w:hint="default" w:ascii="Times New Roman" w:hAnsi="Times New Roman" w:eastAsia="宋体" w:cs="Times New Roman"/>
                      <w:color w:val="auto"/>
                      <w:kern w:val="0"/>
                      <w:sz w:val="21"/>
                      <w:szCs w:val="21"/>
                      <w:highlight w:val="none"/>
                      <w:lang w:val="en-US" w:eastAsia="zh-CN"/>
                    </w:rPr>
                    <w:t>N</w:t>
                  </w:r>
                  <w:r>
                    <w:rPr>
                      <w:rFonts w:hint="eastAsia" w:cs="Times New Roman"/>
                      <w:color w:val="auto"/>
                      <w:kern w:val="0"/>
                      <w:sz w:val="21"/>
                      <w:szCs w:val="21"/>
                      <w:highlight w:val="none"/>
                      <w:lang w:val="en-US" w:eastAsia="zh-CN"/>
                    </w:rPr>
                    <w:t>8</w:t>
                  </w:r>
                  <w:r>
                    <w:rPr>
                      <w:rFonts w:hint="default" w:ascii="Times New Roman" w:hAnsi="Times New Roman" w:eastAsia="宋体" w:cs="Times New Roman"/>
                      <w:color w:val="auto"/>
                      <w:kern w:val="0"/>
                      <w:sz w:val="21"/>
                      <w:szCs w:val="21"/>
                      <w:highlight w:val="none"/>
                      <w:lang w:val="en-US" w:eastAsia="zh-CN"/>
                    </w:rPr>
                    <w:t>岳阳市第四中学</w:t>
                  </w:r>
                  <w:r>
                    <w:rPr>
                      <w:rFonts w:hint="eastAsia" w:cs="Times New Roman"/>
                      <w:color w:val="auto"/>
                      <w:kern w:val="0"/>
                      <w:sz w:val="21"/>
                      <w:szCs w:val="21"/>
                      <w:highlight w:val="none"/>
                      <w:lang w:val="en-US" w:eastAsia="zh-CN"/>
                    </w:rPr>
                    <w:t>教学楼3层</w:t>
                  </w:r>
                </w:p>
              </w:tc>
              <w:tc>
                <w:tcPr>
                  <w:tcW w:w="1245" w:type="dxa"/>
                  <w:vMerge w:val="continue"/>
                  <w:vAlign w:val="center"/>
                </w:tcPr>
                <w:p w14:paraId="5CD8BB5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highlight w:val="none"/>
                    </w:rPr>
                  </w:pPr>
                </w:p>
              </w:tc>
              <w:tc>
                <w:tcPr>
                  <w:tcW w:w="885" w:type="dxa"/>
                  <w:vAlign w:val="center"/>
                </w:tcPr>
                <w:p w14:paraId="6EA659A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52.6</w:t>
                  </w:r>
                </w:p>
              </w:tc>
              <w:tc>
                <w:tcPr>
                  <w:tcW w:w="765" w:type="dxa"/>
                  <w:vAlign w:val="center"/>
                </w:tcPr>
                <w:p w14:paraId="30A6D2A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42.4</w:t>
                  </w:r>
                </w:p>
              </w:tc>
              <w:tc>
                <w:tcPr>
                  <w:tcW w:w="645" w:type="dxa"/>
                  <w:vMerge w:val="continue"/>
                  <w:vAlign w:val="center"/>
                </w:tcPr>
                <w:p w14:paraId="3C64C09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c>
                <w:tcPr>
                  <w:tcW w:w="657" w:type="dxa"/>
                  <w:vMerge w:val="continue"/>
                  <w:vAlign w:val="center"/>
                </w:tcPr>
                <w:p w14:paraId="6D5C11D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p>
              </w:tc>
            </w:tr>
            <w:tr w14:paraId="00FD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14:paraId="35A9904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执行标准</w:t>
                  </w:r>
                </w:p>
              </w:tc>
              <w:tc>
                <w:tcPr>
                  <w:tcW w:w="6027" w:type="dxa"/>
                  <w:gridSpan w:val="6"/>
                  <w:vAlign w:val="center"/>
                </w:tcPr>
                <w:p w14:paraId="610C9E6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n-US" w:eastAsia="zh-CN"/>
                    </w:rPr>
                    <w:t>《声环境质量标准》（GB3096-2008）1、2类标准限值</w:t>
                  </w:r>
                </w:p>
              </w:tc>
            </w:tr>
          </w:tbl>
          <w:p w14:paraId="50FD75C2">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根据上述监测结果可知，本项目厂界周边50米范围内</w:t>
            </w:r>
            <w:r>
              <w:rPr>
                <w:rFonts w:hint="default" w:ascii="Times New Roman" w:hAnsi="Times New Roman" w:cs="Times New Roman"/>
                <w:color w:val="auto"/>
                <w:kern w:val="0"/>
                <w:sz w:val="24"/>
                <w:szCs w:val="24"/>
                <w:lang w:val="en-US" w:eastAsia="zh-CN"/>
              </w:rPr>
              <w:t>敏感点</w:t>
            </w:r>
            <w:r>
              <w:rPr>
                <w:rFonts w:hint="eastAsia" w:ascii="Times New Roman" w:hAnsi="Times New Roman" w:cs="Times New Roman"/>
                <w:color w:val="auto"/>
                <w:kern w:val="0"/>
                <w:sz w:val="24"/>
                <w:szCs w:val="24"/>
                <w:lang w:val="en-US" w:eastAsia="zh-CN"/>
              </w:rPr>
              <w:t>中，岳阳市第四中学</w:t>
            </w:r>
            <w:r>
              <w:rPr>
                <w:rFonts w:hint="eastAsia" w:cs="Times New Roman"/>
                <w:color w:val="auto"/>
                <w:kern w:val="0"/>
                <w:sz w:val="24"/>
                <w:szCs w:val="24"/>
                <w:lang w:val="en-US" w:eastAsia="zh-CN"/>
              </w:rPr>
              <w:t>教学楼各楼层</w:t>
            </w:r>
            <w:r>
              <w:rPr>
                <w:rFonts w:hint="default" w:ascii="Times New Roman" w:hAnsi="Times New Roman" w:eastAsia="宋体" w:cs="Times New Roman"/>
                <w:color w:val="auto"/>
                <w:kern w:val="0"/>
                <w:sz w:val="24"/>
                <w:szCs w:val="24"/>
              </w:rPr>
              <w:t>声环境</w:t>
            </w:r>
            <w:r>
              <w:rPr>
                <w:rFonts w:hint="eastAsia" w:cs="Times New Roman"/>
                <w:color w:val="auto"/>
                <w:kern w:val="0"/>
                <w:sz w:val="24"/>
                <w:szCs w:val="24"/>
                <w:lang w:val="en-US" w:eastAsia="zh-CN"/>
              </w:rPr>
              <w:t>均</w:t>
            </w:r>
            <w:r>
              <w:rPr>
                <w:rFonts w:hint="default" w:ascii="Times New Roman" w:hAnsi="Times New Roman" w:eastAsia="宋体" w:cs="Times New Roman"/>
                <w:color w:val="auto"/>
                <w:kern w:val="0"/>
                <w:sz w:val="24"/>
                <w:szCs w:val="24"/>
              </w:rPr>
              <w:t>满足《工业企业厂界环境噪声排放标准（GB 12348-2008）</w:t>
            </w:r>
            <w:r>
              <w:rPr>
                <w:rFonts w:hint="default" w:ascii="Times New Roman" w:hAnsi="Times New Roman" w:cs="Times New Roman"/>
                <w:color w:val="auto"/>
                <w:kern w:val="0"/>
                <w:sz w:val="24"/>
                <w:szCs w:val="24"/>
                <w:lang w:val="en-US" w:eastAsia="zh-CN"/>
              </w:rPr>
              <w:t>1类</w:t>
            </w:r>
            <w:r>
              <w:rPr>
                <w:rFonts w:hint="default" w:ascii="Times New Roman" w:hAnsi="Times New Roman" w:eastAsia="宋体" w:cs="Times New Roman"/>
                <w:color w:val="auto"/>
                <w:kern w:val="0"/>
                <w:sz w:val="24"/>
                <w:szCs w:val="24"/>
              </w:rPr>
              <w:t>标准限值要求</w:t>
            </w:r>
            <w:r>
              <w:rPr>
                <w:rFonts w:hint="eastAsia" w:cs="Times New Roman"/>
                <w:color w:val="auto"/>
                <w:kern w:val="0"/>
                <w:sz w:val="24"/>
                <w:szCs w:val="24"/>
                <w:lang w:eastAsia="zh-CN"/>
              </w:rPr>
              <w:t>，华盛国际</w:t>
            </w:r>
            <w:r>
              <w:rPr>
                <w:rFonts w:hint="eastAsia" w:cs="Times New Roman"/>
                <w:color w:val="auto"/>
                <w:kern w:val="0"/>
                <w:sz w:val="24"/>
                <w:szCs w:val="24"/>
                <w:lang w:val="en-US" w:eastAsia="zh-CN"/>
              </w:rPr>
              <w:t>各楼层均满足</w:t>
            </w:r>
            <w:r>
              <w:rPr>
                <w:rFonts w:hint="default" w:ascii="Times New Roman" w:hAnsi="Times New Roman" w:eastAsia="宋体" w:cs="Times New Roman"/>
                <w:color w:val="auto"/>
                <w:kern w:val="0"/>
                <w:sz w:val="24"/>
                <w:szCs w:val="24"/>
              </w:rPr>
              <w:t>2类标准限值要求，声环境质量较好。</w:t>
            </w:r>
          </w:p>
          <w:p w14:paraId="296AE8C9">
            <w:pPr>
              <w:adjustRightInd w:val="0"/>
              <w:snapToGrid w:val="0"/>
              <w:spacing w:line="360" w:lineRule="auto"/>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4、生态环境质量现状</w:t>
            </w:r>
          </w:p>
          <w:p w14:paraId="1CE101B0">
            <w:pPr>
              <w:adjustRightInd w:val="0"/>
              <w:snapToGrid w:val="0"/>
              <w:spacing w:line="360" w:lineRule="auto"/>
              <w:ind w:firstLine="480" w:firstLineChars="200"/>
              <w:jc w:val="left"/>
              <w:rPr>
                <w:rFonts w:hint="eastAsia" w:ascii="Times New Roman" w:hAnsi="Times New Roman" w:cs="Times New Roman"/>
                <w:color w:val="auto"/>
                <w:kern w:val="0"/>
                <w:sz w:val="24"/>
                <w:szCs w:val="24"/>
                <w:lang w:eastAsia="zh-CN"/>
              </w:rPr>
            </w:pPr>
            <w:r>
              <w:rPr>
                <w:rFonts w:hint="default" w:ascii="Times New Roman" w:hAnsi="Times New Roman" w:eastAsia="宋体" w:cs="Times New Roman"/>
                <w:kern w:val="0"/>
                <w:sz w:val="24"/>
                <w:szCs w:val="24"/>
              </w:rPr>
              <w:t>根据《建设项目环境影响报告表编制技术指南（污染影响类）（试行）》中具体编制要求</w:t>
            </w:r>
            <w:r>
              <w:rPr>
                <w:rFonts w:hint="eastAsia" w:ascii="Times New Roman" w:hAnsi="Times New Roman" w:cs="Times New Roman"/>
                <w:kern w:val="0"/>
                <w:sz w:val="24"/>
                <w:szCs w:val="24"/>
                <w:lang w:eastAsia="zh-CN"/>
              </w:rPr>
              <w:t>：</w:t>
            </w:r>
            <w:r>
              <w:rPr>
                <w:rFonts w:hint="eastAsia" w:ascii="Times New Roman" w:hAnsi="Times New Roman" w:cs="Times New Roman"/>
                <w:color w:val="auto"/>
                <w:kern w:val="0"/>
                <w:sz w:val="24"/>
                <w:szCs w:val="24"/>
                <w:lang w:eastAsia="zh-CN"/>
              </w:rPr>
              <w:t>“</w:t>
            </w:r>
            <w:r>
              <w:rPr>
                <w:rFonts w:hint="eastAsia" w:ascii="Times New Roman" w:hAnsi="Times New Roman" w:cs="Times New Roman"/>
                <w:color w:val="auto"/>
                <w:kern w:val="0"/>
                <w:sz w:val="24"/>
                <w:szCs w:val="24"/>
                <w:lang w:val="en-US" w:eastAsia="zh-CN"/>
              </w:rPr>
              <w:t>4.生态环境。</w:t>
            </w:r>
            <w:r>
              <w:rPr>
                <w:rFonts w:hint="eastAsia" w:ascii="Times New Roman" w:hAnsi="Times New Roman" w:cs="Times New Roman"/>
                <w:color w:val="auto"/>
                <w:kern w:val="0"/>
                <w:sz w:val="24"/>
                <w:szCs w:val="24"/>
                <w:lang w:eastAsia="zh-CN"/>
              </w:rPr>
              <w:t>产业园区外建设项目新增用地且用地范围内含有生态环境保护目标时，应进行生态现状调查”。</w:t>
            </w:r>
          </w:p>
          <w:p w14:paraId="6E03EF8B">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本项目位于城市建成区内，为迁建项目，</w:t>
            </w:r>
            <w:r>
              <w:rPr>
                <w:rFonts w:hint="eastAsia" w:ascii="Times New Roman" w:hAnsi="Times New Roman" w:cs="Times New Roman"/>
                <w:color w:val="auto"/>
                <w:kern w:val="0"/>
                <w:sz w:val="24"/>
                <w:szCs w:val="24"/>
                <w:lang w:val="en-US" w:eastAsia="zh-CN"/>
              </w:rPr>
              <w:t>迁建前该地块为综合</w:t>
            </w:r>
            <w:r>
              <w:rPr>
                <w:rFonts w:hint="default" w:ascii="Times New Roman" w:hAnsi="Times New Roman" w:eastAsia="宋体" w:cs="Times New Roman"/>
                <w:color w:val="auto"/>
                <w:kern w:val="0"/>
                <w:sz w:val="24"/>
                <w:szCs w:val="24"/>
              </w:rPr>
              <w:t>医院，</w:t>
            </w:r>
            <w:r>
              <w:rPr>
                <w:rFonts w:hint="eastAsia" w:ascii="Times New Roman" w:hAnsi="Times New Roman" w:cs="Times New Roman"/>
                <w:color w:val="auto"/>
                <w:kern w:val="0"/>
                <w:sz w:val="24"/>
                <w:szCs w:val="24"/>
                <w:lang w:val="en-US" w:eastAsia="zh-CN"/>
              </w:rPr>
              <w:t>迁建后仍为综合</w:t>
            </w:r>
            <w:r>
              <w:rPr>
                <w:rFonts w:hint="default" w:ascii="Times New Roman" w:hAnsi="Times New Roman" w:eastAsia="宋体" w:cs="Times New Roman"/>
                <w:color w:val="auto"/>
                <w:kern w:val="0"/>
                <w:sz w:val="24"/>
                <w:szCs w:val="24"/>
              </w:rPr>
              <w:t>医院，不新增用地</w:t>
            </w:r>
            <w:r>
              <w:rPr>
                <w:rFonts w:hint="eastAsia" w:ascii="Times New Roman" w:hAnsi="Times New Roman" w:cs="Times New Roman"/>
                <w:color w:val="auto"/>
                <w:kern w:val="0"/>
                <w:sz w:val="24"/>
                <w:szCs w:val="24"/>
                <w:lang w:eastAsia="zh-CN"/>
              </w:rPr>
              <w:t>，</w:t>
            </w:r>
            <w:r>
              <w:rPr>
                <w:rFonts w:hint="default" w:ascii="Times New Roman" w:hAnsi="Times New Roman" w:eastAsia="宋体" w:cs="Times New Roman"/>
                <w:color w:val="auto"/>
                <w:kern w:val="0"/>
                <w:sz w:val="24"/>
                <w:szCs w:val="24"/>
              </w:rPr>
              <w:t>周边主要以居民、商业为主，树种为城市园林绿化，街道以观赏树木和花草为主，区域内野生动物主要为青蛙、壁虎及麻雀等。根据周边现场查勘，未发现存在风景名胜区、自然保护区、军事禁区和军事管理区，区域范围内无国家重点保护野生动物及栖息地，因此，本环评不对生态环境质量现状进行评价分析。</w:t>
            </w:r>
          </w:p>
          <w:p w14:paraId="011F707B">
            <w:pPr>
              <w:adjustRightInd w:val="0"/>
              <w:snapToGrid w:val="0"/>
              <w:spacing w:line="360" w:lineRule="auto"/>
              <w:jc w:val="left"/>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5、电磁辐射</w:t>
            </w:r>
          </w:p>
          <w:p w14:paraId="156CA20B">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本项目为综合医院建设，不属于也不涉及广播电台、差转台、电视塔台、卫星地球上行站、雷达等电磁辐射类项目；因此，本环评不对电磁辐射现状进行评价分析。</w:t>
            </w:r>
          </w:p>
          <w:p w14:paraId="3DED1D25">
            <w:pPr>
              <w:adjustRightInd w:val="0"/>
              <w:snapToGrid w:val="0"/>
              <w:spacing w:line="360" w:lineRule="auto"/>
              <w:jc w:val="left"/>
              <w:rPr>
                <w:rFonts w:hint="default" w:ascii="Times New Roman" w:hAnsi="Times New Roman" w:eastAsia="宋体" w:cs="Times New Roman"/>
                <w:b/>
                <w:bCs/>
                <w:color w:val="auto"/>
                <w:kern w:val="0"/>
                <w:sz w:val="24"/>
                <w:szCs w:val="24"/>
              </w:rPr>
            </w:pPr>
            <w:r>
              <w:rPr>
                <w:rFonts w:hint="default" w:ascii="Times New Roman" w:hAnsi="Times New Roman" w:eastAsia="宋体" w:cs="Times New Roman"/>
                <w:b/>
                <w:bCs/>
                <w:color w:val="auto"/>
                <w:kern w:val="0"/>
                <w:sz w:val="24"/>
                <w:szCs w:val="24"/>
              </w:rPr>
              <w:t>6、地下水、土壤环境质量现状</w:t>
            </w:r>
          </w:p>
          <w:p w14:paraId="52534BC4">
            <w:pPr>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根据《建设项目环境影响报告表编制技术指南（污染影响类）（试行）》“区域环境质量现状”中的地下水、土壤环境环境质量现状调查要求“原则上不开展环境质量现状调查。建设项目存在土壤、地下水环境污染途径的，应结合污染源、保护目标分布情况开展现状调查以留作背景值。</w:t>
            </w:r>
          </w:p>
          <w:p w14:paraId="3B1E4C5A">
            <w:pPr>
              <w:adjustRightInd w:val="0"/>
              <w:snapToGrid w:val="0"/>
              <w:spacing w:line="360" w:lineRule="auto"/>
              <w:ind w:firstLine="480" w:firstLineChars="200"/>
              <w:jc w:val="left"/>
              <w:rPr>
                <w:rFonts w:hint="default" w:ascii="Times New Roman" w:hAnsi="Times New Roman" w:eastAsia="宋体" w:cs="Times New Roman"/>
                <w:kern w:val="0"/>
                <w:sz w:val="21"/>
                <w:szCs w:val="21"/>
              </w:rPr>
            </w:pPr>
            <w:r>
              <w:rPr>
                <w:rFonts w:hint="default" w:ascii="Times New Roman" w:hAnsi="Times New Roman" w:eastAsia="宋体" w:cs="Times New Roman"/>
                <w:color w:val="auto"/>
                <w:kern w:val="0"/>
                <w:sz w:val="24"/>
                <w:szCs w:val="24"/>
              </w:rPr>
              <w:t>根据现场调查，项目所在地已建医院大楼各楼层地面已进行硬化处理，已建医疗废物暂存间地面已做防腐防渗处理，不直接接触土壤及地下水，在采取上述措施后项目不存在地下水、土壤环境污染物途径，无需进行地下水、土壤环境质量现状调查。</w:t>
            </w:r>
          </w:p>
        </w:tc>
      </w:tr>
      <w:tr w14:paraId="363CC6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39" w:hRule="atLeast"/>
          <w:jc w:val="center"/>
        </w:trPr>
        <w:tc>
          <w:tcPr>
            <w:tcW w:w="800" w:type="dxa"/>
            <w:vAlign w:val="center"/>
          </w:tcPr>
          <w:p w14:paraId="02FB10A8">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环境</w:t>
            </w:r>
          </w:p>
          <w:p w14:paraId="354C0EDF">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保护</w:t>
            </w:r>
          </w:p>
          <w:p w14:paraId="5A4989BF">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目标</w:t>
            </w:r>
          </w:p>
        </w:tc>
        <w:tc>
          <w:tcPr>
            <w:tcW w:w="8190" w:type="dxa"/>
            <w:vAlign w:val="center"/>
          </w:tcPr>
          <w:p w14:paraId="3478E815">
            <w:pPr>
              <w:adjustRightInd w:val="0"/>
              <w:snapToGrid w:val="0"/>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根据现场勘察结果，本项目厂界外500m范围主要环境空气保护目标为居民区等。本项目厂界外50m范围内主要声环境保护目标为居民区</w:t>
            </w:r>
            <w:r>
              <w:rPr>
                <w:rFonts w:hint="default" w:ascii="Times New Roman" w:hAnsi="Times New Roman" w:cs="Times New Roman"/>
                <w:kern w:val="0"/>
                <w:sz w:val="24"/>
                <w:szCs w:val="24"/>
                <w:lang w:eastAsia="zh-CN"/>
              </w:rPr>
              <w:t>、</w:t>
            </w:r>
            <w:r>
              <w:rPr>
                <w:rFonts w:hint="default" w:ascii="Times New Roman" w:hAnsi="Times New Roman" w:cs="Times New Roman"/>
                <w:kern w:val="0"/>
                <w:sz w:val="24"/>
                <w:szCs w:val="24"/>
                <w:lang w:val="en-US" w:eastAsia="zh-CN"/>
              </w:rPr>
              <w:t>学校</w:t>
            </w:r>
            <w:r>
              <w:rPr>
                <w:rFonts w:hint="default" w:ascii="Times New Roman" w:hAnsi="Times New Roman" w:eastAsia="宋体" w:cs="Times New Roman"/>
                <w:kern w:val="0"/>
                <w:sz w:val="24"/>
                <w:szCs w:val="24"/>
              </w:rPr>
              <w:t>，500m 范围内无地下水集中式饮用水水源和热水、矿泉水、温泉等特殊地下水资源。环保目标如下表所示，其分布示意图见附图3。</w:t>
            </w:r>
          </w:p>
          <w:p w14:paraId="2C5B812E">
            <w:pPr>
              <w:adjustRightInd w:val="0"/>
              <w:snapToGrid w:val="0"/>
              <w:spacing w:line="360" w:lineRule="auto"/>
              <w:jc w:val="center"/>
              <w:rPr>
                <w:rFonts w:hint="default" w:ascii="Times New Roman" w:hAnsi="Times New Roman" w:eastAsia="宋体" w:cs="Times New Roman"/>
                <w:b/>
                <w:bCs/>
                <w:kern w:val="0"/>
                <w:sz w:val="21"/>
                <w:szCs w:val="21"/>
                <w:lang w:val="en-US" w:eastAsia="zh-CN"/>
              </w:rPr>
            </w:pPr>
            <w:r>
              <w:rPr>
                <w:rFonts w:hint="eastAsia" w:ascii="Times New Roman" w:hAnsi="Times New Roman" w:cs="Times New Roman"/>
                <w:b/>
                <w:bCs/>
                <w:kern w:val="0"/>
                <w:sz w:val="21"/>
                <w:szCs w:val="21"/>
                <w:lang w:val="en-US" w:eastAsia="zh-CN"/>
              </w:rPr>
              <w:t>表3-6 项目环境空气保护目标</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7"/>
              <w:gridCol w:w="1250"/>
              <w:gridCol w:w="1167"/>
              <w:gridCol w:w="700"/>
              <w:gridCol w:w="1133"/>
              <w:gridCol w:w="650"/>
              <w:gridCol w:w="667"/>
              <w:gridCol w:w="950"/>
            </w:tblGrid>
            <w:tr w14:paraId="1E30C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Merge w:val="restart"/>
                  <w:vAlign w:val="center"/>
                </w:tcPr>
                <w:p w14:paraId="5E148E2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color w:val="000000" w:themeColor="text1"/>
                      <w:lang w:val="en-US" w:eastAsia="zh-CN"/>
                    </w:rPr>
                  </w:pPr>
                  <w:r>
                    <w:rPr>
                      <w:rFonts w:hint="eastAsia" w:cs="Times New Roman"/>
                      <w:b/>
                      <w:bCs/>
                      <w:color w:val="000000" w:themeColor="text1"/>
                      <w:lang w:val="en-US" w:eastAsia="zh-CN"/>
                    </w:rPr>
                    <w:t>名称</w:t>
                  </w:r>
                </w:p>
              </w:tc>
              <w:tc>
                <w:tcPr>
                  <w:tcW w:w="2417" w:type="dxa"/>
                  <w:gridSpan w:val="2"/>
                  <w:vAlign w:val="center"/>
                </w:tcPr>
                <w:p w14:paraId="175278B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color w:val="000000" w:themeColor="text1"/>
                      <w:lang w:val="en-US" w:eastAsia="zh-CN"/>
                    </w:rPr>
                  </w:pPr>
                  <w:r>
                    <w:rPr>
                      <w:rFonts w:hint="eastAsia" w:cs="Times New Roman"/>
                      <w:b/>
                      <w:bCs/>
                      <w:color w:val="000000" w:themeColor="text1"/>
                      <w:lang w:val="en-US" w:eastAsia="zh-CN"/>
                    </w:rPr>
                    <w:t>坐标</w:t>
                  </w:r>
                </w:p>
              </w:tc>
              <w:tc>
                <w:tcPr>
                  <w:tcW w:w="700" w:type="dxa"/>
                  <w:vMerge w:val="restart"/>
                  <w:vAlign w:val="center"/>
                </w:tcPr>
                <w:p w14:paraId="463FF4E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lang w:val="en-US" w:eastAsia="zh-CN"/>
                    </w:rPr>
                  </w:pPr>
                  <w:r>
                    <w:rPr>
                      <w:rFonts w:hint="eastAsia" w:ascii="Times New Roman" w:hAnsi="Times New Roman" w:eastAsia="宋体" w:cs="Times New Roman"/>
                      <w:b/>
                      <w:bCs/>
                      <w:color w:val="000000" w:themeColor="text1"/>
                      <w:lang w:val="en-US" w:eastAsia="zh-CN"/>
                    </w:rPr>
                    <w:t>保护对象</w:t>
                  </w:r>
                </w:p>
              </w:tc>
              <w:tc>
                <w:tcPr>
                  <w:tcW w:w="1133" w:type="dxa"/>
                  <w:vMerge w:val="restart"/>
                  <w:vAlign w:val="center"/>
                </w:tcPr>
                <w:p w14:paraId="3C19E41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lang w:val="en-US" w:eastAsia="zh-CN"/>
                    </w:rPr>
                  </w:pPr>
                  <w:r>
                    <w:rPr>
                      <w:rFonts w:hint="eastAsia" w:ascii="Times New Roman" w:hAnsi="Times New Roman" w:eastAsia="宋体" w:cs="Times New Roman"/>
                      <w:b/>
                      <w:bCs/>
                      <w:color w:val="000000" w:themeColor="text1"/>
                      <w:lang w:val="en-US" w:eastAsia="zh-CN"/>
                    </w:rPr>
                    <w:t>保护内容</w:t>
                  </w:r>
                </w:p>
              </w:tc>
              <w:tc>
                <w:tcPr>
                  <w:tcW w:w="650" w:type="dxa"/>
                  <w:vMerge w:val="restart"/>
                  <w:vAlign w:val="center"/>
                </w:tcPr>
                <w:p w14:paraId="72C0443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lang w:val="en-US" w:eastAsia="zh-CN"/>
                    </w:rPr>
                  </w:pPr>
                  <w:r>
                    <w:rPr>
                      <w:rFonts w:hint="eastAsia" w:ascii="Times New Roman" w:hAnsi="Times New Roman" w:eastAsia="宋体" w:cs="Times New Roman"/>
                      <w:b/>
                      <w:bCs/>
                      <w:color w:val="000000" w:themeColor="text1"/>
                      <w:lang w:val="en-US" w:eastAsia="zh-CN"/>
                    </w:rPr>
                    <w:t>环境功能区</w:t>
                  </w:r>
                </w:p>
              </w:tc>
              <w:tc>
                <w:tcPr>
                  <w:tcW w:w="667" w:type="dxa"/>
                  <w:vMerge w:val="restart"/>
                  <w:vAlign w:val="center"/>
                </w:tcPr>
                <w:p w14:paraId="6A8E928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lang w:val="en-US" w:eastAsia="zh-CN"/>
                    </w:rPr>
                  </w:pPr>
                  <w:r>
                    <w:rPr>
                      <w:rFonts w:hint="default" w:ascii="Times New Roman" w:hAnsi="Times New Roman" w:eastAsia="宋体" w:cs="Times New Roman"/>
                      <w:b/>
                      <w:bCs/>
                      <w:color w:val="000000" w:themeColor="text1"/>
                      <w:lang w:val="en-US" w:eastAsia="zh-CN"/>
                    </w:rPr>
                    <w:t>相对厂址方位</w:t>
                  </w:r>
                </w:p>
              </w:tc>
              <w:tc>
                <w:tcPr>
                  <w:tcW w:w="950" w:type="dxa"/>
                  <w:vMerge w:val="restart"/>
                  <w:vAlign w:val="center"/>
                </w:tcPr>
                <w:p w14:paraId="015C830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lang w:val="en-US" w:eastAsia="zh-CN"/>
                    </w:rPr>
                  </w:pPr>
                  <w:r>
                    <w:rPr>
                      <w:rFonts w:hint="default" w:ascii="Times New Roman" w:hAnsi="Times New Roman" w:eastAsia="宋体" w:cs="Times New Roman"/>
                      <w:b/>
                      <w:bCs/>
                      <w:color w:val="000000" w:themeColor="text1"/>
                      <w:lang w:val="en-US" w:eastAsia="zh-CN"/>
                    </w:rPr>
                    <w:t>相对项目距离</w:t>
                  </w:r>
                </w:p>
              </w:tc>
            </w:tr>
            <w:tr w14:paraId="24309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Merge w:val="continue"/>
                  <w:vAlign w:val="center"/>
                </w:tcPr>
                <w:p w14:paraId="63BEB95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1250" w:type="dxa"/>
                  <w:vAlign w:val="center"/>
                </w:tcPr>
                <w:p w14:paraId="4BE9176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color w:val="000000" w:themeColor="text1"/>
                      <w:lang w:val="en-US" w:eastAsia="zh-CN"/>
                    </w:rPr>
                  </w:pPr>
                  <w:r>
                    <w:rPr>
                      <w:rFonts w:hint="eastAsia" w:cs="Times New Roman"/>
                      <w:b/>
                      <w:bCs/>
                      <w:color w:val="000000" w:themeColor="text1"/>
                      <w:lang w:val="en-US" w:eastAsia="zh-CN"/>
                    </w:rPr>
                    <w:t>东经</w:t>
                  </w:r>
                </w:p>
              </w:tc>
              <w:tc>
                <w:tcPr>
                  <w:tcW w:w="1167" w:type="dxa"/>
                  <w:vAlign w:val="center"/>
                </w:tcPr>
                <w:p w14:paraId="3A9223E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b/>
                      <w:bCs/>
                      <w:color w:val="000000" w:themeColor="text1"/>
                      <w:lang w:val="en-US" w:eastAsia="zh-CN"/>
                    </w:rPr>
                  </w:pPr>
                  <w:r>
                    <w:rPr>
                      <w:rFonts w:hint="eastAsia" w:cs="Times New Roman"/>
                      <w:b/>
                      <w:bCs/>
                      <w:color w:val="000000" w:themeColor="text1"/>
                      <w:lang w:val="en-US" w:eastAsia="zh-CN"/>
                    </w:rPr>
                    <w:t>北纬</w:t>
                  </w:r>
                </w:p>
              </w:tc>
              <w:tc>
                <w:tcPr>
                  <w:tcW w:w="700" w:type="dxa"/>
                  <w:vMerge w:val="continue"/>
                  <w:vAlign w:val="center"/>
                </w:tcPr>
                <w:p w14:paraId="624C68A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1133" w:type="dxa"/>
                  <w:vMerge w:val="continue"/>
                  <w:vAlign w:val="center"/>
                </w:tcPr>
                <w:p w14:paraId="256E7FE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50" w:type="dxa"/>
                  <w:vMerge w:val="continue"/>
                  <w:vAlign w:val="center"/>
                </w:tcPr>
                <w:p w14:paraId="39AC682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Merge w:val="continue"/>
                  <w:vAlign w:val="center"/>
                </w:tcPr>
                <w:p w14:paraId="7F680EF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950" w:type="dxa"/>
                  <w:vMerge w:val="continue"/>
                  <w:vAlign w:val="center"/>
                </w:tcPr>
                <w:p w14:paraId="7B485A1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r>
            <w:tr w14:paraId="69D0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320E1F2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岳阳市四中</w:t>
                  </w:r>
                </w:p>
              </w:tc>
              <w:tc>
                <w:tcPr>
                  <w:tcW w:w="1250" w:type="dxa"/>
                  <w:vAlign w:val="center"/>
                </w:tcPr>
                <w:p w14:paraId="7038C45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113.116728</w:t>
                  </w:r>
                </w:p>
              </w:tc>
              <w:tc>
                <w:tcPr>
                  <w:tcW w:w="1167" w:type="dxa"/>
                  <w:vAlign w:val="center"/>
                </w:tcPr>
                <w:p w14:paraId="0D73631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29.364991</w:t>
                  </w:r>
                </w:p>
              </w:tc>
              <w:tc>
                <w:tcPr>
                  <w:tcW w:w="700" w:type="dxa"/>
                  <w:vAlign w:val="center"/>
                </w:tcPr>
                <w:p w14:paraId="247086A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学校</w:t>
                  </w:r>
                </w:p>
              </w:tc>
              <w:tc>
                <w:tcPr>
                  <w:tcW w:w="1133" w:type="dxa"/>
                  <w:vAlign w:val="center"/>
                </w:tcPr>
                <w:p w14:paraId="2E2A8E8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3000人</w:t>
                  </w:r>
                </w:p>
              </w:tc>
              <w:tc>
                <w:tcPr>
                  <w:tcW w:w="650" w:type="dxa"/>
                  <w:vMerge w:val="restart"/>
                  <w:vAlign w:val="center"/>
                </w:tcPr>
                <w:p w14:paraId="354D5A6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二类环境空气功能区</w:t>
                  </w:r>
                </w:p>
              </w:tc>
              <w:tc>
                <w:tcPr>
                  <w:tcW w:w="667" w:type="dxa"/>
                  <w:vAlign w:val="center"/>
                </w:tcPr>
                <w:p w14:paraId="495EAD5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NW</w:t>
                  </w:r>
                </w:p>
              </w:tc>
              <w:tc>
                <w:tcPr>
                  <w:tcW w:w="950" w:type="dxa"/>
                  <w:vAlign w:val="center"/>
                </w:tcPr>
                <w:p w14:paraId="1CB107A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20</w:t>
                  </w:r>
                  <w:r>
                    <w:rPr>
                      <w:rFonts w:hint="eastAsia" w:cs="Times New Roman"/>
                      <w:color w:val="000000" w:themeColor="text1"/>
                      <w:lang w:val="en-US" w:eastAsia="zh-CN"/>
                    </w:rPr>
                    <w:t>-400</w:t>
                  </w:r>
                </w:p>
              </w:tc>
            </w:tr>
            <w:tr w14:paraId="508B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73CCD55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国贸大酒店</w:t>
                  </w:r>
                </w:p>
              </w:tc>
              <w:tc>
                <w:tcPr>
                  <w:tcW w:w="1250" w:type="dxa"/>
                  <w:vAlign w:val="center"/>
                </w:tcPr>
                <w:p w14:paraId="445DFE0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113.118573</w:t>
                  </w:r>
                </w:p>
              </w:tc>
              <w:tc>
                <w:tcPr>
                  <w:tcW w:w="1167" w:type="dxa"/>
                  <w:vAlign w:val="center"/>
                </w:tcPr>
                <w:p w14:paraId="774A05F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29.365883</w:t>
                  </w:r>
                </w:p>
              </w:tc>
              <w:tc>
                <w:tcPr>
                  <w:tcW w:w="700" w:type="dxa"/>
                  <w:vAlign w:val="center"/>
                </w:tcPr>
                <w:p w14:paraId="4F70807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居住</w:t>
                  </w:r>
                </w:p>
              </w:tc>
              <w:tc>
                <w:tcPr>
                  <w:tcW w:w="1133" w:type="dxa"/>
                  <w:vAlign w:val="center"/>
                </w:tcPr>
                <w:p w14:paraId="6247DD2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100人</w:t>
                  </w:r>
                </w:p>
              </w:tc>
              <w:tc>
                <w:tcPr>
                  <w:tcW w:w="650" w:type="dxa"/>
                  <w:vMerge w:val="continue"/>
                  <w:vAlign w:val="center"/>
                </w:tcPr>
                <w:p w14:paraId="71A0043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5B762FB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N</w:t>
                  </w:r>
                </w:p>
              </w:tc>
              <w:tc>
                <w:tcPr>
                  <w:tcW w:w="950" w:type="dxa"/>
                  <w:vAlign w:val="center"/>
                </w:tcPr>
                <w:p w14:paraId="0EC41BF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100</w:t>
                  </w:r>
                  <w:r>
                    <w:rPr>
                      <w:rFonts w:hint="eastAsia" w:cs="Times New Roman"/>
                      <w:color w:val="000000" w:themeColor="text1"/>
                      <w:lang w:val="en-US" w:eastAsia="zh-CN"/>
                    </w:rPr>
                    <w:t>-180</w:t>
                  </w:r>
                </w:p>
              </w:tc>
            </w:tr>
            <w:tr w14:paraId="3224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26F714F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国贸小区</w:t>
                  </w:r>
                </w:p>
              </w:tc>
              <w:tc>
                <w:tcPr>
                  <w:tcW w:w="1250" w:type="dxa"/>
                  <w:vAlign w:val="center"/>
                </w:tcPr>
                <w:p w14:paraId="3C668ED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113.117441</w:t>
                  </w:r>
                </w:p>
              </w:tc>
              <w:tc>
                <w:tcPr>
                  <w:tcW w:w="1167" w:type="dxa"/>
                  <w:vAlign w:val="center"/>
                </w:tcPr>
                <w:p w14:paraId="5D469C6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29.366230</w:t>
                  </w:r>
                </w:p>
              </w:tc>
              <w:tc>
                <w:tcPr>
                  <w:tcW w:w="700" w:type="dxa"/>
                  <w:vAlign w:val="center"/>
                </w:tcPr>
                <w:p w14:paraId="1112A2D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居民</w:t>
                  </w:r>
                </w:p>
              </w:tc>
              <w:tc>
                <w:tcPr>
                  <w:tcW w:w="1133" w:type="dxa"/>
                  <w:vAlign w:val="center"/>
                </w:tcPr>
                <w:p w14:paraId="7A19670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约1800人</w:t>
                  </w:r>
                </w:p>
              </w:tc>
              <w:tc>
                <w:tcPr>
                  <w:tcW w:w="650" w:type="dxa"/>
                  <w:vMerge w:val="continue"/>
                  <w:vAlign w:val="center"/>
                </w:tcPr>
                <w:p w14:paraId="5CA0AD4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39E022F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N</w:t>
                  </w:r>
                </w:p>
              </w:tc>
              <w:tc>
                <w:tcPr>
                  <w:tcW w:w="950" w:type="dxa"/>
                  <w:vAlign w:val="center"/>
                </w:tcPr>
                <w:p w14:paraId="2E264AF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110</w:t>
                  </w:r>
                  <w:r>
                    <w:rPr>
                      <w:rFonts w:hint="eastAsia" w:cs="Times New Roman"/>
                      <w:color w:val="000000" w:themeColor="text1"/>
                      <w:lang w:val="en-US" w:eastAsia="zh-CN"/>
                    </w:rPr>
                    <w:t>-500</w:t>
                  </w:r>
                </w:p>
              </w:tc>
            </w:tr>
            <w:tr w14:paraId="74163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1B537CC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岳阳楼区妇幼保健院</w:t>
                  </w:r>
                </w:p>
              </w:tc>
              <w:tc>
                <w:tcPr>
                  <w:tcW w:w="1250" w:type="dxa"/>
                  <w:vAlign w:val="center"/>
                </w:tcPr>
                <w:p w14:paraId="2758898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113.121629</w:t>
                  </w:r>
                </w:p>
              </w:tc>
              <w:tc>
                <w:tcPr>
                  <w:tcW w:w="1167" w:type="dxa"/>
                  <w:vAlign w:val="center"/>
                </w:tcPr>
                <w:p w14:paraId="5D58E5A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29.365437</w:t>
                  </w:r>
                </w:p>
              </w:tc>
              <w:tc>
                <w:tcPr>
                  <w:tcW w:w="700" w:type="dxa"/>
                  <w:vAlign w:val="center"/>
                </w:tcPr>
                <w:p w14:paraId="175D3D3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医院</w:t>
                  </w:r>
                </w:p>
              </w:tc>
              <w:tc>
                <w:tcPr>
                  <w:tcW w:w="1133" w:type="dxa"/>
                  <w:vAlign w:val="center"/>
                </w:tcPr>
                <w:p w14:paraId="4362589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约200人</w:t>
                  </w:r>
                </w:p>
              </w:tc>
              <w:tc>
                <w:tcPr>
                  <w:tcW w:w="650" w:type="dxa"/>
                  <w:vMerge w:val="continue"/>
                  <w:vAlign w:val="center"/>
                </w:tcPr>
                <w:p w14:paraId="6CE85B9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42D8820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NE</w:t>
                  </w:r>
                </w:p>
              </w:tc>
              <w:tc>
                <w:tcPr>
                  <w:tcW w:w="950" w:type="dxa"/>
                  <w:vAlign w:val="center"/>
                </w:tcPr>
                <w:p w14:paraId="281B6F9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277</w:t>
                  </w:r>
                  <w:r>
                    <w:rPr>
                      <w:rFonts w:hint="eastAsia" w:cs="Times New Roman"/>
                      <w:color w:val="000000" w:themeColor="text1"/>
                      <w:lang w:val="en-US" w:eastAsia="zh-CN"/>
                    </w:rPr>
                    <w:t>-440</w:t>
                  </w:r>
                </w:p>
              </w:tc>
            </w:tr>
            <w:tr w14:paraId="5DBF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15957F6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康辉小区</w:t>
                  </w:r>
                </w:p>
              </w:tc>
              <w:tc>
                <w:tcPr>
                  <w:tcW w:w="1250" w:type="dxa"/>
                  <w:vAlign w:val="center"/>
                </w:tcPr>
                <w:p w14:paraId="638CF92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113.115650</w:t>
                  </w:r>
                </w:p>
              </w:tc>
              <w:tc>
                <w:tcPr>
                  <w:tcW w:w="1167" w:type="dxa"/>
                  <w:vAlign w:val="center"/>
                </w:tcPr>
                <w:p w14:paraId="4C8281B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29.364603</w:t>
                  </w:r>
                </w:p>
              </w:tc>
              <w:tc>
                <w:tcPr>
                  <w:tcW w:w="700" w:type="dxa"/>
                  <w:vAlign w:val="center"/>
                </w:tcPr>
                <w:p w14:paraId="365447B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居民</w:t>
                  </w:r>
                </w:p>
              </w:tc>
              <w:tc>
                <w:tcPr>
                  <w:tcW w:w="1133" w:type="dxa"/>
                  <w:vAlign w:val="center"/>
                </w:tcPr>
                <w:p w14:paraId="5F548E0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约720人</w:t>
                  </w:r>
                </w:p>
              </w:tc>
              <w:tc>
                <w:tcPr>
                  <w:tcW w:w="650" w:type="dxa"/>
                  <w:vMerge w:val="continue"/>
                  <w:vAlign w:val="center"/>
                </w:tcPr>
                <w:p w14:paraId="3CBA3B9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1EE943A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W</w:t>
                  </w:r>
                </w:p>
              </w:tc>
              <w:tc>
                <w:tcPr>
                  <w:tcW w:w="950" w:type="dxa"/>
                  <w:vAlign w:val="center"/>
                </w:tcPr>
                <w:p w14:paraId="0B0D530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140</w:t>
                  </w:r>
                  <w:r>
                    <w:rPr>
                      <w:rFonts w:hint="eastAsia" w:cs="Times New Roman"/>
                      <w:color w:val="000000" w:themeColor="text1"/>
                      <w:lang w:val="en-US" w:eastAsia="zh-CN"/>
                    </w:rPr>
                    <w:t>-210</w:t>
                  </w:r>
                </w:p>
              </w:tc>
            </w:tr>
            <w:tr w14:paraId="3D6D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7D3EA7E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华盛国际</w:t>
                  </w:r>
                </w:p>
              </w:tc>
              <w:tc>
                <w:tcPr>
                  <w:tcW w:w="1250" w:type="dxa"/>
                  <w:vAlign w:val="center"/>
                </w:tcPr>
                <w:p w14:paraId="7C5B08E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113.118422</w:t>
                  </w:r>
                </w:p>
              </w:tc>
              <w:tc>
                <w:tcPr>
                  <w:tcW w:w="1167" w:type="dxa"/>
                  <w:vAlign w:val="center"/>
                </w:tcPr>
                <w:p w14:paraId="6C480D3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29.362828</w:t>
                  </w:r>
                </w:p>
              </w:tc>
              <w:tc>
                <w:tcPr>
                  <w:tcW w:w="700" w:type="dxa"/>
                  <w:vAlign w:val="center"/>
                </w:tcPr>
                <w:p w14:paraId="7A779AC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商业居住混杂</w:t>
                  </w:r>
                </w:p>
              </w:tc>
              <w:tc>
                <w:tcPr>
                  <w:tcW w:w="1133" w:type="dxa"/>
                  <w:vAlign w:val="center"/>
                </w:tcPr>
                <w:p w14:paraId="722477C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约120人</w:t>
                  </w:r>
                </w:p>
              </w:tc>
              <w:tc>
                <w:tcPr>
                  <w:tcW w:w="650" w:type="dxa"/>
                  <w:vMerge w:val="continue"/>
                  <w:vAlign w:val="center"/>
                </w:tcPr>
                <w:p w14:paraId="0B51C86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650B2BF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S</w:t>
                  </w:r>
                </w:p>
              </w:tc>
              <w:tc>
                <w:tcPr>
                  <w:tcW w:w="950" w:type="dxa"/>
                  <w:vAlign w:val="center"/>
                </w:tcPr>
                <w:p w14:paraId="2D0A3E3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25</w:t>
                  </w:r>
                  <w:r>
                    <w:rPr>
                      <w:rFonts w:hint="eastAsia" w:cs="Times New Roman"/>
                      <w:color w:val="000000" w:themeColor="text1"/>
                      <w:lang w:val="en-US" w:eastAsia="zh-CN"/>
                    </w:rPr>
                    <w:t>-90</w:t>
                  </w:r>
                </w:p>
              </w:tc>
            </w:tr>
            <w:tr w14:paraId="60EB5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1F077BC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高山巷居民点</w:t>
                  </w:r>
                </w:p>
              </w:tc>
              <w:tc>
                <w:tcPr>
                  <w:tcW w:w="1250" w:type="dxa"/>
                  <w:vAlign w:val="center"/>
                </w:tcPr>
                <w:p w14:paraId="1879AC9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113.117210</w:t>
                  </w:r>
                </w:p>
              </w:tc>
              <w:tc>
                <w:tcPr>
                  <w:tcW w:w="1167" w:type="dxa"/>
                  <w:vAlign w:val="center"/>
                </w:tcPr>
                <w:p w14:paraId="3A74776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29.362179</w:t>
                  </w:r>
                </w:p>
              </w:tc>
              <w:tc>
                <w:tcPr>
                  <w:tcW w:w="700" w:type="dxa"/>
                  <w:vAlign w:val="center"/>
                </w:tcPr>
                <w:p w14:paraId="5E45F86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居民</w:t>
                  </w:r>
                </w:p>
              </w:tc>
              <w:tc>
                <w:tcPr>
                  <w:tcW w:w="1133" w:type="dxa"/>
                  <w:vAlign w:val="center"/>
                </w:tcPr>
                <w:p w14:paraId="5E62C03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约240人</w:t>
                  </w:r>
                </w:p>
              </w:tc>
              <w:tc>
                <w:tcPr>
                  <w:tcW w:w="650" w:type="dxa"/>
                  <w:vMerge w:val="continue"/>
                  <w:vAlign w:val="center"/>
                </w:tcPr>
                <w:p w14:paraId="3ADBD89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649F805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S</w:t>
                  </w:r>
                </w:p>
              </w:tc>
              <w:tc>
                <w:tcPr>
                  <w:tcW w:w="950" w:type="dxa"/>
                  <w:vAlign w:val="center"/>
                </w:tcPr>
                <w:p w14:paraId="3524D07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30-90</w:t>
                  </w:r>
                </w:p>
              </w:tc>
            </w:tr>
            <w:tr w14:paraId="17E2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2D42318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金鹗花园</w:t>
                  </w:r>
                </w:p>
              </w:tc>
              <w:tc>
                <w:tcPr>
                  <w:tcW w:w="1250" w:type="dxa"/>
                  <w:vAlign w:val="center"/>
                </w:tcPr>
                <w:p w14:paraId="09CCE91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113.117940</w:t>
                  </w:r>
                </w:p>
              </w:tc>
              <w:tc>
                <w:tcPr>
                  <w:tcW w:w="1167" w:type="dxa"/>
                  <w:vAlign w:val="center"/>
                </w:tcPr>
                <w:p w14:paraId="33AD95B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29.361692</w:t>
                  </w:r>
                </w:p>
              </w:tc>
              <w:tc>
                <w:tcPr>
                  <w:tcW w:w="700" w:type="dxa"/>
                  <w:vAlign w:val="center"/>
                </w:tcPr>
                <w:p w14:paraId="37D77A2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居民</w:t>
                  </w:r>
                </w:p>
              </w:tc>
              <w:tc>
                <w:tcPr>
                  <w:tcW w:w="1133" w:type="dxa"/>
                  <w:vAlign w:val="center"/>
                </w:tcPr>
                <w:p w14:paraId="36F35DF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约750人</w:t>
                  </w:r>
                </w:p>
              </w:tc>
              <w:tc>
                <w:tcPr>
                  <w:tcW w:w="650" w:type="dxa"/>
                  <w:vMerge w:val="continue"/>
                  <w:vAlign w:val="center"/>
                </w:tcPr>
                <w:p w14:paraId="62C2E82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243330F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S</w:t>
                  </w:r>
                </w:p>
              </w:tc>
              <w:tc>
                <w:tcPr>
                  <w:tcW w:w="950" w:type="dxa"/>
                  <w:vAlign w:val="center"/>
                </w:tcPr>
                <w:p w14:paraId="61BE724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125</w:t>
                  </w:r>
                  <w:r>
                    <w:rPr>
                      <w:rFonts w:hint="eastAsia" w:cs="Times New Roman"/>
                      <w:color w:val="000000" w:themeColor="text1"/>
                      <w:lang w:val="en-US" w:eastAsia="zh-CN"/>
                    </w:rPr>
                    <w:t>-265</w:t>
                  </w:r>
                </w:p>
              </w:tc>
            </w:tr>
            <w:tr w14:paraId="45AA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2A4A558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岳阳楼区南湖小学</w:t>
                  </w:r>
                </w:p>
              </w:tc>
              <w:tc>
                <w:tcPr>
                  <w:tcW w:w="1250" w:type="dxa"/>
                  <w:vAlign w:val="center"/>
                </w:tcPr>
                <w:p w14:paraId="3CD6256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113.120631</w:t>
                  </w:r>
                </w:p>
              </w:tc>
              <w:tc>
                <w:tcPr>
                  <w:tcW w:w="1167" w:type="dxa"/>
                  <w:vAlign w:val="center"/>
                </w:tcPr>
                <w:p w14:paraId="0F53B4F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29.361742</w:t>
                  </w:r>
                </w:p>
              </w:tc>
              <w:tc>
                <w:tcPr>
                  <w:tcW w:w="700" w:type="dxa"/>
                  <w:vAlign w:val="center"/>
                </w:tcPr>
                <w:p w14:paraId="3CB682D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学校</w:t>
                  </w:r>
                </w:p>
              </w:tc>
              <w:tc>
                <w:tcPr>
                  <w:tcW w:w="1133" w:type="dxa"/>
                  <w:vAlign w:val="center"/>
                </w:tcPr>
                <w:p w14:paraId="4074DCA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2000人</w:t>
                  </w:r>
                </w:p>
              </w:tc>
              <w:tc>
                <w:tcPr>
                  <w:tcW w:w="650" w:type="dxa"/>
                  <w:vMerge w:val="continue"/>
                  <w:vAlign w:val="center"/>
                </w:tcPr>
                <w:p w14:paraId="6A4536B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7F2C078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SE</w:t>
                  </w:r>
                </w:p>
              </w:tc>
              <w:tc>
                <w:tcPr>
                  <w:tcW w:w="950" w:type="dxa"/>
                  <w:vAlign w:val="center"/>
                </w:tcPr>
                <w:p w14:paraId="286B425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220</w:t>
                  </w:r>
                  <w:r>
                    <w:rPr>
                      <w:rFonts w:hint="eastAsia" w:cs="Times New Roman"/>
                      <w:color w:val="000000" w:themeColor="text1"/>
                      <w:lang w:val="en-US" w:eastAsia="zh-CN"/>
                    </w:rPr>
                    <w:t>-400</w:t>
                  </w:r>
                </w:p>
              </w:tc>
            </w:tr>
            <w:tr w14:paraId="3C5D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00F7BD7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祥源城市之光</w:t>
                  </w:r>
                </w:p>
              </w:tc>
              <w:tc>
                <w:tcPr>
                  <w:tcW w:w="1250" w:type="dxa"/>
                  <w:vAlign w:val="center"/>
                </w:tcPr>
                <w:p w14:paraId="2F68321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113.121768</w:t>
                  </w:r>
                </w:p>
              </w:tc>
              <w:tc>
                <w:tcPr>
                  <w:tcW w:w="1167" w:type="dxa"/>
                  <w:vAlign w:val="center"/>
                </w:tcPr>
                <w:p w14:paraId="37C9EDC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29.363519</w:t>
                  </w:r>
                </w:p>
              </w:tc>
              <w:tc>
                <w:tcPr>
                  <w:tcW w:w="700" w:type="dxa"/>
                  <w:vAlign w:val="center"/>
                </w:tcPr>
                <w:p w14:paraId="59EC6D1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居民</w:t>
                  </w:r>
                </w:p>
              </w:tc>
              <w:tc>
                <w:tcPr>
                  <w:tcW w:w="1133" w:type="dxa"/>
                  <w:vAlign w:val="center"/>
                </w:tcPr>
                <w:p w14:paraId="1BB490F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约7560人</w:t>
                  </w:r>
                </w:p>
              </w:tc>
              <w:tc>
                <w:tcPr>
                  <w:tcW w:w="650" w:type="dxa"/>
                  <w:vMerge w:val="continue"/>
                  <w:vAlign w:val="center"/>
                </w:tcPr>
                <w:p w14:paraId="069826F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1C84038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E</w:t>
                  </w:r>
                </w:p>
              </w:tc>
              <w:tc>
                <w:tcPr>
                  <w:tcW w:w="950" w:type="dxa"/>
                  <w:vAlign w:val="center"/>
                </w:tcPr>
                <w:p w14:paraId="263D863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220-500</w:t>
                  </w:r>
                </w:p>
              </w:tc>
            </w:tr>
            <w:tr w14:paraId="0DD8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7" w:type="dxa"/>
                  <w:vAlign w:val="center"/>
                </w:tcPr>
                <w:p w14:paraId="16A163D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中房公司生活区</w:t>
                  </w:r>
                </w:p>
              </w:tc>
              <w:tc>
                <w:tcPr>
                  <w:tcW w:w="1250" w:type="dxa"/>
                  <w:vAlign w:val="center"/>
                </w:tcPr>
                <w:p w14:paraId="4B0812C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113.120986</w:t>
                  </w:r>
                </w:p>
              </w:tc>
              <w:tc>
                <w:tcPr>
                  <w:tcW w:w="1167" w:type="dxa"/>
                  <w:vAlign w:val="center"/>
                </w:tcPr>
                <w:p w14:paraId="06467D6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29.366737</w:t>
                  </w:r>
                </w:p>
              </w:tc>
              <w:tc>
                <w:tcPr>
                  <w:tcW w:w="700" w:type="dxa"/>
                  <w:vAlign w:val="center"/>
                </w:tcPr>
                <w:p w14:paraId="657A7EA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居民</w:t>
                  </w:r>
                </w:p>
              </w:tc>
              <w:tc>
                <w:tcPr>
                  <w:tcW w:w="1133" w:type="dxa"/>
                  <w:vAlign w:val="center"/>
                </w:tcPr>
                <w:p w14:paraId="58F97EA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eastAsia" w:cs="Times New Roman"/>
                      <w:color w:val="000000" w:themeColor="text1"/>
                      <w:lang w:val="en-US" w:eastAsia="zh-CN"/>
                    </w:rPr>
                    <w:t>约1500人</w:t>
                  </w:r>
                </w:p>
              </w:tc>
              <w:tc>
                <w:tcPr>
                  <w:tcW w:w="650" w:type="dxa"/>
                  <w:vMerge w:val="continue"/>
                  <w:vAlign w:val="center"/>
                </w:tcPr>
                <w:p w14:paraId="30C5043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p>
              </w:tc>
              <w:tc>
                <w:tcPr>
                  <w:tcW w:w="667" w:type="dxa"/>
                  <w:vAlign w:val="center"/>
                </w:tcPr>
                <w:p w14:paraId="2C6BB6E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NE</w:t>
                  </w:r>
                </w:p>
              </w:tc>
              <w:tc>
                <w:tcPr>
                  <w:tcW w:w="950" w:type="dxa"/>
                  <w:vAlign w:val="center"/>
                </w:tcPr>
                <w:p w14:paraId="7802CFC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lang w:val="en-US" w:eastAsia="zh-CN"/>
                    </w:rPr>
                  </w:pPr>
                  <w:r>
                    <w:rPr>
                      <w:rFonts w:hint="default" w:ascii="Times New Roman" w:hAnsi="Times New Roman" w:cs="Times New Roman"/>
                      <w:color w:val="000000" w:themeColor="text1"/>
                      <w:lang w:val="en-US" w:eastAsia="zh-CN"/>
                    </w:rPr>
                    <w:t>150</w:t>
                  </w:r>
                  <w:r>
                    <w:rPr>
                      <w:rFonts w:hint="eastAsia" w:cs="Times New Roman"/>
                      <w:color w:val="000000" w:themeColor="text1"/>
                      <w:lang w:val="en-US" w:eastAsia="zh-CN"/>
                    </w:rPr>
                    <w:t>-500</w:t>
                  </w:r>
                </w:p>
              </w:tc>
            </w:tr>
          </w:tbl>
          <w:p w14:paraId="7346A5A1">
            <w:pPr>
              <w:adjustRightInd w:val="0"/>
              <w:snapToGrid w:val="0"/>
              <w:spacing w:line="360" w:lineRule="auto"/>
              <w:jc w:val="center"/>
              <w:rPr>
                <w:rFonts w:hint="default" w:ascii="Times New Roman" w:hAnsi="Times New Roman" w:eastAsia="宋体" w:cs="Times New Roman"/>
                <w:b/>
                <w:bCs/>
                <w:kern w:val="0"/>
                <w:sz w:val="21"/>
                <w:szCs w:val="21"/>
              </w:rPr>
            </w:pPr>
            <w:r>
              <w:rPr>
                <w:rFonts w:hint="default" w:ascii="Times New Roman" w:hAnsi="Times New Roman" w:eastAsia="宋体" w:cs="Times New Roman"/>
                <w:b/>
                <w:bCs/>
                <w:kern w:val="0"/>
                <w:sz w:val="21"/>
                <w:szCs w:val="21"/>
              </w:rPr>
              <w:t>表3-</w:t>
            </w:r>
            <w:r>
              <w:rPr>
                <w:rFonts w:hint="eastAsia" w:ascii="Times New Roman" w:hAnsi="Times New Roman" w:cs="Times New Roman"/>
                <w:b/>
                <w:bCs/>
                <w:kern w:val="0"/>
                <w:sz w:val="21"/>
                <w:szCs w:val="21"/>
                <w:lang w:val="en-US" w:eastAsia="zh-CN"/>
              </w:rPr>
              <w:t>7</w:t>
            </w:r>
            <w:r>
              <w:rPr>
                <w:rFonts w:hint="default" w:ascii="Times New Roman" w:hAnsi="Times New Roman" w:eastAsia="宋体" w:cs="Times New Roman"/>
                <w:b/>
                <w:bCs/>
                <w:kern w:val="0"/>
                <w:sz w:val="21"/>
                <w:szCs w:val="21"/>
              </w:rPr>
              <w:t xml:space="preserve"> 建设项目周边敏感点一览表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1545"/>
              <w:gridCol w:w="690"/>
              <w:gridCol w:w="1095"/>
              <w:gridCol w:w="1020"/>
              <w:gridCol w:w="1245"/>
              <w:gridCol w:w="1670"/>
            </w:tblGrid>
            <w:tr w14:paraId="17DB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91" w:type="dxa"/>
                  <w:shd w:val="clear" w:color="auto" w:fill="auto"/>
                  <w:noWrap w:val="0"/>
                  <w:vAlign w:val="center"/>
                </w:tcPr>
                <w:p w14:paraId="6C588F8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rPr>
                  </w:pPr>
                  <w:r>
                    <w:rPr>
                      <w:rFonts w:hint="default" w:ascii="Times New Roman" w:hAnsi="Times New Roman" w:cs="Times New Roman"/>
                      <w:b/>
                      <w:bCs/>
                    </w:rPr>
                    <w:t>类别</w:t>
                  </w:r>
                </w:p>
              </w:tc>
              <w:tc>
                <w:tcPr>
                  <w:tcW w:w="1545" w:type="dxa"/>
                  <w:shd w:val="clear" w:color="auto" w:fill="auto"/>
                  <w:noWrap w:val="0"/>
                  <w:vAlign w:val="center"/>
                </w:tcPr>
                <w:p w14:paraId="1931FF5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rPr>
                  </w:pPr>
                  <w:r>
                    <w:rPr>
                      <w:rFonts w:hint="default" w:ascii="Times New Roman" w:hAnsi="Times New Roman" w:cs="Times New Roman"/>
                      <w:b/>
                      <w:bCs/>
                    </w:rPr>
                    <w:t>环境保护目标</w:t>
                  </w:r>
                </w:p>
              </w:tc>
              <w:tc>
                <w:tcPr>
                  <w:tcW w:w="690" w:type="dxa"/>
                  <w:shd w:val="clear" w:color="auto" w:fill="auto"/>
                  <w:noWrap w:val="0"/>
                  <w:vAlign w:val="center"/>
                </w:tcPr>
                <w:p w14:paraId="486B800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rPr>
                  </w:pPr>
                  <w:r>
                    <w:rPr>
                      <w:rFonts w:hint="default" w:ascii="Times New Roman" w:hAnsi="Times New Roman" w:cs="Times New Roman"/>
                      <w:b/>
                      <w:bCs/>
                    </w:rPr>
                    <w:t>相对位置</w:t>
                  </w:r>
                </w:p>
              </w:tc>
              <w:tc>
                <w:tcPr>
                  <w:tcW w:w="1095" w:type="dxa"/>
                  <w:shd w:val="clear" w:color="auto" w:fill="auto"/>
                  <w:noWrap w:val="0"/>
                  <w:vAlign w:val="center"/>
                </w:tcPr>
                <w:p w14:paraId="362CCBB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rPr>
                  </w:pPr>
                  <w:r>
                    <w:rPr>
                      <w:rFonts w:hint="default" w:ascii="Times New Roman" w:hAnsi="Times New Roman" w:cs="Times New Roman"/>
                      <w:b/>
                      <w:bCs/>
                    </w:rPr>
                    <w:t>相对最近距离（米）</w:t>
                  </w:r>
                </w:p>
              </w:tc>
              <w:tc>
                <w:tcPr>
                  <w:tcW w:w="1020" w:type="dxa"/>
                  <w:shd w:val="clear" w:color="auto" w:fill="auto"/>
                  <w:noWrap w:val="0"/>
                  <w:vAlign w:val="center"/>
                </w:tcPr>
                <w:p w14:paraId="35B07B3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rPr>
                  </w:pPr>
                  <w:r>
                    <w:rPr>
                      <w:rFonts w:hint="default" w:ascii="Times New Roman" w:hAnsi="Times New Roman" w:cs="Times New Roman"/>
                      <w:b/>
                      <w:bCs/>
                    </w:rPr>
                    <w:t>保护内容</w:t>
                  </w:r>
                </w:p>
              </w:tc>
              <w:tc>
                <w:tcPr>
                  <w:tcW w:w="1245" w:type="dxa"/>
                  <w:shd w:val="clear" w:color="auto" w:fill="auto"/>
                  <w:noWrap w:val="0"/>
                  <w:vAlign w:val="center"/>
                </w:tcPr>
                <w:p w14:paraId="72DEA95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rPr>
                  </w:pPr>
                  <w:r>
                    <w:rPr>
                      <w:rFonts w:hint="default" w:ascii="Times New Roman" w:hAnsi="Times New Roman" w:cs="Times New Roman"/>
                      <w:b/>
                      <w:bCs/>
                    </w:rPr>
                    <w:t>规模</w:t>
                  </w:r>
                </w:p>
              </w:tc>
              <w:tc>
                <w:tcPr>
                  <w:tcW w:w="1670" w:type="dxa"/>
                  <w:shd w:val="clear" w:color="auto" w:fill="auto"/>
                  <w:noWrap w:val="0"/>
                  <w:vAlign w:val="center"/>
                </w:tcPr>
                <w:p w14:paraId="5C1FDFF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rPr>
                  </w:pPr>
                  <w:r>
                    <w:rPr>
                      <w:rFonts w:hint="default" w:ascii="Times New Roman" w:hAnsi="Times New Roman" w:cs="Times New Roman"/>
                      <w:b/>
                      <w:bCs/>
                    </w:rPr>
                    <w:t>环境功能区</w:t>
                  </w:r>
                </w:p>
              </w:tc>
            </w:tr>
            <w:tr w14:paraId="2A5D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91" w:type="dxa"/>
                  <w:vMerge w:val="restart"/>
                  <w:shd w:val="clear" w:color="auto" w:fill="auto"/>
                  <w:noWrap w:val="0"/>
                  <w:vAlign w:val="center"/>
                </w:tcPr>
                <w:p w14:paraId="639D358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rPr>
                  </w:pPr>
                  <w:r>
                    <w:rPr>
                      <w:rFonts w:hint="default" w:ascii="Times New Roman" w:hAnsi="Times New Roman" w:cs="Times New Roman"/>
                      <w:color w:val="auto"/>
                    </w:rPr>
                    <w:t>声环境</w:t>
                  </w:r>
                </w:p>
              </w:tc>
              <w:tc>
                <w:tcPr>
                  <w:tcW w:w="1545" w:type="dxa"/>
                  <w:shd w:val="clear" w:color="auto" w:fill="auto"/>
                  <w:noWrap w:val="0"/>
                  <w:vAlign w:val="center"/>
                </w:tcPr>
                <w:p w14:paraId="788D733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岳阳市四中（南院）</w:t>
                  </w:r>
                </w:p>
              </w:tc>
              <w:tc>
                <w:tcPr>
                  <w:tcW w:w="690" w:type="dxa"/>
                  <w:shd w:val="clear" w:color="auto" w:fill="auto"/>
                  <w:noWrap w:val="0"/>
                  <w:vAlign w:val="center"/>
                </w:tcPr>
                <w:p w14:paraId="6D01BD2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NW</w:t>
                  </w:r>
                </w:p>
              </w:tc>
              <w:tc>
                <w:tcPr>
                  <w:tcW w:w="1095" w:type="dxa"/>
                  <w:shd w:val="clear" w:color="auto" w:fill="auto"/>
                  <w:noWrap w:val="0"/>
                  <w:vAlign w:val="center"/>
                </w:tcPr>
                <w:p w14:paraId="7270ED3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20</w:t>
                  </w:r>
                </w:p>
              </w:tc>
              <w:tc>
                <w:tcPr>
                  <w:tcW w:w="1020" w:type="dxa"/>
                  <w:shd w:val="clear" w:color="auto" w:fill="auto"/>
                  <w:noWrap w:val="0"/>
                  <w:vAlign w:val="center"/>
                </w:tcPr>
                <w:p w14:paraId="7222BCD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学校</w:t>
                  </w:r>
                </w:p>
              </w:tc>
              <w:tc>
                <w:tcPr>
                  <w:tcW w:w="1245" w:type="dxa"/>
                  <w:shd w:val="clear" w:color="auto" w:fill="auto"/>
                  <w:noWrap w:val="0"/>
                  <w:vAlign w:val="center"/>
                </w:tcPr>
                <w:p w14:paraId="6EFC603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约500人</w:t>
                  </w:r>
                </w:p>
              </w:tc>
              <w:tc>
                <w:tcPr>
                  <w:tcW w:w="1670" w:type="dxa"/>
                  <w:shd w:val="clear" w:color="auto" w:fill="auto"/>
                  <w:noWrap w:val="0"/>
                  <w:vAlign w:val="center"/>
                </w:tcPr>
                <w:p w14:paraId="15AABD8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lang w:val="en-US" w:eastAsia="zh-CN"/>
                    </w:rPr>
                  </w:pPr>
                  <w:r>
                    <w:rPr>
                      <w:rFonts w:hint="eastAsia" w:cs="Times New Roman"/>
                      <w:color w:val="auto"/>
                      <w:lang w:val="en-US" w:eastAsia="zh-CN"/>
                    </w:rPr>
                    <w:t>《声环境质量标准》</w:t>
                  </w:r>
                  <w:r>
                    <w:rPr>
                      <w:rFonts w:hint="default" w:ascii="Times New Roman" w:hAnsi="Times New Roman" w:cs="Times New Roman"/>
                      <w:color w:val="auto"/>
                      <w:lang w:val="en-US" w:eastAsia="zh-CN"/>
                    </w:rPr>
                    <w:t>1类区</w:t>
                  </w:r>
                </w:p>
              </w:tc>
            </w:tr>
            <w:tr w14:paraId="1F34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91" w:type="dxa"/>
                  <w:vMerge w:val="continue"/>
                  <w:shd w:val="clear" w:color="auto" w:fill="auto"/>
                  <w:noWrap w:val="0"/>
                  <w:vAlign w:val="center"/>
                </w:tcPr>
                <w:p w14:paraId="2C33723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rPr>
                  </w:pPr>
                </w:p>
              </w:tc>
              <w:tc>
                <w:tcPr>
                  <w:tcW w:w="1545" w:type="dxa"/>
                  <w:shd w:val="clear" w:color="auto" w:fill="auto"/>
                  <w:noWrap w:val="0"/>
                  <w:vAlign w:val="center"/>
                </w:tcPr>
                <w:p w14:paraId="77889AA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华盛国际</w:t>
                  </w:r>
                </w:p>
              </w:tc>
              <w:tc>
                <w:tcPr>
                  <w:tcW w:w="690" w:type="dxa"/>
                  <w:shd w:val="clear" w:color="auto" w:fill="auto"/>
                  <w:noWrap w:val="0"/>
                  <w:vAlign w:val="center"/>
                </w:tcPr>
                <w:p w14:paraId="33CAF5B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S</w:t>
                  </w:r>
                </w:p>
              </w:tc>
              <w:tc>
                <w:tcPr>
                  <w:tcW w:w="1095" w:type="dxa"/>
                  <w:shd w:val="clear" w:color="auto" w:fill="auto"/>
                  <w:noWrap w:val="0"/>
                  <w:vAlign w:val="center"/>
                </w:tcPr>
                <w:p w14:paraId="2E870C0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25</w:t>
                  </w:r>
                </w:p>
              </w:tc>
              <w:tc>
                <w:tcPr>
                  <w:tcW w:w="1020" w:type="dxa"/>
                  <w:shd w:val="clear" w:color="auto" w:fill="auto"/>
                  <w:noWrap w:val="0"/>
                  <w:vAlign w:val="center"/>
                </w:tcPr>
                <w:p w14:paraId="3B1B1C8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商业居住混杂</w:t>
                  </w:r>
                </w:p>
              </w:tc>
              <w:tc>
                <w:tcPr>
                  <w:tcW w:w="1245" w:type="dxa"/>
                  <w:shd w:val="clear" w:color="auto" w:fill="auto"/>
                  <w:noWrap w:val="0"/>
                  <w:vAlign w:val="center"/>
                </w:tcPr>
                <w:p w14:paraId="34D3CAE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约</w:t>
                  </w:r>
                  <w:r>
                    <w:rPr>
                      <w:rFonts w:hint="eastAsia" w:cs="Times New Roman"/>
                      <w:color w:val="auto"/>
                      <w:lang w:val="en-US" w:eastAsia="zh-CN"/>
                    </w:rPr>
                    <w:t>120人</w:t>
                  </w:r>
                </w:p>
              </w:tc>
              <w:tc>
                <w:tcPr>
                  <w:tcW w:w="1670" w:type="dxa"/>
                  <w:vMerge w:val="restart"/>
                  <w:shd w:val="clear" w:color="auto" w:fill="auto"/>
                  <w:noWrap w:val="0"/>
                  <w:vAlign w:val="center"/>
                </w:tcPr>
                <w:p w14:paraId="5389FE2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《声环境质量标准》</w:t>
                  </w:r>
                  <w:r>
                    <w:rPr>
                      <w:rFonts w:hint="default" w:ascii="Times New Roman" w:hAnsi="Times New Roman" w:cs="Times New Roman"/>
                      <w:color w:val="auto"/>
                      <w:lang w:val="en-US" w:eastAsia="zh-CN"/>
                    </w:rPr>
                    <w:t>2类区</w:t>
                  </w:r>
                </w:p>
              </w:tc>
            </w:tr>
            <w:tr w14:paraId="62630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91" w:type="dxa"/>
                  <w:vMerge w:val="continue"/>
                  <w:shd w:val="clear" w:color="auto" w:fill="auto"/>
                  <w:noWrap w:val="0"/>
                  <w:vAlign w:val="center"/>
                </w:tcPr>
                <w:p w14:paraId="4C7F639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rPr>
                  </w:pPr>
                </w:p>
              </w:tc>
              <w:tc>
                <w:tcPr>
                  <w:tcW w:w="1545" w:type="dxa"/>
                  <w:shd w:val="clear" w:color="auto" w:fill="auto"/>
                  <w:noWrap w:val="0"/>
                  <w:vAlign w:val="center"/>
                </w:tcPr>
                <w:p w14:paraId="1069DDE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高山巷居民点</w:t>
                  </w:r>
                </w:p>
              </w:tc>
              <w:tc>
                <w:tcPr>
                  <w:tcW w:w="690" w:type="dxa"/>
                  <w:shd w:val="clear" w:color="auto" w:fill="auto"/>
                  <w:noWrap w:val="0"/>
                  <w:vAlign w:val="center"/>
                </w:tcPr>
                <w:p w14:paraId="5E8A30D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S</w:t>
                  </w:r>
                </w:p>
              </w:tc>
              <w:tc>
                <w:tcPr>
                  <w:tcW w:w="1095" w:type="dxa"/>
                  <w:shd w:val="clear" w:color="auto" w:fill="auto"/>
                  <w:noWrap w:val="0"/>
                  <w:vAlign w:val="center"/>
                </w:tcPr>
                <w:p w14:paraId="72C8067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30</w:t>
                  </w:r>
                </w:p>
              </w:tc>
              <w:tc>
                <w:tcPr>
                  <w:tcW w:w="1020" w:type="dxa"/>
                  <w:shd w:val="clear" w:color="auto" w:fill="auto"/>
                  <w:noWrap w:val="0"/>
                  <w:vAlign w:val="center"/>
                </w:tcPr>
                <w:p w14:paraId="744257B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居民</w:t>
                  </w:r>
                </w:p>
              </w:tc>
              <w:tc>
                <w:tcPr>
                  <w:tcW w:w="1245" w:type="dxa"/>
                  <w:shd w:val="clear" w:color="auto" w:fill="auto"/>
                  <w:noWrap w:val="0"/>
                  <w:vAlign w:val="center"/>
                </w:tcPr>
                <w:p w14:paraId="31FF19E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约240人</w:t>
                  </w:r>
                </w:p>
              </w:tc>
              <w:tc>
                <w:tcPr>
                  <w:tcW w:w="1670" w:type="dxa"/>
                  <w:vMerge w:val="continue"/>
                  <w:shd w:val="clear" w:color="auto" w:fill="auto"/>
                  <w:noWrap w:val="0"/>
                  <w:vAlign w:val="center"/>
                </w:tcPr>
                <w:p w14:paraId="79B8252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p>
              </w:tc>
            </w:tr>
            <w:tr w14:paraId="57A0F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91" w:type="dxa"/>
                  <w:vMerge w:val="restart"/>
                  <w:shd w:val="clear" w:color="auto" w:fill="auto"/>
                  <w:noWrap w:val="0"/>
                  <w:vAlign w:val="center"/>
                </w:tcPr>
                <w:p w14:paraId="1C38FB5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地表水环境</w:t>
                  </w:r>
                </w:p>
              </w:tc>
              <w:tc>
                <w:tcPr>
                  <w:tcW w:w="1545" w:type="dxa"/>
                  <w:shd w:val="clear" w:color="auto" w:fill="auto"/>
                  <w:noWrap w:val="0"/>
                  <w:vAlign w:val="center"/>
                </w:tcPr>
                <w:p w14:paraId="2D293AE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长江</w:t>
                  </w:r>
                </w:p>
              </w:tc>
              <w:tc>
                <w:tcPr>
                  <w:tcW w:w="690" w:type="dxa"/>
                  <w:shd w:val="clear" w:color="auto" w:fill="auto"/>
                  <w:noWrap w:val="0"/>
                  <w:vAlign w:val="center"/>
                </w:tcPr>
                <w:p w14:paraId="0446551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N</w:t>
                  </w:r>
                </w:p>
              </w:tc>
              <w:tc>
                <w:tcPr>
                  <w:tcW w:w="1095" w:type="dxa"/>
                  <w:shd w:val="clear" w:color="auto" w:fill="auto"/>
                  <w:noWrap w:val="0"/>
                  <w:vAlign w:val="center"/>
                </w:tcPr>
                <w:p w14:paraId="70657F8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cs="Times New Roman"/>
                      <w:color w:val="auto"/>
                      <w:lang w:val="en-US" w:eastAsia="zh-CN"/>
                    </w:rPr>
                    <w:t>7330</w:t>
                  </w:r>
                </w:p>
              </w:tc>
              <w:tc>
                <w:tcPr>
                  <w:tcW w:w="1020" w:type="dxa"/>
                  <w:vMerge w:val="restart"/>
                  <w:shd w:val="clear" w:color="auto" w:fill="auto"/>
                  <w:noWrap w:val="0"/>
                  <w:vAlign w:val="center"/>
                </w:tcPr>
                <w:p w14:paraId="26CBD1F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渔业用水</w:t>
                  </w:r>
                </w:p>
              </w:tc>
              <w:tc>
                <w:tcPr>
                  <w:tcW w:w="1245" w:type="dxa"/>
                  <w:shd w:val="clear" w:color="auto" w:fill="auto"/>
                  <w:noWrap w:val="0"/>
                  <w:vAlign w:val="center"/>
                </w:tcPr>
                <w:p w14:paraId="08AE17B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大河</w:t>
                  </w:r>
                </w:p>
              </w:tc>
              <w:tc>
                <w:tcPr>
                  <w:tcW w:w="1670" w:type="dxa"/>
                  <w:vMerge w:val="restart"/>
                  <w:shd w:val="clear" w:color="auto" w:fill="auto"/>
                  <w:noWrap w:val="0"/>
                  <w:vAlign w:val="center"/>
                </w:tcPr>
                <w:p w14:paraId="5594734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《地表水环境质量标准》Ⅲ类标准</w:t>
                  </w:r>
                </w:p>
              </w:tc>
            </w:tr>
            <w:tr w14:paraId="3CDC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691" w:type="dxa"/>
                  <w:vMerge w:val="continue"/>
                  <w:shd w:val="clear" w:color="auto" w:fill="auto"/>
                  <w:noWrap w:val="0"/>
                  <w:vAlign w:val="center"/>
                </w:tcPr>
                <w:p w14:paraId="5B44F95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cs="Times New Roman"/>
                      <w:color w:val="auto"/>
                      <w:lang w:val="en-US" w:eastAsia="zh-CN"/>
                    </w:rPr>
                  </w:pPr>
                </w:p>
              </w:tc>
              <w:tc>
                <w:tcPr>
                  <w:tcW w:w="1545" w:type="dxa"/>
                  <w:shd w:val="clear" w:color="auto" w:fill="auto"/>
                  <w:noWrap w:val="0"/>
                  <w:vAlign w:val="center"/>
                </w:tcPr>
                <w:p w14:paraId="60646CE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东洞庭湖</w:t>
                  </w:r>
                </w:p>
              </w:tc>
              <w:tc>
                <w:tcPr>
                  <w:tcW w:w="690" w:type="dxa"/>
                  <w:shd w:val="clear" w:color="auto" w:fill="auto"/>
                  <w:noWrap w:val="0"/>
                  <w:vAlign w:val="center"/>
                </w:tcPr>
                <w:p w14:paraId="105DA81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W</w:t>
                  </w:r>
                </w:p>
              </w:tc>
              <w:tc>
                <w:tcPr>
                  <w:tcW w:w="1095" w:type="dxa"/>
                  <w:shd w:val="clear" w:color="auto" w:fill="auto"/>
                  <w:noWrap w:val="0"/>
                  <w:vAlign w:val="center"/>
                </w:tcPr>
                <w:p w14:paraId="34C04E5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2825</w:t>
                  </w:r>
                </w:p>
              </w:tc>
              <w:tc>
                <w:tcPr>
                  <w:tcW w:w="1020" w:type="dxa"/>
                  <w:vMerge w:val="continue"/>
                  <w:shd w:val="clear" w:color="auto" w:fill="auto"/>
                  <w:noWrap w:val="0"/>
                  <w:vAlign w:val="center"/>
                </w:tcPr>
                <w:p w14:paraId="689C489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eastAsia" w:ascii="Times New Roman" w:hAnsi="Times New Roman" w:cs="Times New Roman"/>
                      <w:color w:val="auto"/>
                      <w:lang w:val="en-US" w:eastAsia="zh-CN"/>
                    </w:rPr>
                  </w:pPr>
                </w:p>
              </w:tc>
              <w:tc>
                <w:tcPr>
                  <w:tcW w:w="1245" w:type="dxa"/>
                  <w:shd w:val="clear" w:color="auto" w:fill="auto"/>
                  <w:noWrap w:val="0"/>
                  <w:vAlign w:val="center"/>
                </w:tcPr>
                <w:p w14:paraId="281E911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w:t>
                  </w:r>
                </w:p>
              </w:tc>
              <w:tc>
                <w:tcPr>
                  <w:tcW w:w="1670" w:type="dxa"/>
                  <w:vMerge w:val="continue"/>
                  <w:shd w:val="clear" w:color="auto" w:fill="auto"/>
                  <w:noWrap w:val="0"/>
                  <w:vAlign w:val="center"/>
                </w:tcPr>
                <w:p w14:paraId="4B0C87F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lang w:val="en-US" w:eastAsia="zh-CN"/>
                    </w:rPr>
                  </w:pPr>
                </w:p>
              </w:tc>
            </w:tr>
            <w:tr w14:paraId="4F3F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91" w:type="dxa"/>
                  <w:shd w:val="clear" w:color="auto" w:fill="auto"/>
                  <w:noWrap w:val="0"/>
                  <w:vAlign w:val="center"/>
                </w:tcPr>
                <w:p w14:paraId="1872673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rPr>
                  </w:pPr>
                  <w:r>
                    <w:rPr>
                      <w:rFonts w:hint="default" w:ascii="Times New Roman" w:hAnsi="Times New Roman" w:cs="Times New Roman"/>
                    </w:rPr>
                    <w:t>地下水环境</w:t>
                  </w:r>
                </w:p>
              </w:tc>
              <w:tc>
                <w:tcPr>
                  <w:tcW w:w="7265" w:type="dxa"/>
                  <w:gridSpan w:val="6"/>
                  <w:shd w:val="clear" w:color="auto" w:fill="auto"/>
                  <w:noWrap w:val="0"/>
                  <w:vAlign w:val="center"/>
                </w:tcPr>
                <w:p w14:paraId="54E83D7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rPr>
                  </w:pPr>
                  <w:r>
                    <w:rPr>
                      <w:rFonts w:hint="default" w:ascii="Times New Roman" w:hAnsi="Times New Roman" w:cs="Times New Roman"/>
                    </w:rPr>
                    <w:t>本项目厂界外500m范围内无地下水集中式饮用水水源和热水、矿泉水、温泉等特殊地下水资源。</w:t>
                  </w:r>
                </w:p>
              </w:tc>
            </w:tr>
            <w:tr w14:paraId="1AF5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691" w:type="dxa"/>
                  <w:shd w:val="clear" w:color="auto" w:fill="auto"/>
                  <w:noWrap w:val="0"/>
                  <w:vAlign w:val="center"/>
                </w:tcPr>
                <w:p w14:paraId="2E62228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rPr>
                  </w:pPr>
                  <w:r>
                    <w:rPr>
                      <w:rFonts w:hint="default" w:ascii="Times New Roman" w:hAnsi="Times New Roman" w:cs="Times New Roman"/>
                    </w:rPr>
                    <w:t>生态环境</w:t>
                  </w:r>
                </w:p>
              </w:tc>
              <w:tc>
                <w:tcPr>
                  <w:tcW w:w="7265" w:type="dxa"/>
                  <w:gridSpan w:val="6"/>
                  <w:shd w:val="clear" w:color="auto" w:fill="auto"/>
                  <w:noWrap w:val="0"/>
                  <w:vAlign w:val="center"/>
                </w:tcPr>
                <w:p w14:paraId="67FDB37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rPr>
                  </w:pPr>
                  <w:r>
                    <w:rPr>
                      <w:rFonts w:hint="default" w:ascii="Times New Roman" w:hAnsi="Times New Roman" w:cs="Times New Roman"/>
                      <w:kern w:val="0"/>
                      <w:szCs w:val="21"/>
                    </w:rPr>
                    <w:t>本项目所在地为城市建成区，不新增用地，用地范围内不含生态环境保护目标。</w:t>
                  </w:r>
                </w:p>
              </w:tc>
            </w:tr>
          </w:tbl>
          <w:p w14:paraId="592A949E">
            <w:pPr>
              <w:adjustRightInd w:val="0"/>
              <w:snapToGrid w:val="0"/>
              <w:spacing w:line="360" w:lineRule="auto"/>
              <w:jc w:val="left"/>
              <w:rPr>
                <w:rFonts w:hint="default" w:ascii="Times New Roman" w:hAnsi="Times New Roman" w:eastAsia="宋体" w:cs="Times New Roman"/>
                <w:kern w:val="0"/>
                <w:sz w:val="21"/>
                <w:szCs w:val="21"/>
              </w:rPr>
            </w:pPr>
          </w:p>
        </w:tc>
      </w:tr>
      <w:tr w14:paraId="1DBE40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800" w:type="dxa"/>
            <w:tcMar>
              <w:left w:w="28" w:type="dxa"/>
              <w:right w:w="28" w:type="dxa"/>
            </w:tcMar>
            <w:vAlign w:val="center"/>
          </w:tcPr>
          <w:p w14:paraId="5C3A5206">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污染</w:t>
            </w:r>
          </w:p>
          <w:p w14:paraId="1A26F6F0">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物排</w:t>
            </w:r>
          </w:p>
          <w:p w14:paraId="0165805E">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放控</w:t>
            </w:r>
          </w:p>
          <w:p w14:paraId="20FD3B55">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制标</w:t>
            </w:r>
          </w:p>
          <w:p w14:paraId="6523A0EA">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准</w:t>
            </w:r>
          </w:p>
        </w:tc>
        <w:tc>
          <w:tcPr>
            <w:tcW w:w="8190" w:type="dxa"/>
            <w:vAlign w:val="center"/>
          </w:tcPr>
          <w:p w14:paraId="723412B9">
            <w:pPr>
              <w:numPr>
                <w:ilvl w:val="0"/>
                <w:numId w:val="6"/>
              </w:numPr>
              <w:adjustRightInd w:val="0"/>
              <w:snapToGrid w:val="0"/>
              <w:spacing w:line="360" w:lineRule="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大气污染物排放标准</w:t>
            </w:r>
          </w:p>
          <w:p w14:paraId="1F851429">
            <w:pPr>
              <w:adjustRightInd w:val="0"/>
              <w:snapToGrid w:val="0"/>
              <w:spacing w:line="360" w:lineRule="auto"/>
              <w:ind w:firstLine="480" w:firstLineChars="200"/>
              <w:rPr>
                <w:rFonts w:hint="default" w:ascii="Times New Roman" w:hAnsi="Times New Roman" w:eastAsia="宋体" w:cs="Times New Roman"/>
                <w:color w:val="000000" w:themeColor="text1"/>
                <w:kern w:val="0"/>
                <w:sz w:val="24"/>
                <w:szCs w:val="24"/>
                <w:lang w:eastAsia="zh-CN"/>
              </w:rPr>
            </w:pPr>
            <w:r>
              <w:rPr>
                <w:rFonts w:hint="default" w:ascii="Times New Roman" w:hAnsi="Times New Roman" w:eastAsia="宋体" w:cs="Times New Roman"/>
                <w:kern w:val="0"/>
                <w:sz w:val="24"/>
                <w:szCs w:val="24"/>
              </w:rPr>
              <w:t>项目污水</w:t>
            </w:r>
            <w:r>
              <w:rPr>
                <w:rFonts w:hint="default" w:ascii="Times New Roman" w:hAnsi="Times New Roman" w:eastAsia="宋体" w:cs="Times New Roman"/>
                <w:color w:val="000000" w:themeColor="text1"/>
                <w:kern w:val="0"/>
                <w:sz w:val="24"/>
                <w:szCs w:val="24"/>
              </w:rPr>
              <w:t>处理站产生的无组织</w:t>
            </w:r>
            <w:r>
              <w:rPr>
                <w:rFonts w:hint="eastAsia" w:cs="Times New Roman"/>
                <w:color w:val="000000" w:themeColor="text1"/>
                <w:kern w:val="0"/>
                <w:sz w:val="24"/>
                <w:szCs w:val="24"/>
                <w:lang w:val="en-US" w:eastAsia="zh-CN"/>
              </w:rPr>
              <w:t>臭气</w:t>
            </w:r>
            <w:r>
              <w:rPr>
                <w:rFonts w:hint="default" w:ascii="Times New Roman" w:hAnsi="Times New Roman" w:eastAsia="宋体" w:cs="Times New Roman"/>
                <w:color w:val="000000" w:themeColor="text1"/>
                <w:kern w:val="0"/>
                <w:sz w:val="24"/>
                <w:szCs w:val="24"/>
              </w:rPr>
              <w:t>执行《医疗机构水污染物排放标准》（GB18466-2005）表3污水处理站周边大气污染物最高允许浓度标准限值要求</w:t>
            </w:r>
            <w:r>
              <w:rPr>
                <w:rFonts w:hint="eastAsia" w:cs="Times New Roman"/>
                <w:color w:val="000000" w:themeColor="text1"/>
                <w:kern w:val="0"/>
                <w:sz w:val="24"/>
                <w:szCs w:val="24"/>
                <w:lang w:eastAsia="zh-CN"/>
              </w:rPr>
              <w:t>；</w:t>
            </w:r>
            <w:r>
              <w:rPr>
                <w:rFonts w:hint="eastAsia" w:cs="Times New Roman"/>
                <w:color w:val="000000" w:themeColor="text1"/>
                <w:kern w:val="0"/>
                <w:sz w:val="24"/>
                <w:szCs w:val="24"/>
                <w:lang w:val="en-US" w:eastAsia="zh-CN"/>
              </w:rPr>
              <w:t>有组织和无组织排放的</w:t>
            </w:r>
            <w:r>
              <w:rPr>
                <w:rFonts w:hint="eastAsia" w:ascii="Times New Roman" w:hAnsi="Times New Roman" w:cs="Times New Roman"/>
                <w:color w:val="000000" w:themeColor="text1"/>
                <w:kern w:val="0"/>
                <w:sz w:val="24"/>
                <w:szCs w:val="24"/>
                <w:lang w:val="en-US" w:eastAsia="zh-CN"/>
              </w:rPr>
              <w:t>恶臭</w:t>
            </w:r>
            <w:r>
              <w:rPr>
                <w:rFonts w:hint="eastAsia" w:cs="Times New Roman"/>
                <w:color w:val="000000" w:themeColor="text1"/>
                <w:kern w:val="0"/>
                <w:sz w:val="24"/>
                <w:szCs w:val="24"/>
                <w:lang w:val="en-US" w:eastAsia="zh-CN"/>
              </w:rPr>
              <w:t>废气分别</w:t>
            </w:r>
            <w:r>
              <w:rPr>
                <w:rFonts w:hint="eastAsia" w:ascii="Times New Roman" w:hAnsi="Times New Roman" w:cs="Times New Roman"/>
                <w:color w:val="000000" w:themeColor="text1"/>
                <w:kern w:val="0"/>
                <w:sz w:val="24"/>
                <w:szCs w:val="24"/>
                <w:lang w:val="en-US" w:eastAsia="zh-CN"/>
              </w:rPr>
              <w:t>执行《恶臭污染物排放标准》（GB 14554-93）表2</w:t>
            </w:r>
            <w:r>
              <w:rPr>
                <w:rFonts w:hint="eastAsia" w:cs="Times New Roman"/>
                <w:color w:val="000000" w:themeColor="text1"/>
                <w:kern w:val="0"/>
                <w:sz w:val="24"/>
                <w:szCs w:val="24"/>
                <w:lang w:val="en-US" w:eastAsia="zh-CN"/>
              </w:rPr>
              <w:t>和表1</w:t>
            </w:r>
            <w:r>
              <w:rPr>
                <w:rFonts w:hint="eastAsia" w:ascii="Times New Roman" w:hAnsi="Times New Roman" w:cs="Times New Roman"/>
                <w:color w:val="000000" w:themeColor="text1"/>
                <w:kern w:val="0"/>
                <w:sz w:val="24"/>
                <w:szCs w:val="24"/>
                <w:lang w:val="en-US" w:eastAsia="zh-CN"/>
              </w:rPr>
              <w:t>相应的</w:t>
            </w:r>
            <w:r>
              <w:rPr>
                <w:rFonts w:hint="eastAsia" w:cs="Times New Roman"/>
                <w:color w:val="000000" w:themeColor="text1"/>
                <w:kern w:val="0"/>
                <w:sz w:val="24"/>
                <w:szCs w:val="24"/>
                <w:lang w:val="en-US" w:eastAsia="zh-CN"/>
              </w:rPr>
              <w:t>排放</w:t>
            </w:r>
            <w:r>
              <w:rPr>
                <w:rFonts w:hint="eastAsia" w:ascii="Times New Roman" w:hAnsi="Times New Roman" w:cs="Times New Roman"/>
                <w:color w:val="000000" w:themeColor="text1"/>
                <w:kern w:val="0"/>
                <w:sz w:val="24"/>
                <w:szCs w:val="24"/>
                <w:lang w:val="en-US" w:eastAsia="zh-CN"/>
              </w:rPr>
              <w:t>限值</w:t>
            </w:r>
            <w:r>
              <w:rPr>
                <w:rFonts w:hint="default" w:ascii="Times New Roman" w:hAnsi="Times New Roman" w:eastAsia="宋体" w:cs="Times New Roman"/>
                <w:color w:val="000000" w:themeColor="text1"/>
                <w:kern w:val="0"/>
                <w:sz w:val="24"/>
                <w:szCs w:val="24"/>
              </w:rPr>
              <w:t>；</w:t>
            </w:r>
            <w:r>
              <w:rPr>
                <w:rFonts w:hint="default" w:ascii="Times New Roman" w:hAnsi="Times New Roman" w:cs="Times New Roman"/>
                <w:color w:val="000000" w:themeColor="text1"/>
                <w:kern w:val="0"/>
                <w:sz w:val="24"/>
                <w:szCs w:val="24"/>
                <w:lang w:val="en-US" w:eastAsia="zh-CN"/>
              </w:rPr>
              <w:t>天然气锅炉执行《锅炉大气污染物排放标准》（GB13271-2014）表3中燃气锅炉大气污染物特别排放限值</w:t>
            </w:r>
            <w:r>
              <w:rPr>
                <w:rFonts w:hint="default" w:ascii="Times New Roman" w:hAnsi="Times New Roman" w:cs="Times New Roman"/>
                <w:color w:val="000000" w:themeColor="text1"/>
                <w:kern w:val="0"/>
                <w:sz w:val="24"/>
                <w:szCs w:val="24"/>
                <w:lang w:eastAsia="zh-CN"/>
              </w:rPr>
              <w:t>；</w:t>
            </w:r>
            <w:r>
              <w:rPr>
                <w:rFonts w:hint="default" w:ascii="Times New Roman" w:hAnsi="Times New Roman" w:eastAsia="宋体" w:cs="Times New Roman"/>
                <w:color w:val="000000" w:themeColor="text1"/>
                <w:kern w:val="0"/>
                <w:sz w:val="24"/>
                <w:szCs w:val="24"/>
              </w:rPr>
              <w:t>餐饮厨房油烟执行《饮食业油烟排放标准（试行）》（GB18483-2001）中表2饮食业单位的油烟最高允许排放浓度和油烟净化设施最低去除效率</w:t>
            </w:r>
            <w:r>
              <w:rPr>
                <w:rFonts w:hint="default" w:ascii="Times New Roman" w:hAnsi="Times New Roman" w:cs="Times New Roman"/>
                <w:color w:val="000000" w:themeColor="text1"/>
                <w:kern w:val="0"/>
                <w:sz w:val="24"/>
                <w:szCs w:val="24"/>
                <w:lang w:eastAsia="zh-CN"/>
              </w:rPr>
              <w:t>；</w:t>
            </w:r>
            <w:r>
              <w:rPr>
                <w:rFonts w:hint="default" w:ascii="Times New Roman" w:hAnsi="Times New Roman" w:eastAsia="宋体" w:cs="Times New Roman"/>
                <w:color w:val="000000" w:themeColor="text1"/>
                <w:kern w:val="0"/>
                <w:sz w:val="24"/>
                <w:szCs w:val="24"/>
              </w:rPr>
              <w:t>备用柴油发电机尾气排放标准执行《大气污染物综合排放标准》（GB16297-1996）中</w:t>
            </w:r>
            <w:r>
              <w:rPr>
                <w:rFonts w:hint="eastAsia" w:ascii="Times New Roman" w:hAnsi="Times New Roman" w:cs="Times New Roman"/>
                <w:color w:val="000000" w:themeColor="text1"/>
                <w:kern w:val="0"/>
                <w:sz w:val="24"/>
                <w:szCs w:val="24"/>
                <w:lang w:val="en-US" w:eastAsia="zh-CN"/>
              </w:rPr>
              <w:t>表2</w:t>
            </w:r>
            <w:r>
              <w:rPr>
                <w:rFonts w:hint="eastAsia" w:cs="Times New Roman"/>
                <w:color w:val="000000" w:themeColor="text1"/>
                <w:kern w:val="0"/>
                <w:sz w:val="24"/>
                <w:szCs w:val="24"/>
                <w:lang w:val="en-US" w:eastAsia="zh-CN"/>
              </w:rPr>
              <w:t>最高允许排放浓度</w:t>
            </w:r>
            <w:r>
              <w:rPr>
                <w:rFonts w:hint="default" w:ascii="Times New Roman" w:hAnsi="Times New Roman" w:cs="Times New Roman"/>
                <w:color w:val="000000" w:themeColor="text1"/>
                <w:kern w:val="0"/>
                <w:sz w:val="24"/>
                <w:szCs w:val="24"/>
                <w:lang w:eastAsia="zh-CN"/>
              </w:rPr>
              <w:t>。</w:t>
            </w:r>
          </w:p>
          <w:p w14:paraId="3C5EAE3A">
            <w:pPr>
              <w:pStyle w:val="11"/>
              <w:spacing w:after="0"/>
              <w:jc w:val="center"/>
              <w:rPr>
                <w:rFonts w:hint="default" w:ascii="Times New Roman" w:hAnsi="Times New Roman" w:eastAsia="宋体" w:cs="Times New Roman"/>
                <w:b w:val="0"/>
                <w:bCs/>
                <w:color w:val="000000" w:themeColor="text1"/>
                <w:sz w:val="21"/>
                <w:szCs w:val="21"/>
                <w:lang w:val="en-US" w:eastAsia="zh-CN"/>
              </w:rPr>
            </w:pPr>
            <w:r>
              <w:rPr>
                <w:rFonts w:hint="default" w:ascii="Times New Roman" w:hAnsi="Times New Roman" w:eastAsia="宋体" w:cs="Times New Roman"/>
                <w:b/>
                <w:color w:val="000000" w:themeColor="text1"/>
                <w:sz w:val="21"/>
                <w:szCs w:val="21"/>
                <w:lang w:val="zh-CN"/>
              </w:rPr>
              <w:t>表</w:t>
            </w:r>
            <w:r>
              <w:rPr>
                <w:rFonts w:hint="default" w:ascii="Times New Roman" w:hAnsi="Times New Roman" w:eastAsia="宋体" w:cs="Times New Roman"/>
                <w:b/>
                <w:color w:val="000000" w:themeColor="text1"/>
                <w:sz w:val="21"/>
                <w:szCs w:val="21"/>
              </w:rPr>
              <w:t>3-</w:t>
            </w:r>
            <w:r>
              <w:rPr>
                <w:rFonts w:hint="eastAsia" w:ascii="Times New Roman" w:hAnsi="Times New Roman" w:cs="Times New Roman"/>
                <w:b/>
                <w:color w:val="000000" w:themeColor="text1"/>
                <w:sz w:val="21"/>
                <w:szCs w:val="21"/>
                <w:lang w:val="en-US" w:eastAsia="zh-CN"/>
              </w:rPr>
              <w:t>8</w:t>
            </w:r>
            <w:r>
              <w:rPr>
                <w:rFonts w:hint="default" w:ascii="Times New Roman" w:hAnsi="Times New Roman" w:eastAsia="宋体" w:cs="Times New Roman"/>
                <w:b/>
                <w:color w:val="000000" w:themeColor="text1"/>
                <w:sz w:val="21"/>
                <w:szCs w:val="21"/>
                <w:lang w:val="zh-CN"/>
              </w:rPr>
              <w:t xml:space="preserve"> 医疗机构水污染物排放标准</w:t>
            </w:r>
            <w:r>
              <w:rPr>
                <w:rFonts w:hint="eastAsia" w:cs="Times New Roman"/>
                <w:b/>
                <w:color w:val="000000" w:themeColor="text1"/>
                <w:sz w:val="21"/>
                <w:szCs w:val="21"/>
                <w:lang w:val="en-US" w:eastAsia="zh-CN"/>
              </w:rPr>
              <w:t xml:space="preserve">  </w:t>
            </w:r>
            <w:r>
              <w:rPr>
                <w:rFonts w:hint="eastAsia" w:cs="Times New Roman"/>
                <w:b w:val="0"/>
                <w:bCs/>
                <w:color w:val="000000" w:themeColor="text1"/>
                <w:sz w:val="21"/>
                <w:szCs w:val="21"/>
                <w:lang w:val="en-US" w:eastAsia="zh-CN"/>
              </w:rPr>
              <w:t>单位：</w:t>
            </w:r>
            <w:r>
              <w:rPr>
                <w:rFonts w:hint="default" w:ascii="Times New Roman" w:hAnsi="Times New Roman" w:eastAsia="宋体" w:cs="Times New Roman"/>
                <w:b w:val="0"/>
                <w:bCs w:val="0"/>
                <w:color w:val="000000" w:themeColor="text1"/>
                <w:kern w:val="0"/>
                <w:sz w:val="21"/>
                <w:szCs w:val="21"/>
                <w:lang w:val="zh-CN"/>
              </w:rPr>
              <w:t>mg/m</w:t>
            </w:r>
            <w:r>
              <w:rPr>
                <w:rFonts w:hint="default" w:ascii="Times New Roman" w:hAnsi="Times New Roman" w:eastAsia="宋体" w:cs="Times New Roman"/>
                <w:b w:val="0"/>
                <w:bCs w:val="0"/>
                <w:color w:val="000000" w:themeColor="text1"/>
                <w:kern w:val="0"/>
                <w:sz w:val="21"/>
                <w:szCs w:val="21"/>
                <w:vertAlign w:val="superscript"/>
                <w:lang w:val="zh-CN"/>
              </w:rPr>
              <w:t>3</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7"/>
              <w:gridCol w:w="700"/>
              <w:gridCol w:w="633"/>
              <w:gridCol w:w="850"/>
              <w:gridCol w:w="1384"/>
              <w:gridCol w:w="2400"/>
            </w:tblGrid>
            <w:tr w14:paraId="1470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vAlign w:val="center"/>
                </w:tcPr>
                <w:p w14:paraId="776E4170">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eastAsia" w:ascii="Times New Roman" w:hAnsi="Times New Roman" w:eastAsia="宋体" w:cs="Times New Roman"/>
                      <w:b/>
                      <w:color w:val="000000" w:themeColor="text1"/>
                      <w:sz w:val="21"/>
                      <w:szCs w:val="21"/>
                      <w:vertAlign w:val="baseline"/>
                      <w:lang w:val="en-US" w:eastAsia="zh-CN"/>
                    </w:rPr>
                  </w:pPr>
                  <w:r>
                    <w:rPr>
                      <w:rFonts w:hint="eastAsia" w:ascii="Times New Roman" w:hAnsi="Times New Roman" w:cs="Times New Roman"/>
                      <w:b/>
                      <w:color w:val="000000" w:themeColor="text1"/>
                      <w:sz w:val="21"/>
                      <w:szCs w:val="21"/>
                      <w:vertAlign w:val="baseline"/>
                      <w:lang w:val="en-US" w:eastAsia="zh-CN"/>
                    </w:rPr>
                    <w:t>污染物</w:t>
                  </w:r>
                </w:p>
              </w:tc>
              <w:tc>
                <w:tcPr>
                  <w:tcW w:w="700" w:type="dxa"/>
                  <w:vAlign w:val="center"/>
                </w:tcPr>
                <w:p w14:paraId="1C80F984">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color w:val="000000" w:themeColor="text1"/>
                      <w:sz w:val="21"/>
                      <w:szCs w:val="21"/>
                      <w:vertAlign w:val="baseline"/>
                      <w:lang w:val="zh-CN"/>
                    </w:rPr>
                  </w:pPr>
                  <w:r>
                    <w:rPr>
                      <w:rFonts w:hint="default" w:ascii="Times New Roman" w:hAnsi="Times New Roman" w:eastAsia="宋体" w:cs="Times New Roman"/>
                      <w:color w:val="000000" w:themeColor="text1"/>
                      <w:kern w:val="0"/>
                      <w:sz w:val="21"/>
                      <w:szCs w:val="21"/>
                      <w:lang w:val="zh-CN"/>
                    </w:rPr>
                    <w:t>氯气</w:t>
                  </w:r>
                </w:p>
              </w:tc>
              <w:tc>
                <w:tcPr>
                  <w:tcW w:w="633" w:type="dxa"/>
                  <w:vAlign w:val="center"/>
                </w:tcPr>
                <w:p w14:paraId="0B5EC0B7">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color w:val="000000" w:themeColor="text1"/>
                      <w:sz w:val="21"/>
                      <w:szCs w:val="21"/>
                      <w:vertAlign w:val="baseline"/>
                      <w:lang w:val="zh-CN"/>
                    </w:rPr>
                  </w:pPr>
                  <w:r>
                    <w:rPr>
                      <w:rFonts w:hint="default" w:ascii="Times New Roman" w:hAnsi="Times New Roman" w:eastAsia="宋体" w:cs="Times New Roman"/>
                      <w:color w:val="000000" w:themeColor="text1"/>
                      <w:kern w:val="0"/>
                      <w:sz w:val="21"/>
                      <w:szCs w:val="21"/>
                      <w:lang w:val="zh-CN"/>
                    </w:rPr>
                    <w:t>氨</w:t>
                  </w:r>
                </w:p>
              </w:tc>
              <w:tc>
                <w:tcPr>
                  <w:tcW w:w="850" w:type="dxa"/>
                  <w:vAlign w:val="center"/>
                </w:tcPr>
                <w:p w14:paraId="5520E789">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color w:val="000000" w:themeColor="text1"/>
                      <w:sz w:val="21"/>
                      <w:szCs w:val="21"/>
                      <w:vertAlign w:val="baseline"/>
                      <w:lang w:val="zh-CN"/>
                    </w:rPr>
                  </w:pPr>
                  <w:r>
                    <w:rPr>
                      <w:rFonts w:hint="default" w:ascii="Times New Roman" w:hAnsi="Times New Roman" w:eastAsia="宋体" w:cs="Times New Roman"/>
                      <w:color w:val="000000" w:themeColor="text1"/>
                      <w:kern w:val="0"/>
                      <w:sz w:val="21"/>
                      <w:szCs w:val="21"/>
                      <w:lang w:val="zh-CN"/>
                    </w:rPr>
                    <w:t>硫化氢</w:t>
                  </w:r>
                </w:p>
              </w:tc>
              <w:tc>
                <w:tcPr>
                  <w:tcW w:w="1384" w:type="dxa"/>
                  <w:vAlign w:val="center"/>
                </w:tcPr>
                <w:p w14:paraId="3B488E24">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color w:val="000000" w:themeColor="text1"/>
                      <w:sz w:val="21"/>
                      <w:szCs w:val="21"/>
                      <w:vertAlign w:val="baseline"/>
                      <w:lang w:val="zh-CN"/>
                    </w:rPr>
                  </w:pPr>
                  <w:r>
                    <w:rPr>
                      <w:rFonts w:hint="default" w:ascii="Times New Roman" w:hAnsi="Times New Roman" w:eastAsia="宋体" w:cs="Times New Roman"/>
                      <w:color w:val="000000" w:themeColor="text1"/>
                      <w:kern w:val="0"/>
                      <w:sz w:val="21"/>
                      <w:szCs w:val="21"/>
                      <w:lang w:val="zh-CN"/>
                    </w:rPr>
                    <w:t>臭气浓度（无量纲）</w:t>
                  </w:r>
                </w:p>
              </w:tc>
              <w:tc>
                <w:tcPr>
                  <w:tcW w:w="2400" w:type="dxa"/>
                  <w:vAlign w:val="center"/>
                </w:tcPr>
                <w:p w14:paraId="10F78FF7">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color w:val="000000" w:themeColor="text1"/>
                      <w:sz w:val="21"/>
                      <w:szCs w:val="21"/>
                      <w:vertAlign w:val="baseline"/>
                      <w:lang w:val="zh-CN"/>
                    </w:rPr>
                  </w:pPr>
                  <w:r>
                    <w:rPr>
                      <w:rFonts w:hint="default" w:ascii="Times New Roman" w:hAnsi="Times New Roman" w:eastAsia="宋体" w:cs="Times New Roman"/>
                      <w:color w:val="000000" w:themeColor="text1"/>
                      <w:kern w:val="0"/>
                      <w:sz w:val="21"/>
                      <w:szCs w:val="21"/>
                      <w:lang w:val="zh-CN"/>
                    </w:rPr>
                    <w:t>甲烷（处理站内最高体积百分数/%）</w:t>
                  </w:r>
                </w:p>
              </w:tc>
            </w:tr>
            <w:tr w14:paraId="7F17B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7" w:type="dxa"/>
                  <w:vAlign w:val="center"/>
                </w:tcPr>
                <w:p w14:paraId="0508A3A5">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color w:val="000000" w:themeColor="text1"/>
                      <w:sz w:val="21"/>
                      <w:szCs w:val="21"/>
                      <w:vertAlign w:val="baseline"/>
                      <w:lang w:val="en-US" w:eastAsia="zh-CN"/>
                    </w:rPr>
                  </w:pPr>
                  <w:r>
                    <w:rPr>
                      <w:rFonts w:hint="eastAsia" w:ascii="Times New Roman" w:hAnsi="Times New Roman" w:cs="Times New Roman"/>
                      <w:b/>
                      <w:color w:val="000000" w:themeColor="text1"/>
                      <w:sz w:val="21"/>
                      <w:szCs w:val="21"/>
                      <w:vertAlign w:val="baseline"/>
                      <w:lang w:val="en-US" w:eastAsia="zh-CN"/>
                    </w:rPr>
                    <w:t>污水处理站周边大气污染物最高允许浓度标准限值</w:t>
                  </w:r>
                </w:p>
              </w:tc>
              <w:tc>
                <w:tcPr>
                  <w:tcW w:w="700" w:type="dxa"/>
                  <w:vAlign w:val="center"/>
                </w:tcPr>
                <w:p w14:paraId="0F4535A1">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0.1</w:t>
                  </w:r>
                </w:p>
              </w:tc>
              <w:tc>
                <w:tcPr>
                  <w:tcW w:w="633" w:type="dxa"/>
                  <w:vAlign w:val="center"/>
                </w:tcPr>
                <w:p w14:paraId="0BE417EE">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1.0</w:t>
                  </w:r>
                </w:p>
              </w:tc>
              <w:tc>
                <w:tcPr>
                  <w:tcW w:w="850" w:type="dxa"/>
                  <w:vAlign w:val="center"/>
                </w:tcPr>
                <w:p w14:paraId="4E4F666F">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0.03</w:t>
                  </w:r>
                </w:p>
              </w:tc>
              <w:tc>
                <w:tcPr>
                  <w:tcW w:w="1384" w:type="dxa"/>
                  <w:vAlign w:val="center"/>
                </w:tcPr>
                <w:p w14:paraId="74295C34">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10</w:t>
                  </w:r>
                </w:p>
              </w:tc>
              <w:tc>
                <w:tcPr>
                  <w:tcW w:w="2400" w:type="dxa"/>
                  <w:vAlign w:val="center"/>
                </w:tcPr>
                <w:p w14:paraId="74340CE9">
                  <w:pPr>
                    <w:pStyle w:val="11"/>
                    <w:keepNext w:val="0"/>
                    <w:keepLines w:val="0"/>
                    <w:pageBreakBefore w:val="0"/>
                    <w:widowControl/>
                    <w:kinsoku/>
                    <w:wordWrap/>
                    <w:overflowPunct/>
                    <w:topLinePunct w:val="0"/>
                    <w:autoSpaceDE/>
                    <w:autoSpaceDN/>
                    <w:bidi w:val="0"/>
                    <w:adjustRightInd/>
                    <w:snapToGrid w:val="0"/>
                    <w:spacing w:after="60" w:line="26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1.0</w:t>
                  </w:r>
                </w:p>
              </w:tc>
            </w:tr>
          </w:tbl>
          <w:p w14:paraId="18C20811">
            <w:pPr>
              <w:pStyle w:val="11"/>
              <w:spacing w:after="0"/>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cs="Times New Roman"/>
                <w:b/>
                <w:color w:val="auto"/>
                <w:sz w:val="21"/>
                <w:szCs w:val="21"/>
                <w:lang w:val="en-US" w:eastAsia="zh-CN"/>
              </w:rPr>
              <w:t xml:space="preserve">表3-9 恶臭污染物排放标准 </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33"/>
              <w:gridCol w:w="1283"/>
              <w:gridCol w:w="900"/>
              <w:gridCol w:w="934"/>
              <w:gridCol w:w="1700"/>
              <w:gridCol w:w="1550"/>
            </w:tblGrid>
            <w:tr w14:paraId="1A61F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restart"/>
                  <w:vAlign w:val="center"/>
                </w:tcPr>
                <w:p w14:paraId="0163BE0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序号</w:t>
                  </w:r>
                </w:p>
              </w:tc>
              <w:tc>
                <w:tcPr>
                  <w:tcW w:w="1133" w:type="dxa"/>
                  <w:vMerge w:val="restart"/>
                  <w:vAlign w:val="center"/>
                </w:tcPr>
                <w:p w14:paraId="728D87A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污染物</w:t>
                  </w:r>
                </w:p>
              </w:tc>
              <w:tc>
                <w:tcPr>
                  <w:tcW w:w="3117" w:type="dxa"/>
                  <w:gridSpan w:val="3"/>
                  <w:vAlign w:val="center"/>
                </w:tcPr>
                <w:p w14:paraId="7007411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有组织</w:t>
                  </w:r>
                </w:p>
              </w:tc>
              <w:tc>
                <w:tcPr>
                  <w:tcW w:w="3250" w:type="dxa"/>
                  <w:gridSpan w:val="2"/>
                  <w:vAlign w:val="center"/>
                </w:tcPr>
                <w:p w14:paraId="154DE6A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bCs w:val="0"/>
                      <w:color w:val="000000" w:themeColor="text1"/>
                      <w:sz w:val="21"/>
                      <w:szCs w:val="21"/>
                      <w:vertAlign w:val="baseline"/>
                      <w:lang w:val="en-US" w:eastAsia="zh-CN"/>
                    </w:rPr>
                  </w:pPr>
                  <w:r>
                    <w:rPr>
                      <w:rFonts w:hint="eastAsia" w:cs="Times New Roman"/>
                      <w:b/>
                      <w:bCs w:val="0"/>
                      <w:color w:val="000000" w:themeColor="text1"/>
                      <w:sz w:val="21"/>
                      <w:szCs w:val="21"/>
                      <w:vertAlign w:val="baseline"/>
                      <w:lang w:val="en-US" w:eastAsia="zh-CN"/>
                    </w:rPr>
                    <w:t>无组织（二级、新建）</w:t>
                  </w:r>
                </w:p>
              </w:tc>
            </w:tr>
            <w:tr w14:paraId="2741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Merge w:val="continue"/>
                  <w:vAlign w:val="center"/>
                </w:tcPr>
                <w:p w14:paraId="16B847E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b/>
                      <w:bCs w:val="0"/>
                      <w:color w:val="auto"/>
                      <w:sz w:val="21"/>
                      <w:szCs w:val="21"/>
                      <w:vertAlign w:val="baseline"/>
                      <w:lang w:val="en-US" w:eastAsia="zh-CN"/>
                    </w:rPr>
                  </w:pPr>
                </w:p>
              </w:tc>
              <w:tc>
                <w:tcPr>
                  <w:tcW w:w="1133" w:type="dxa"/>
                  <w:vMerge w:val="continue"/>
                  <w:vAlign w:val="center"/>
                </w:tcPr>
                <w:p w14:paraId="6BE74AC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b/>
                      <w:bCs w:val="0"/>
                      <w:color w:val="auto"/>
                      <w:sz w:val="21"/>
                      <w:szCs w:val="21"/>
                      <w:vertAlign w:val="baseline"/>
                      <w:lang w:val="en-US" w:eastAsia="zh-CN"/>
                    </w:rPr>
                  </w:pPr>
                </w:p>
              </w:tc>
              <w:tc>
                <w:tcPr>
                  <w:tcW w:w="1283" w:type="dxa"/>
                  <w:vAlign w:val="center"/>
                </w:tcPr>
                <w:p w14:paraId="04ACF75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排气筒高度</w:t>
                  </w:r>
                </w:p>
              </w:tc>
              <w:tc>
                <w:tcPr>
                  <w:tcW w:w="900" w:type="dxa"/>
                  <w:vAlign w:val="center"/>
                </w:tcPr>
                <w:p w14:paraId="6447D21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bCs w:val="0"/>
                      <w:color w:val="auto"/>
                      <w:sz w:val="21"/>
                      <w:szCs w:val="21"/>
                      <w:vertAlign w:val="baseline"/>
                      <w:lang w:val="en-US" w:eastAsia="zh-CN"/>
                    </w:rPr>
                  </w:pPr>
                  <w:r>
                    <w:rPr>
                      <w:rFonts w:hint="eastAsia" w:cs="Times New Roman"/>
                      <w:b/>
                      <w:bCs w:val="0"/>
                      <w:color w:val="auto"/>
                      <w:sz w:val="21"/>
                      <w:szCs w:val="21"/>
                      <w:vertAlign w:val="baseline"/>
                      <w:lang w:val="en-US" w:eastAsia="zh-CN"/>
                    </w:rPr>
                    <w:t>排放量</w:t>
                  </w:r>
                </w:p>
              </w:tc>
              <w:tc>
                <w:tcPr>
                  <w:tcW w:w="934" w:type="dxa"/>
                  <w:vAlign w:val="center"/>
                </w:tcPr>
                <w:p w14:paraId="1DF24026">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cs="Times New Roman"/>
                      <w:b/>
                      <w:bCs w:val="0"/>
                      <w:color w:val="auto"/>
                      <w:sz w:val="21"/>
                      <w:szCs w:val="21"/>
                      <w:vertAlign w:val="baseline"/>
                      <w:lang w:val="en-US" w:eastAsia="zh-CN"/>
                    </w:rPr>
                  </w:pPr>
                  <w:r>
                    <w:rPr>
                      <w:rFonts w:hint="eastAsia"/>
                      <w:b/>
                      <w:bCs w:val="0"/>
                      <w:color w:val="auto"/>
                      <w:highlight w:val="none"/>
                      <w:lang w:eastAsia="zh-CN"/>
                    </w:rPr>
                    <w:t>单位</w:t>
                  </w:r>
                </w:p>
              </w:tc>
              <w:tc>
                <w:tcPr>
                  <w:tcW w:w="1700" w:type="dxa"/>
                  <w:vAlign w:val="center"/>
                </w:tcPr>
                <w:p w14:paraId="3F64471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bCs w:val="0"/>
                      <w:color w:val="000000" w:themeColor="text1"/>
                      <w:sz w:val="21"/>
                      <w:szCs w:val="21"/>
                      <w:vertAlign w:val="baseline"/>
                      <w:lang w:val="en-US" w:eastAsia="zh-CN"/>
                    </w:rPr>
                  </w:pPr>
                  <w:r>
                    <w:rPr>
                      <w:rFonts w:hint="eastAsia" w:cs="Times New Roman"/>
                      <w:b/>
                      <w:bCs w:val="0"/>
                      <w:color w:val="000000" w:themeColor="text1"/>
                      <w:sz w:val="21"/>
                      <w:szCs w:val="21"/>
                      <w:vertAlign w:val="baseline"/>
                      <w:lang w:val="en-US" w:eastAsia="zh-CN"/>
                    </w:rPr>
                    <w:t>监控点</w:t>
                  </w:r>
                </w:p>
              </w:tc>
              <w:tc>
                <w:tcPr>
                  <w:tcW w:w="1550" w:type="dxa"/>
                  <w:vAlign w:val="center"/>
                </w:tcPr>
                <w:p w14:paraId="7D528E2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bCs w:val="0"/>
                      <w:color w:val="000000" w:themeColor="text1"/>
                      <w:sz w:val="21"/>
                      <w:szCs w:val="21"/>
                      <w:vertAlign w:val="baseline"/>
                      <w:lang w:val="en-US" w:eastAsia="zh-CN"/>
                    </w:rPr>
                  </w:pPr>
                  <w:r>
                    <w:rPr>
                      <w:rFonts w:hint="eastAsia" w:cs="Times New Roman"/>
                      <w:b/>
                      <w:bCs w:val="0"/>
                      <w:color w:val="000000" w:themeColor="text1"/>
                      <w:sz w:val="21"/>
                      <w:szCs w:val="21"/>
                      <w:vertAlign w:val="baseline"/>
                      <w:lang w:val="en-US" w:eastAsia="zh-CN"/>
                    </w:rPr>
                    <w:t>浓度（</w:t>
                  </w:r>
                  <w:r>
                    <w:rPr>
                      <w:rFonts w:hint="default" w:ascii="Times New Roman" w:hAnsi="Times New Roman" w:eastAsia="宋体" w:cs="Times New Roman"/>
                      <w:b/>
                      <w:bCs w:val="0"/>
                      <w:color w:val="000000" w:themeColor="text1"/>
                      <w:kern w:val="0"/>
                      <w:sz w:val="21"/>
                      <w:szCs w:val="21"/>
                      <w:lang w:val="zh-CN"/>
                    </w:rPr>
                    <w:t>mg/m</w:t>
                  </w:r>
                  <w:r>
                    <w:rPr>
                      <w:rFonts w:hint="default" w:ascii="Times New Roman" w:hAnsi="Times New Roman" w:eastAsia="宋体" w:cs="Times New Roman"/>
                      <w:b/>
                      <w:bCs w:val="0"/>
                      <w:color w:val="000000" w:themeColor="text1"/>
                      <w:kern w:val="0"/>
                      <w:sz w:val="21"/>
                      <w:szCs w:val="21"/>
                      <w:vertAlign w:val="superscript"/>
                      <w:lang w:val="zh-CN"/>
                    </w:rPr>
                    <w:t>3</w:t>
                  </w:r>
                  <w:r>
                    <w:rPr>
                      <w:rFonts w:hint="eastAsia" w:cs="Times New Roman"/>
                      <w:b/>
                      <w:bCs w:val="0"/>
                      <w:color w:val="000000" w:themeColor="text1"/>
                      <w:sz w:val="21"/>
                      <w:szCs w:val="21"/>
                      <w:vertAlign w:val="baseline"/>
                      <w:lang w:val="en-US" w:eastAsia="zh-CN"/>
                    </w:rPr>
                    <w:t>）</w:t>
                  </w:r>
                </w:p>
              </w:tc>
            </w:tr>
            <w:tr w14:paraId="0E6A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Align w:val="center"/>
                </w:tcPr>
                <w:p w14:paraId="760E0E83">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1</w:t>
                  </w:r>
                </w:p>
              </w:tc>
              <w:tc>
                <w:tcPr>
                  <w:tcW w:w="1133" w:type="dxa"/>
                  <w:vAlign w:val="center"/>
                </w:tcPr>
                <w:p w14:paraId="3C94D9D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olor w:val="auto"/>
                      <w:highlight w:val="none"/>
                      <w:lang w:val="en-US" w:eastAsia="zh-CN"/>
                    </w:rPr>
                    <w:t>氨</w:t>
                  </w:r>
                </w:p>
              </w:tc>
              <w:tc>
                <w:tcPr>
                  <w:tcW w:w="1283" w:type="dxa"/>
                  <w:vMerge w:val="restart"/>
                  <w:vAlign w:val="center"/>
                </w:tcPr>
                <w:p w14:paraId="76FB7F5A">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63m（按60m计）</w:t>
                  </w:r>
                </w:p>
              </w:tc>
              <w:tc>
                <w:tcPr>
                  <w:tcW w:w="900" w:type="dxa"/>
                  <w:vAlign w:val="top"/>
                </w:tcPr>
                <w:p w14:paraId="3E85E55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s="Times New Roman"/>
                      <w:color w:val="auto"/>
                      <w:kern w:val="0"/>
                      <w:sz w:val="21"/>
                      <w:szCs w:val="21"/>
                      <w:lang w:val="en-US" w:eastAsia="zh-CN"/>
                    </w:rPr>
                    <w:t>75</w:t>
                  </w:r>
                </w:p>
              </w:tc>
              <w:tc>
                <w:tcPr>
                  <w:tcW w:w="934" w:type="dxa"/>
                  <w:vAlign w:val="center"/>
                </w:tcPr>
                <w:p w14:paraId="127F1CBC">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olor w:val="auto"/>
                      <w:highlight w:val="none"/>
                      <w:lang w:val="en-US" w:eastAsia="zh-CN"/>
                    </w:rPr>
                    <w:t>kg/h</w:t>
                  </w:r>
                </w:p>
              </w:tc>
              <w:tc>
                <w:tcPr>
                  <w:tcW w:w="1700" w:type="dxa"/>
                  <w:vMerge w:val="restart"/>
                  <w:vAlign w:val="center"/>
                </w:tcPr>
                <w:p w14:paraId="501BFD0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厂界下风向侧或有臭气方位的边界线上</w:t>
                  </w:r>
                </w:p>
              </w:tc>
              <w:tc>
                <w:tcPr>
                  <w:tcW w:w="1550" w:type="dxa"/>
                  <w:vAlign w:val="center"/>
                </w:tcPr>
                <w:p w14:paraId="0A395AF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1.5</w:t>
                  </w:r>
                </w:p>
              </w:tc>
            </w:tr>
            <w:tr w14:paraId="12FB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Align w:val="center"/>
                </w:tcPr>
                <w:p w14:paraId="1BE7199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2</w:t>
                  </w:r>
                </w:p>
              </w:tc>
              <w:tc>
                <w:tcPr>
                  <w:tcW w:w="1133" w:type="dxa"/>
                  <w:vAlign w:val="center"/>
                </w:tcPr>
                <w:p w14:paraId="14E2942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olor w:val="auto"/>
                      <w:highlight w:val="none"/>
                      <w:lang w:val="en-US" w:eastAsia="zh-CN"/>
                    </w:rPr>
                    <w:t>硫化氢</w:t>
                  </w:r>
                </w:p>
              </w:tc>
              <w:tc>
                <w:tcPr>
                  <w:tcW w:w="1283" w:type="dxa"/>
                  <w:vMerge w:val="continue"/>
                  <w:vAlign w:val="center"/>
                </w:tcPr>
                <w:p w14:paraId="7EE3570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b w:val="0"/>
                      <w:bCs/>
                      <w:color w:val="auto"/>
                      <w:sz w:val="21"/>
                      <w:szCs w:val="21"/>
                      <w:vertAlign w:val="baseline"/>
                      <w:lang w:val="en-US" w:eastAsia="zh-CN"/>
                    </w:rPr>
                  </w:pPr>
                </w:p>
              </w:tc>
              <w:tc>
                <w:tcPr>
                  <w:tcW w:w="900" w:type="dxa"/>
                  <w:vAlign w:val="top"/>
                </w:tcPr>
                <w:p w14:paraId="6BA2271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s="Times New Roman"/>
                      <w:color w:val="auto"/>
                      <w:kern w:val="0"/>
                      <w:sz w:val="21"/>
                      <w:szCs w:val="21"/>
                      <w:lang w:val="en-US" w:eastAsia="zh-CN"/>
                    </w:rPr>
                    <w:t>5.2</w:t>
                  </w:r>
                </w:p>
              </w:tc>
              <w:tc>
                <w:tcPr>
                  <w:tcW w:w="934" w:type="dxa"/>
                  <w:vAlign w:val="center"/>
                </w:tcPr>
                <w:p w14:paraId="27938DFB">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olor w:val="auto"/>
                      <w:highlight w:val="none"/>
                      <w:lang w:val="en-US" w:eastAsia="zh-CN"/>
                    </w:rPr>
                    <w:t>kg/h</w:t>
                  </w:r>
                </w:p>
              </w:tc>
              <w:tc>
                <w:tcPr>
                  <w:tcW w:w="1700" w:type="dxa"/>
                  <w:vMerge w:val="continue"/>
                  <w:vAlign w:val="center"/>
                </w:tcPr>
                <w:p w14:paraId="3D1AC6F3">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b w:val="0"/>
                      <w:bCs/>
                      <w:color w:val="000000" w:themeColor="text1"/>
                      <w:sz w:val="21"/>
                      <w:szCs w:val="21"/>
                      <w:vertAlign w:val="baseline"/>
                      <w:lang w:val="en-US" w:eastAsia="zh-CN"/>
                    </w:rPr>
                  </w:pPr>
                </w:p>
              </w:tc>
              <w:tc>
                <w:tcPr>
                  <w:tcW w:w="1550" w:type="dxa"/>
                  <w:vAlign w:val="center"/>
                </w:tcPr>
                <w:p w14:paraId="4BA2AC9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0.06</w:t>
                  </w:r>
                </w:p>
              </w:tc>
            </w:tr>
            <w:tr w14:paraId="10C7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vAlign w:val="center"/>
                </w:tcPr>
                <w:p w14:paraId="3EF36BF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3</w:t>
                  </w:r>
                </w:p>
              </w:tc>
              <w:tc>
                <w:tcPr>
                  <w:tcW w:w="1133" w:type="dxa"/>
                  <w:vAlign w:val="center"/>
                </w:tcPr>
                <w:p w14:paraId="2E1BE93A">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olor w:val="auto"/>
                      <w:highlight w:val="none"/>
                      <w:lang w:eastAsia="zh-CN"/>
                    </w:rPr>
                    <w:t>臭气浓度</w:t>
                  </w:r>
                </w:p>
              </w:tc>
              <w:tc>
                <w:tcPr>
                  <w:tcW w:w="1283" w:type="dxa"/>
                  <w:vMerge w:val="continue"/>
                  <w:vAlign w:val="center"/>
                </w:tcPr>
                <w:p w14:paraId="4AB3A09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b w:val="0"/>
                      <w:bCs/>
                      <w:color w:val="auto"/>
                      <w:sz w:val="21"/>
                      <w:szCs w:val="21"/>
                      <w:vertAlign w:val="baseline"/>
                      <w:lang w:val="en-US" w:eastAsia="zh-CN"/>
                    </w:rPr>
                  </w:pPr>
                </w:p>
              </w:tc>
              <w:tc>
                <w:tcPr>
                  <w:tcW w:w="900" w:type="dxa"/>
                  <w:vAlign w:val="top"/>
                </w:tcPr>
                <w:p w14:paraId="2CFA3AF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s="Times New Roman"/>
                      <w:color w:val="auto"/>
                      <w:kern w:val="0"/>
                      <w:sz w:val="21"/>
                      <w:szCs w:val="21"/>
                      <w:lang w:val="en-US" w:eastAsia="zh-CN"/>
                    </w:rPr>
                    <w:t>60000</w:t>
                  </w:r>
                </w:p>
              </w:tc>
              <w:tc>
                <w:tcPr>
                  <w:tcW w:w="934" w:type="dxa"/>
                  <w:vAlign w:val="center"/>
                </w:tcPr>
                <w:p w14:paraId="491E2A66">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cs="Times New Roman"/>
                      <w:b w:val="0"/>
                      <w:bCs/>
                      <w:color w:val="auto"/>
                      <w:sz w:val="21"/>
                      <w:szCs w:val="21"/>
                      <w:vertAlign w:val="baseline"/>
                      <w:lang w:val="en-US" w:eastAsia="zh-CN"/>
                    </w:rPr>
                  </w:pPr>
                  <w:r>
                    <w:rPr>
                      <w:rFonts w:hint="eastAsia"/>
                      <w:color w:val="auto"/>
                      <w:highlight w:val="none"/>
                      <w:lang w:eastAsia="zh-CN"/>
                    </w:rPr>
                    <w:t>无量纲</w:t>
                  </w:r>
                </w:p>
              </w:tc>
              <w:tc>
                <w:tcPr>
                  <w:tcW w:w="1700" w:type="dxa"/>
                  <w:vMerge w:val="continue"/>
                  <w:vAlign w:val="center"/>
                </w:tcPr>
                <w:p w14:paraId="318CDC8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b w:val="0"/>
                      <w:bCs/>
                      <w:color w:val="000000" w:themeColor="text1"/>
                      <w:sz w:val="21"/>
                      <w:szCs w:val="21"/>
                      <w:vertAlign w:val="baseline"/>
                      <w:lang w:val="en-US" w:eastAsia="zh-CN"/>
                    </w:rPr>
                  </w:pPr>
                </w:p>
              </w:tc>
              <w:tc>
                <w:tcPr>
                  <w:tcW w:w="1550" w:type="dxa"/>
                  <w:vAlign w:val="center"/>
                </w:tcPr>
                <w:p w14:paraId="3174B4A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20（无量纲）</w:t>
                  </w:r>
                </w:p>
              </w:tc>
            </w:tr>
          </w:tbl>
          <w:p w14:paraId="5C2F000C">
            <w:pPr>
              <w:pStyle w:val="11"/>
              <w:spacing w:after="0"/>
              <w:jc w:val="both"/>
              <w:rPr>
                <w:rFonts w:hint="eastAsia" w:cs="Times New Roman"/>
                <w:b/>
                <w:color w:val="auto"/>
                <w:sz w:val="21"/>
                <w:szCs w:val="21"/>
                <w:lang w:val="en-US" w:eastAsia="zh-CN"/>
              </w:rPr>
            </w:pPr>
          </w:p>
          <w:p w14:paraId="4C297104">
            <w:pPr>
              <w:pStyle w:val="11"/>
              <w:spacing w:after="0"/>
              <w:jc w:val="center"/>
              <w:rPr>
                <w:rFonts w:hint="default" w:ascii="Times New Roman" w:hAnsi="Times New Roman" w:eastAsia="宋体" w:cs="Times New Roman"/>
                <w:b/>
                <w:color w:val="auto"/>
                <w:sz w:val="21"/>
                <w:szCs w:val="21"/>
                <w:lang w:val="en-US" w:eastAsia="zh-CN"/>
              </w:rPr>
            </w:pPr>
            <w:r>
              <w:rPr>
                <w:rFonts w:hint="eastAsia" w:cs="Times New Roman"/>
                <w:b/>
                <w:color w:val="auto"/>
                <w:sz w:val="21"/>
                <w:szCs w:val="21"/>
                <w:lang w:val="en-US" w:eastAsia="zh-CN"/>
              </w:rPr>
              <w:t>表</w:t>
            </w:r>
            <w:r>
              <w:rPr>
                <w:rFonts w:hint="eastAsia" w:ascii="Times New Roman" w:hAnsi="Times New Roman" w:cs="Times New Roman"/>
                <w:b/>
                <w:color w:val="auto"/>
                <w:sz w:val="21"/>
                <w:szCs w:val="21"/>
                <w:lang w:val="en-US" w:eastAsia="zh-CN"/>
              </w:rPr>
              <w:t>3-10 饮食业油烟排放标准</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0"/>
              <w:gridCol w:w="1701"/>
              <w:gridCol w:w="1701"/>
              <w:gridCol w:w="1702"/>
            </w:tblGrid>
            <w:tr w14:paraId="0E15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70" w:type="dxa"/>
                  <w:vAlign w:val="center"/>
                </w:tcPr>
                <w:p w14:paraId="0D02051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kern w:val="0"/>
                      <w:sz w:val="21"/>
                      <w:szCs w:val="21"/>
                      <w:lang w:val="zh-CN"/>
                    </w:rPr>
                  </w:pPr>
                  <w:r>
                    <w:rPr>
                      <w:b/>
                      <w:bCs/>
                      <w:caps/>
                      <w:color w:val="auto"/>
                      <w:highlight w:val="none"/>
                    </w:rPr>
                    <w:t>规   模</w:t>
                  </w:r>
                </w:p>
              </w:tc>
              <w:tc>
                <w:tcPr>
                  <w:tcW w:w="1701" w:type="dxa"/>
                  <w:vAlign w:val="center"/>
                </w:tcPr>
                <w:p w14:paraId="32119AE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zh-CN"/>
                    </w:rPr>
                  </w:pPr>
                  <w:r>
                    <w:rPr>
                      <w:caps/>
                      <w:color w:val="auto"/>
                      <w:highlight w:val="none"/>
                    </w:rPr>
                    <w:t>小型</w:t>
                  </w:r>
                </w:p>
              </w:tc>
              <w:tc>
                <w:tcPr>
                  <w:tcW w:w="1701" w:type="dxa"/>
                  <w:vAlign w:val="center"/>
                </w:tcPr>
                <w:p w14:paraId="36DCD2A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zh-CN"/>
                    </w:rPr>
                  </w:pPr>
                  <w:r>
                    <w:rPr>
                      <w:caps/>
                      <w:color w:val="auto"/>
                      <w:highlight w:val="none"/>
                    </w:rPr>
                    <w:t>中型</w:t>
                  </w:r>
                </w:p>
              </w:tc>
              <w:tc>
                <w:tcPr>
                  <w:tcW w:w="1702" w:type="dxa"/>
                  <w:vAlign w:val="center"/>
                </w:tcPr>
                <w:p w14:paraId="5036A29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zh-CN"/>
                    </w:rPr>
                  </w:pPr>
                  <w:r>
                    <w:rPr>
                      <w:caps/>
                      <w:color w:val="auto"/>
                      <w:highlight w:val="none"/>
                    </w:rPr>
                    <w:t>大型</w:t>
                  </w:r>
                </w:p>
              </w:tc>
            </w:tr>
            <w:tr w14:paraId="30BC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14:paraId="7739EF0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kern w:val="0"/>
                      <w:sz w:val="21"/>
                      <w:szCs w:val="21"/>
                      <w:lang w:val="zh-CN"/>
                    </w:rPr>
                  </w:pPr>
                  <w:r>
                    <w:rPr>
                      <w:b/>
                      <w:bCs/>
                      <w:color w:val="auto"/>
                      <w:highlight w:val="none"/>
                    </w:rPr>
                    <w:t>最高允许排放浓（mg/m</w:t>
                  </w:r>
                  <w:r>
                    <w:rPr>
                      <w:b/>
                      <w:bCs/>
                      <w:color w:val="auto"/>
                      <w:highlight w:val="none"/>
                      <w:vertAlign w:val="superscript"/>
                    </w:rPr>
                    <w:t>3</w:t>
                  </w:r>
                  <w:r>
                    <w:rPr>
                      <w:b/>
                      <w:bCs/>
                      <w:color w:val="auto"/>
                      <w:highlight w:val="none"/>
                    </w:rPr>
                    <w:t>）</w:t>
                  </w:r>
                </w:p>
              </w:tc>
              <w:tc>
                <w:tcPr>
                  <w:tcW w:w="5104" w:type="dxa"/>
                  <w:gridSpan w:val="3"/>
                  <w:vAlign w:val="center"/>
                </w:tcPr>
                <w:p w14:paraId="2D6B0C8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zh-CN"/>
                    </w:rPr>
                  </w:pPr>
                  <w:r>
                    <w:rPr>
                      <w:color w:val="auto"/>
                      <w:highlight w:val="none"/>
                    </w:rPr>
                    <w:t>2.0</w:t>
                  </w:r>
                </w:p>
              </w:tc>
            </w:tr>
            <w:tr w14:paraId="376D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70" w:type="dxa"/>
                  <w:vAlign w:val="center"/>
                </w:tcPr>
                <w:p w14:paraId="0E1AB29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kern w:val="0"/>
                      <w:sz w:val="21"/>
                      <w:szCs w:val="21"/>
                      <w:lang w:val="zh-CN"/>
                    </w:rPr>
                  </w:pPr>
                  <w:r>
                    <w:rPr>
                      <w:b/>
                      <w:bCs/>
                      <w:color w:val="auto"/>
                      <w:highlight w:val="none"/>
                    </w:rPr>
                    <w:t>净化设施最低去除效率</w:t>
                  </w:r>
                </w:p>
              </w:tc>
              <w:tc>
                <w:tcPr>
                  <w:tcW w:w="1701" w:type="dxa"/>
                  <w:vAlign w:val="center"/>
                </w:tcPr>
                <w:p w14:paraId="635D0E2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zh-CN"/>
                    </w:rPr>
                  </w:pPr>
                  <w:r>
                    <w:rPr>
                      <w:color w:val="auto"/>
                      <w:highlight w:val="none"/>
                    </w:rPr>
                    <w:t>60</w:t>
                  </w:r>
                </w:p>
              </w:tc>
              <w:tc>
                <w:tcPr>
                  <w:tcW w:w="1701" w:type="dxa"/>
                  <w:vAlign w:val="center"/>
                </w:tcPr>
                <w:p w14:paraId="64607A0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zh-CN"/>
                    </w:rPr>
                  </w:pPr>
                  <w:r>
                    <w:rPr>
                      <w:color w:val="auto"/>
                      <w:highlight w:val="none"/>
                    </w:rPr>
                    <w:t>75</w:t>
                  </w:r>
                </w:p>
              </w:tc>
              <w:tc>
                <w:tcPr>
                  <w:tcW w:w="1702" w:type="dxa"/>
                  <w:vAlign w:val="center"/>
                </w:tcPr>
                <w:p w14:paraId="10C7CB3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zh-CN"/>
                    </w:rPr>
                  </w:pPr>
                  <w:r>
                    <w:rPr>
                      <w:color w:val="auto"/>
                      <w:highlight w:val="none"/>
                    </w:rPr>
                    <w:t>85</w:t>
                  </w:r>
                </w:p>
              </w:tc>
            </w:tr>
          </w:tbl>
          <w:p w14:paraId="25B6FE97">
            <w:pPr>
              <w:pStyle w:val="11"/>
              <w:spacing w:after="0"/>
              <w:jc w:val="center"/>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 xml:space="preserve">表3-11 锅炉大气污染物排放标准  </w:t>
            </w:r>
            <w:r>
              <w:rPr>
                <w:rFonts w:hint="eastAsia" w:cs="Times New Roman"/>
                <w:b w:val="0"/>
                <w:bCs/>
                <w:color w:val="auto"/>
                <w:sz w:val="21"/>
                <w:szCs w:val="21"/>
                <w:lang w:val="en-US" w:eastAsia="zh-CN"/>
              </w:rPr>
              <w:t>单位：</w:t>
            </w:r>
            <w:r>
              <w:rPr>
                <w:rFonts w:hint="default" w:ascii="Times New Roman" w:hAnsi="Times New Roman" w:eastAsia="宋体" w:cs="Times New Roman"/>
                <w:b w:val="0"/>
                <w:bCs w:val="0"/>
                <w:color w:val="auto"/>
                <w:kern w:val="0"/>
                <w:sz w:val="21"/>
                <w:szCs w:val="21"/>
                <w:lang w:val="zh-CN"/>
              </w:rPr>
              <w:t>mg/m</w:t>
            </w:r>
            <w:r>
              <w:rPr>
                <w:rFonts w:hint="default" w:ascii="Times New Roman" w:hAnsi="Times New Roman" w:eastAsia="宋体" w:cs="Times New Roman"/>
                <w:b w:val="0"/>
                <w:bCs w:val="0"/>
                <w:color w:val="auto"/>
                <w:kern w:val="0"/>
                <w:sz w:val="21"/>
                <w:szCs w:val="21"/>
                <w:vertAlign w:val="superscript"/>
                <w:lang w:val="zh-CN"/>
              </w:rPr>
              <w:t>3</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1385"/>
              <w:gridCol w:w="1385"/>
              <w:gridCol w:w="1385"/>
              <w:gridCol w:w="1595"/>
            </w:tblGrid>
            <w:tr w14:paraId="5FA2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vAlign w:val="center"/>
                </w:tcPr>
                <w:p w14:paraId="1D3A4DC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color w:val="auto"/>
                      <w:sz w:val="21"/>
                      <w:szCs w:val="21"/>
                      <w:vertAlign w:val="baseline"/>
                      <w:lang w:val="en-US" w:eastAsia="zh-CN"/>
                    </w:rPr>
                  </w:pPr>
                  <w:r>
                    <w:rPr>
                      <w:rFonts w:hint="eastAsia" w:ascii="Times New Roman" w:hAnsi="Times New Roman" w:cs="Times New Roman"/>
                      <w:b/>
                      <w:color w:val="auto"/>
                      <w:sz w:val="21"/>
                      <w:szCs w:val="21"/>
                      <w:vertAlign w:val="baseline"/>
                      <w:lang w:val="en-US" w:eastAsia="zh-CN"/>
                    </w:rPr>
                    <w:t>污染物</w:t>
                  </w:r>
                </w:p>
              </w:tc>
              <w:tc>
                <w:tcPr>
                  <w:tcW w:w="1385" w:type="dxa"/>
                  <w:vAlign w:val="center"/>
                </w:tcPr>
                <w:p w14:paraId="064A37C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auto"/>
                      <w:sz w:val="21"/>
                      <w:szCs w:val="21"/>
                      <w:vertAlign w:val="baseline"/>
                      <w:lang w:val="zh-CN"/>
                    </w:rPr>
                  </w:pPr>
                  <w:r>
                    <w:rPr>
                      <w:rFonts w:hint="eastAsia" w:ascii="Times New Roman" w:hAnsi="Times New Roman" w:cs="Times New Roman"/>
                      <w:color w:val="auto"/>
                      <w:kern w:val="0"/>
                      <w:sz w:val="21"/>
                      <w:szCs w:val="21"/>
                      <w:lang w:val="en-US" w:eastAsia="zh-CN"/>
                    </w:rPr>
                    <w:t>颗粒物</w:t>
                  </w:r>
                </w:p>
              </w:tc>
              <w:tc>
                <w:tcPr>
                  <w:tcW w:w="1385" w:type="dxa"/>
                  <w:vAlign w:val="center"/>
                </w:tcPr>
                <w:p w14:paraId="39BB18B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auto"/>
                      <w:sz w:val="21"/>
                      <w:szCs w:val="21"/>
                      <w:vertAlign w:val="baseline"/>
                      <w:lang w:val="zh-CN"/>
                    </w:rPr>
                  </w:pPr>
                  <w:r>
                    <w:rPr>
                      <w:rFonts w:hint="default" w:ascii="Times New Roman" w:hAnsi="Times New Roman" w:cs="Times New Roman"/>
                      <w:color w:val="auto"/>
                      <w:kern w:val="0"/>
                      <w:sz w:val="21"/>
                      <w:szCs w:val="21"/>
                      <w:lang w:val="en-US" w:eastAsia="zh-CN"/>
                    </w:rPr>
                    <w:t>SO</w:t>
                  </w:r>
                  <w:r>
                    <w:rPr>
                      <w:rFonts w:hint="default" w:ascii="Times New Roman" w:hAnsi="Times New Roman" w:cs="Times New Roman"/>
                      <w:color w:val="auto"/>
                      <w:kern w:val="0"/>
                      <w:sz w:val="21"/>
                      <w:szCs w:val="21"/>
                      <w:vertAlign w:val="subscript"/>
                      <w:lang w:val="en-US" w:eastAsia="zh-CN"/>
                    </w:rPr>
                    <w:t>2</w:t>
                  </w:r>
                </w:p>
              </w:tc>
              <w:tc>
                <w:tcPr>
                  <w:tcW w:w="1385" w:type="dxa"/>
                  <w:vAlign w:val="center"/>
                </w:tcPr>
                <w:p w14:paraId="12785BF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auto"/>
                      <w:sz w:val="21"/>
                      <w:szCs w:val="21"/>
                      <w:vertAlign w:val="baseline"/>
                      <w:lang w:val="zh-CN"/>
                    </w:rPr>
                  </w:pPr>
                  <w:r>
                    <w:rPr>
                      <w:rFonts w:hint="default" w:ascii="Times New Roman" w:hAnsi="Times New Roman" w:cs="Times New Roman"/>
                      <w:color w:val="auto"/>
                      <w:kern w:val="0"/>
                      <w:sz w:val="21"/>
                      <w:szCs w:val="21"/>
                      <w:lang w:val="en-US" w:eastAsia="zh-CN"/>
                    </w:rPr>
                    <w:t>NO</w:t>
                  </w:r>
                  <w:r>
                    <w:rPr>
                      <w:rFonts w:hint="default" w:ascii="Times New Roman" w:hAnsi="Times New Roman" w:cs="Times New Roman"/>
                      <w:color w:val="auto"/>
                      <w:kern w:val="0"/>
                      <w:sz w:val="21"/>
                      <w:szCs w:val="21"/>
                      <w:vertAlign w:val="subscript"/>
                      <w:lang w:val="en-US" w:eastAsia="zh-CN"/>
                    </w:rPr>
                    <w:t>X</w:t>
                  </w:r>
                </w:p>
              </w:tc>
              <w:tc>
                <w:tcPr>
                  <w:tcW w:w="1595" w:type="dxa"/>
                  <w:vAlign w:val="center"/>
                </w:tcPr>
                <w:p w14:paraId="434FC61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auto"/>
                      <w:sz w:val="21"/>
                      <w:szCs w:val="21"/>
                      <w:vertAlign w:val="baseline"/>
                      <w:lang w:val="zh-CN"/>
                    </w:rPr>
                  </w:pPr>
                  <w:r>
                    <w:rPr>
                      <w:rFonts w:hint="default" w:ascii="Times New Roman" w:hAnsi="Times New Roman" w:cs="Times New Roman"/>
                      <w:color w:val="auto"/>
                      <w:kern w:val="0"/>
                      <w:sz w:val="21"/>
                      <w:szCs w:val="21"/>
                      <w:lang w:val="en-US" w:eastAsia="zh-CN"/>
                    </w:rPr>
                    <w:t>烟气黑度</w:t>
                  </w:r>
                </w:p>
              </w:tc>
            </w:tr>
            <w:tr w14:paraId="4AEA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vAlign w:val="center"/>
                </w:tcPr>
                <w:p w14:paraId="73E5473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auto"/>
                      <w:sz w:val="21"/>
                      <w:szCs w:val="21"/>
                      <w:vertAlign w:val="baseline"/>
                      <w:lang w:val="en-US" w:eastAsia="zh-CN"/>
                    </w:rPr>
                  </w:pPr>
                  <w:r>
                    <w:rPr>
                      <w:rFonts w:hint="eastAsia" w:cs="Times New Roman"/>
                      <w:b/>
                      <w:color w:val="auto"/>
                      <w:sz w:val="21"/>
                      <w:szCs w:val="21"/>
                      <w:vertAlign w:val="baseline"/>
                      <w:lang w:val="en-US" w:eastAsia="zh-CN"/>
                    </w:rPr>
                    <w:t>特别排放限值</w:t>
                  </w:r>
                </w:p>
              </w:tc>
              <w:tc>
                <w:tcPr>
                  <w:tcW w:w="1385" w:type="dxa"/>
                  <w:vAlign w:val="center"/>
                </w:tcPr>
                <w:p w14:paraId="0FE6F3D7">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20</w:t>
                  </w:r>
                </w:p>
              </w:tc>
              <w:tc>
                <w:tcPr>
                  <w:tcW w:w="1385" w:type="dxa"/>
                  <w:vAlign w:val="center"/>
                </w:tcPr>
                <w:p w14:paraId="34755CE3">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50</w:t>
                  </w:r>
                </w:p>
              </w:tc>
              <w:tc>
                <w:tcPr>
                  <w:tcW w:w="1385" w:type="dxa"/>
                  <w:vAlign w:val="center"/>
                </w:tcPr>
                <w:p w14:paraId="44211DE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auto"/>
                      <w:sz w:val="21"/>
                      <w:szCs w:val="21"/>
                      <w:vertAlign w:val="baseline"/>
                      <w:lang w:val="en-US" w:eastAsia="zh-CN"/>
                    </w:rPr>
                  </w:pPr>
                  <w:r>
                    <w:rPr>
                      <w:rFonts w:hint="eastAsia" w:ascii="Times New Roman" w:hAnsi="Times New Roman" w:cs="Times New Roman"/>
                      <w:b w:val="0"/>
                      <w:bCs/>
                      <w:color w:val="auto"/>
                      <w:sz w:val="21"/>
                      <w:szCs w:val="21"/>
                      <w:vertAlign w:val="baseline"/>
                      <w:lang w:val="en-US" w:eastAsia="zh-CN"/>
                    </w:rPr>
                    <w:t>150</w:t>
                  </w:r>
                </w:p>
              </w:tc>
              <w:tc>
                <w:tcPr>
                  <w:tcW w:w="1595" w:type="dxa"/>
                  <w:vAlign w:val="center"/>
                </w:tcPr>
                <w:p w14:paraId="34AD256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auto"/>
                      <w:sz w:val="21"/>
                      <w:szCs w:val="21"/>
                      <w:vertAlign w:val="baseline"/>
                      <w:lang w:val="zh-CN"/>
                    </w:rPr>
                  </w:pPr>
                  <w:r>
                    <w:rPr>
                      <w:rFonts w:hint="default" w:ascii="Times New Roman" w:hAnsi="Times New Roman" w:cs="Times New Roman"/>
                      <w:color w:val="auto"/>
                      <w:kern w:val="0"/>
                      <w:sz w:val="21"/>
                      <w:szCs w:val="21"/>
                      <w:lang w:val="en-US" w:eastAsia="zh-CN"/>
                    </w:rPr>
                    <w:t>林格曼1级</w:t>
                  </w:r>
                </w:p>
              </w:tc>
            </w:tr>
            <w:tr w14:paraId="1A9E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4" w:type="dxa"/>
                  <w:vAlign w:val="center"/>
                </w:tcPr>
                <w:p w14:paraId="131EF30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b/>
                      <w:color w:val="auto"/>
                      <w:sz w:val="21"/>
                      <w:szCs w:val="21"/>
                      <w:vertAlign w:val="baseline"/>
                      <w:lang w:val="en-US" w:eastAsia="zh-CN"/>
                    </w:rPr>
                  </w:pPr>
                  <w:r>
                    <w:rPr>
                      <w:rFonts w:hint="eastAsia" w:cs="Times New Roman"/>
                      <w:b/>
                      <w:color w:val="auto"/>
                      <w:sz w:val="21"/>
                      <w:szCs w:val="21"/>
                      <w:vertAlign w:val="baseline"/>
                      <w:lang w:val="en-US" w:eastAsia="zh-CN"/>
                    </w:rPr>
                    <w:t>污染物排放监控位置</w:t>
                  </w:r>
                </w:p>
              </w:tc>
              <w:tc>
                <w:tcPr>
                  <w:tcW w:w="4155" w:type="dxa"/>
                  <w:gridSpan w:val="3"/>
                  <w:vAlign w:val="center"/>
                </w:tcPr>
                <w:p w14:paraId="7015D47A">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b w:val="0"/>
                      <w:bCs/>
                      <w:color w:val="auto"/>
                      <w:sz w:val="21"/>
                      <w:szCs w:val="21"/>
                      <w:vertAlign w:val="baseline"/>
                      <w:lang w:val="en-US" w:eastAsia="zh-CN"/>
                    </w:rPr>
                  </w:pPr>
                  <w:r>
                    <w:rPr>
                      <w:rFonts w:hint="eastAsia" w:cs="Times New Roman"/>
                      <w:b w:val="0"/>
                      <w:bCs/>
                      <w:color w:val="auto"/>
                      <w:sz w:val="21"/>
                      <w:szCs w:val="21"/>
                      <w:vertAlign w:val="baseline"/>
                      <w:lang w:val="en-US" w:eastAsia="zh-CN"/>
                    </w:rPr>
                    <w:t>烟囱或烟道</w:t>
                  </w:r>
                </w:p>
              </w:tc>
              <w:tc>
                <w:tcPr>
                  <w:tcW w:w="1595" w:type="dxa"/>
                  <w:vAlign w:val="center"/>
                </w:tcPr>
                <w:p w14:paraId="5CC6A8C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auto"/>
                      <w:kern w:val="0"/>
                      <w:sz w:val="21"/>
                      <w:szCs w:val="21"/>
                      <w:lang w:val="en-US" w:eastAsia="zh-CN"/>
                    </w:rPr>
                  </w:pPr>
                  <w:r>
                    <w:rPr>
                      <w:rFonts w:hint="eastAsia" w:cs="Times New Roman"/>
                      <w:color w:val="auto"/>
                      <w:kern w:val="0"/>
                      <w:sz w:val="21"/>
                      <w:szCs w:val="21"/>
                      <w:lang w:val="en-US" w:eastAsia="zh-CN"/>
                    </w:rPr>
                    <w:t>烟囱排放口</w:t>
                  </w:r>
                </w:p>
              </w:tc>
            </w:tr>
          </w:tbl>
          <w:p w14:paraId="1E656A25">
            <w:pPr>
              <w:pStyle w:val="11"/>
              <w:spacing w:after="0"/>
              <w:jc w:val="center"/>
              <w:rPr>
                <w:rFonts w:hint="default" w:ascii="Times New Roman" w:hAnsi="Times New Roman" w:eastAsia="宋体" w:cs="Times New Roman"/>
                <w:b/>
                <w:color w:val="auto"/>
                <w:sz w:val="21"/>
                <w:szCs w:val="21"/>
                <w:lang w:val="en-US" w:eastAsia="zh-CN"/>
              </w:rPr>
            </w:pPr>
            <w:r>
              <w:rPr>
                <w:rFonts w:hint="eastAsia" w:ascii="Times New Roman" w:hAnsi="Times New Roman" w:cs="Times New Roman"/>
                <w:b/>
                <w:color w:val="auto"/>
                <w:sz w:val="21"/>
                <w:szCs w:val="21"/>
                <w:lang w:val="en-US" w:eastAsia="zh-CN"/>
              </w:rPr>
              <w:t xml:space="preserve">表3-12 大气污染物综合排放标准  </w:t>
            </w:r>
            <w:r>
              <w:rPr>
                <w:rFonts w:hint="eastAsia" w:cs="Times New Roman"/>
                <w:b w:val="0"/>
                <w:bCs/>
                <w:color w:val="auto"/>
                <w:sz w:val="21"/>
                <w:szCs w:val="21"/>
                <w:lang w:val="en-US" w:eastAsia="zh-CN"/>
              </w:rPr>
              <w:t>单位：</w:t>
            </w:r>
            <w:r>
              <w:rPr>
                <w:rFonts w:hint="default" w:ascii="Times New Roman" w:hAnsi="Times New Roman" w:eastAsia="宋体" w:cs="Times New Roman"/>
                <w:b w:val="0"/>
                <w:bCs w:val="0"/>
                <w:color w:val="auto"/>
                <w:kern w:val="0"/>
                <w:sz w:val="21"/>
                <w:szCs w:val="21"/>
                <w:lang w:val="zh-CN"/>
              </w:rPr>
              <w:t>mg/m</w:t>
            </w:r>
            <w:r>
              <w:rPr>
                <w:rFonts w:hint="default" w:ascii="Times New Roman" w:hAnsi="Times New Roman" w:eastAsia="宋体" w:cs="Times New Roman"/>
                <w:b w:val="0"/>
                <w:bCs w:val="0"/>
                <w:color w:val="auto"/>
                <w:kern w:val="0"/>
                <w:sz w:val="21"/>
                <w:szCs w:val="21"/>
                <w:vertAlign w:val="superscript"/>
                <w:lang w:val="zh-CN"/>
              </w:rPr>
              <w:t>3</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1993"/>
              <w:gridCol w:w="1993"/>
              <w:gridCol w:w="1995"/>
            </w:tblGrid>
            <w:tr w14:paraId="1C09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top"/>
                </w:tcPr>
                <w:p w14:paraId="770766F5">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zh-CN"/>
                    </w:rPr>
                  </w:pPr>
                  <w:r>
                    <w:rPr>
                      <w:rFonts w:hint="eastAsia" w:ascii="Times New Roman" w:hAnsi="Times New Roman" w:cs="Times New Roman"/>
                      <w:b/>
                      <w:color w:val="auto"/>
                      <w:sz w:val="21"/>
                      <w:szCs w:val="21"/>
                      <w:vertAlign w:val="baseline"/>
                      <w:lang w:val="en-US" w:eastAsia="zh-CN"/>
                    </w:rPr>
                    <w:t>污染物</w:t>
                  </w:r>
                </w:p>
              </w:tc>
              <w:tc>
                <w:tcPr>
                  <w:tcW w:w="1993" w:type="dxa"/>
                  <w:vAlign w:val="top"/>
                </w:tcPr>
                <w:p w14:paraId="2279E40C">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zh-CN"/>
                    </w:rPr>
                  </w:pPr>
                  <w:r>
                    <w:rPr>
                      <w:rFonts w:hint="eastAsia" w:ascii="Times New Roman" w:hAnsi="Times New Roman" w:cs="Times New Roman"/>
                      <w:color w:val="auto"/>
                      <w:kern w:val="0"/>
                      <w:sz w:val="21"/>
                      <w:szCs w:val="21"/>
                      <w:lang w:val="en-US" w:eastAsia="zh-CN"/>
                    </w:rPr>
                    <w:t>颗粒物</w:t>
                  </w:r>
                </w:p>
              </w:tc>
              <w:tc>
                <w:tcPr>
                  <w:tcW w:w="1993" w:type="dxa"/>
                  <w:vAlign w:val="top"/>
                </w:tcPr>
                <w:p w14:paraId="48FAFE9F">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zh-CN"/>
                    </w:rPr>
                  </w:pPr>
                  <w:r>
                    <w:rPr>
                      <w:rFonts w:hint="default" w:ascii="Times New Roman" w:hAnsi="Times New Roman" w:cs="Times New Roman"/>
                      <w:color w:val="auto"/>
                      <w:kern w:val="0"/>
                      <w:sz w:val="21"/>
                      <w:szCs w:val="21"/>
                      <w:lang w:val="en-US" w:eastAsia="zh-CN"/>
                    </w:rPr>
                    <w:t>SO</w:t>
                  </w:r>
                  <w:r>
                    <w:rPr>
                      <w:rFonts w:hint="default" w:ascii="Times New Roman" w:hAnsi="Times New Roman" w:cs="Times New Roman"/>
                      <w:color w:val="auto"/>
                      <w:kern w:val="0"/>
                      <w:sz w:val="21"/>
                      <w:szCs w:val="21"/>
                      <w:vertAlign w:val="subscript"/>
                      <w:lang w:val="en-US" w:eastAsia="zh-CN"/>
                    </w:rPr>
                    <w:t>2</w:t>
                  </w:r>
                </w:p>
              </w:tc>
              <w:tc>
                <w:tcPr>
                  <w:tcW w:w="1995" w:type="dxa"/>
                  <w:vAlign w:val="top"/>
                </w:tcPr>
                <w:p w14:paraId="4047A9D4">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zh-CN"/>
                    </w:rPr>
                  </w:pPr>
                  <w:r>
                    <w:rPr>
                      <w:rFonts w:hint="default" w:ascii="Times New Roman" w:hAnsi="Times New Roman" w:cs="Times New Roman"/>
                      <w:color w:val="auto"/>
                      <w:kern w:val="0"/>
                      <w:sz w:val="21"/>
                      <w:szCs w:val="21"/>
                      <w:lang w:val="en-US" w:eastAsia="zh-CN"/>
                    </w:rPr>
                    <w:t>NO</w:t>
                  </w:r>
                  <w:r>
                    <w:rPr>
                      <w:rFonts w:hint="default" w:ascii="Times New Roman" w:hAnsi="Times New Roman" w:cs="Times New Roman"/>
                      <w:color w:val="auto"/>
                      <w:kern w:val="0"/>
                      <w:sz w:val="21"/>
                      <w:szCs w:val="21"/>
                      <w:vertAlign w:val="subscript"/>
                      <w:lang w:val="en-US" w:eastAsia="zh-CN"/>
                    </w:rPr>
                    <w:t>X</w:t>
                  </w:r>
                </w:p>
              </w:tc>
            </w:tr>
            <w:tr w14:paraId="43326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3" w:type="dxa"/>
                  <w:vAlign w:val="top"/>
                </w:tcPr>
                <w:p w14:paraId="707C9947">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en-US"/>
                    </w:rPr>
                  </w:pPr>
                  <w:r>
                    <w:rPr>
                      <w:rFonts w:hint="eastAsia" w:cs="Times New Roman"/>
                      <w:b/>
                      <w:color w:val="auto"/>
                      <w:sz w:val="21"/>
                      <w:szCs w:val="21"/>
                      <w:vertAlign w:val="baseline"/>
                      <w:lang w:val="en-US" w:eastAsia="zh-CN"/>
                    </w:rPr>
                    <w:t>最高允许排放浓度</w:t>
                  </w:r>
                </w:p>
              </w:tc>
              <w:tc>
                <w:tcPr>
                  <w:tcW w:w="1993" w:type="dxa"/>
                  <w:vAlign w:val="top"/>
                </w:tcPr>
                <w:p w14:paraId="2C334595">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en-US"/>
                    </w:rPr>
                  </w:pPr>
                  <w:r>
                    <w:rPr>
                      <w:rFonts w:hint="eastAsia" w:cs="Times New Roman"/>
                      <w:b w:val="0"/>
                      <w:bCs/>
                      <w:color w:val="auto"/>
                      <w:sz w:val="21"/>
                      <w:szCs w:val="21"/>
                      <w:vertAlign w:val="baseline"/>
                      <w:lang w:val="en-US" w:eastAsia="zh-CN"/>
                    </w:rPr>
                    <w:t>120</w:t>
                  </w:r>
                </w:p>
              </w:tc>
              <w:tc>
                <w:tcPr>
                  <w:tcW w:w="1993" w:type="dxa"/>
                  <w:vAlign w:val="top"/>
                </w:tcPr>
                <w:p w14:paraId="0159E34F">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en-US"/>
                    </w:rPr>
                  </w:pPr>
                  <w:r>
                    <w:rPr>
                      <w:rFonts w:hint="eastAsia" w:cs="Times New Roman"/>
                      <w:b w:val="0"/>
                      <w:bCs/>
                      <w:color w:val="auto"/>
                      <w:sz w:val="21"/>
                      <w:szCs w:val="21"/>
                      <w:vertAlign w:val="baseline"/>
                      <w:lang w:val="en-US" w:eastAsia="zh-CN"/>
                    </w:rPr>
                    <w:t>550</w:t>
                  </w:r>
                </w:p>
              </w:tc>
              <w:tc>
                <w:tcPr>
                  <w:tcW w:w="1995" w:type="dxa"/>
                  <w:vAlign w:val="top"/>
                </w:tcPr>
                <w:p w14:paraId="53152F4F">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b/>
                      <w:color w:val="auto"/>
                      <w:sz w:val="21"/>
                      <w:szCs w:val="21"/>
                      <w:vertAlign w:val="baseline"/>
                      <w:lang w:val="en-US"/>
                    </w:rPr>
                  </w:pPr>
                  <w:r>
                    <w:rPr>
                      <w:rFonts w:hint="eastAsia" w:cs="Times New Roman"/>
                      <w:b w:val="0"/>
                      <w:bCs/>
                      <w:color w:val="auto"/>
                      <w:sz w:val="21"/>
                      <w:szCs w:val="21"/>
                      <w:vertAlign w:val="baseline"/>
                      <w:lang w:val="en-US" w:eastAsia="zh-CN"/>
                    </w:rPr>
                    <w:t>240</w:t>
                  </w:r>
                </w:p>
              </w:tc>
            </w:tr>
          </w:tbl>
          <w:p w14:paraId="2F7D5FB0">
            <w:pPr>
              <w:pStyle w:val="11"/>
              <w:spacing w:after="0"/>
              <w:jc w:val="center"/>
              <w:rPr>
                <w:rFonts w:hint="default" w:ascii="Times New Roman" w:hAnsi="Times New Roman" w:eastAsia="宋体" w:cs="Times New Roman"/>
                <w:b/>
                <w:color w:val="000000"/>
                <w:sz w:val="21"/>
                <w:szCs w:val="21"/>
                <w:lang w:val="zh-CN"/>
              </w:rPr>
            </w:pPr>
          </w:p>
          <w:p w14:paraId="4C1C0CD3">
            <w:pPr>
              <w:adjustRightInd w:val="0"/>
              <w:snapToGrid w:val="0"/>
              <w:spacing w:line="360" w:lineRule="auto"/>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2、水污染物排放标准</w:t>
            </w:r>
          </w:p>
          <w:p w14:paraId="5C492D91">
            <w:pPr>
              <w:widowControl/>
              <w:spacing w:line="360" w:lineRule="auto"/>
              <w:ind w:firstLine="480" w:firstLineChars="200"/>
              <w:rPr>
                <w:rFonts w:hint="default" w:ascii="Times New Roman" w:hAnsi="Times New Roman" w:eastAsia="宋体" w:cs="Times New Roman"/>
                <w:kern w:val="0"/>
                <w:sz w:val="24"/>
                <w:szCs w:val="24"/>
              </w:rPr>
            </w:pPr>
            <w:r>
              <w:rPr>
                <w:rFonts w:hint="default" w:ascii="Times New Roman" w:hAnsi="Times New Roman" w:cs="Times New Roman"/>
                <w:color w:val="000000" w:themeColor="text1"/>
                <w:kern w:val="0"/>
                <w:sz w:val="24"/>
                <w:szCs w:val="24"/>
                <w:lang w:val="en-US" w:eastAsia="zh-CN"/>
              </w:rPr>
              <w:t>项目</w:t>
            </w:r>
            <w:r>
              <w:rPr>
                <w:rFonts w:hint="eastAsia" w:ascii="Times New Roman" w:hAnsi="Times New Roman" w:cs="Times New Roman"/>
                <w:color w:val="000000" w:themeColor="text1"/>
                <w:kern w:val="0"/>
                <w:sz w:val="24"/>
                <w:szCs w:val="24"/>
                <w:lang w:val="en-US" w:eastAsia="zh-CN"/>
              </w:rPr>
              <w:t>办公楼生活污水和食堂废水</w:t>
            </w:r>
            <w:r>
              <w:rPr>
                <w:rFonts w:hint="eastAsia" w:cs="Times New Roman"/>
                <w:color w:val="000000" w:themeColor="text1"/>
                <w:kern w:val="0"/>
                <w:sz w:val="24"/>
                <w:szCs w:val="24"/>
                <w:lang w:val="en-US" w:eastAsia="zh-CN"/>
              </w:rPr>
              <w:t>分别</w:t>
            </w:r>
            <w:r>
              <w:rPr>
                <w:rFonts w:hint="eastAsia" w:ascii="Times New Roman" w:hAnsi="Times New Roman" w:cs="Times New Roman"/>
                <w:color w:val="000000" w:themeColor="text1"/>
                <w:kern w:val="0"/>
                <w:sz w:val="24"/>
                <w:szCs w:val="24"/>
                <w:lang w:val="en-US" w:eastAsia="zh-CN"/>
              </w:rPr>
              <w:t>经化粪池</w:t>
            </w:r>
            <w:r>
              <w:rPr>
                <w:rFonts w:hint="eastAsia" w:cs="Times New Roman"/>
                <w:color w:val="000000" w:themeColor="text1"/>
                <w:kern w:val="0"/>
                <w:sz w:val="24"/>
                <w:szCs w:val="24"/>
                <w:lang w:val="en-US" w:eastAsia="zh-CN"/>
              </w:rPr>
              <w:t>和隔油池预</w:t>
            </w:r>
            <w:r>
              <w:rPr>
                <w:rFonts w:hint="eastAsia" w:ascii="Times New Roman" w:hAnsi="Times New Roman" w:cs="Times New Roman"/>
                <w:color w:val="000000" w:themeColor="text1"/>
                <w:kern w:val="0"/>
                <w:sz w:val="24"/>
                <w:szCs w:val="24"/>
                <w:lang w:val="en-US" w:eastAsia="zh-CN"/>
              </w:rPr>
              <w:t>处理后进入综合污水处理站，传染病科废水经传染病废水处理系统处理后进入综合污水处理站，项目所有</w:t>
            </w:r>
            <w:r>
              <w:rPr>
                <w:rFonts w:hint="default" w:ascii="Times New Roman" w:hAnsi="Times New Roman" w:cs="Times New Roman"/>
                <w:color w:val="000000" w:themeColor="text1"/>
                <w:kern w:val="0"/>
                <w:sz w:val="24"/>
                <w:szCs w:val="24"/>
                <w:lang w:val="en-US" w:eastAsia="zh-CN"/>
              </w:rPr>
              <w:t>污水</w:t>
            </w:r>
            <w:r>
              <w:rPr>
                <w:rFonts w:hint="eastAsia" w:ascii="Times New Roman" w:hAnsi="Times New Roman" w:cs="Times New Roman"/>
                <w:color w:val="000000" w:themeColor="text1"/>
                <w:kern w:val="0"/>
                <w:sz w:val="24"/>
                <w:szCs w:val="24"/>
                <w:lang w:val="en-US" w:eastAsia="zh-CN"/>
              </w:rPr>
              <w:t>一同</w:t>
            </w:r>
            <w:r>
              <w:rPr>
                <w:rFonts w:hint="default" w:ascii="Times New Roman" w:hAnsi="Times New Roman" w:cs="Times New Roman"/>
                <w:color w:val="000000" w:themeColor="text1"/>
                <w:kern w:val="0"/>
                <w:sz w:val="24"/>
                <w:szCs w:val="24"/>
                <w:lang w:val="en-US" w:eastAsia="zh-CN"/>
              </w:rPr>
              <w:t>经</w:t>
            </w:r>
            <w:r>
              <w:rPr>
                <w:rFonts w:hint="eastAsia" w:ascii="Times New Roman" w:hAnsi="Times New Roman" w:cs="Times New Roman"/>
                <w:color w:val="000000" w:themeColor="text1"/>
                <w:kern w:val="0"/>
                <w:sz w:val="24"/>
                <w:szCs w:val="24"/>
                <w:lang w:val="en-US" w:eastAsia="zh-CN"/>
              </w:rPr>
              <w:t>综合污水处理站处理达标排入</w:t>
            </w:r>
            <w:r>
              <w:rPr>
                <w:rFonts w:hint="default" w:ascii="Times New Roman" w:hAnsi="Times New Roman" w:cs="Times New Roman"/>
                <w:color w:val="000000" w:themeColor="text1"/>
                <w:kern w:val="0"/>
                <w:sz w:val="24"/>
                <w:szCs w:val="24"/>
                <w:lang w:val="en-US" w:eastAsia="zh-CN"/>
              </w:rPr>
              <w:t>市政污水管网</w:t>
            </w:r>
            <w:r>
              <w:rPr>
                <w:rFonts w:hint="eastAsia" w:ascii="Times New Roman" w:hAnsi="Times New Roman" w:cs="Times New Roman"/>
                <w:color w:val="000000" w:themeColor="text1"/>
                <w:kern w:val="0"/>
                <w:sz w:val="24"/>
                <w:szCs w:val="24"/>
                <w:lang w:val="en-US" w:eastAsia="zh-CN"/>
              </w:rPr>
              <w:t>，</w:t>
            </w:r>
            <w:r>
              <w:rPr>
                <w:rFonts w:hint="default" w:ascii="Times New Roman" w:hAnsi="Times New Roman" w:cs="Times New Roman"/>
                <w:kern w:val="0"/>
                <w:sz w:val="24"/>
                <w:szCs w:val="24"/>
                <w:lang w:val="en-US" w:eastAsia="zh-CN"/>
              </w:rPr>
              <w:t>最终进入南津港污水处理厂处理达标后排入东洞庭湖，因此综合污水排放执行《医疗机构水污染物排放标准》（GB18466-2005）中表2的预处理标准并满足南津港污水处理厂接管标准要求（两者污染因子相同取要求更严格者），</w:t>
            </w:r>
            <w:r>
              <w:rPr>
                <w:rFonts w:hint="eastAsia" w:cs="Times New Roman"/>
                <w:kern w:val="0"/>
                <w:sz w:val="24"/>
                <w:szCs w:val="24"/>
                <w:lang w:val="en-US" w:eastAsia="zh-CN"/>
              </w:rPr>
              <w:t>南津港污水处理厂排放标准执行《城镇污水处理厂污染物排放标准》（GB 18918-2002）中一级A标准，</w:t>
            </w:r>
            <w:r>
              <w:rPr>
                <w:rFonts w:hint="default" w:ascii="Times New Roman" w:hAnsi="Times New Roman" w:cs="Times New Roman"/>
                <w:kern w:val="0"/>
                <w:sz w:val="24"/>
                <w:szCs w:val="24"/>
                <w:lang w:val="en-US" w:eastAsia="zh-CN"/>
              </w:rPr>
              <w:t>详见下表</w:t>
            </w:r>
            <w:r>
              <w:rPr>
                <w:rFonts w:hint="default" w:ascii="Times New Roman" w:hAnsi="Times New Roman" w:eastAsia="宋体" w:cs="Times New Roman"/>
                <w:kern w:val="0"/>
                <w:sz w:val="24"/>
                <w:szCs w:val="24"/>
              </w:rPr>
              <w:t>。</w:t>
            </w:r>
          </w:p>
          <w:p w14:paraId="1830A28B">
            <w:pPr>
              <w:pStyle w:val="11"/>
              <w:spacing w:after="0"/>
              <w:jc w:val="center"/>
              <w:rPr>
                <w:rFonts w:hint="default" w:ascii="Times New Roman" w:hAnsi="Times New Roman" w:eastAsia="宋体" w:cs="Times New Roman"/>
                <w:b/>
                <w:color w:val="000000"/>
                <w:sz w:val="21"/>
                <w:szCs w:val="21"/>
                <w:lang w:val="en-US" w:eastAsia="zh-CN"/>
              </w:rPr>
            </w:pPr>
            <w:r>
              <w:rPr>
                <w:rFonts w:hint="eastAsia" w:ascii="Times New Roman" w:hAnsi="Times New Roman" w:cs="Times New Roman"/>
                <w:b/>
                <w:color w:val="000000"/>
                <w:sz w:val="21"/>
                <w:szCs w:val="21"/>
                <w:lang w:val="en-US" w:eastAsia="zh-CN"/>
              </w:rPr>
              <w:t xml:space="preserve">表3-13 </w:t>
            </w:r>
            <w:r>
              <w:rPr>
                <w:rFonts w:hint="default" w:ascii="Times New Roman" w:hAnsi="Times New Roman" w:eastAsia="宋体" w:cs="Times New Roman"/>
                <w:b/>
                <w:color w:val="000000"/>
                <w:sz w:val="21"/>
                <w:szCs w:val="21"/>
                <w:lang w:val="zh-CN"/>
              </w:rPr>
              <w:t>废水污染物排放标准</w:t>
            </w:r>
            <w:r>
              <w:rPr>
                <w:rFonts w:hint="default" w:ascii="Times New Roman" w:hAnsi="Times New Roman" w:cs="Times New Roman"/>
                <w:b/>
                <w:color w:val="000000"/>
                <w:sz w:val="21"/>
                <w:szCs w:val="21"/>
                <w:lang w:val="en-US" w:eastAsia="zh-CN"/>
              </w:rPr>
              <w:t xml:space="preserve">  </w:t>
            </w:r>
            <w:r>
              <w:rPr>
                <w:rFonts w:hint="default" w:ascii="Times New Roman" w:hAnsi="Times New Roman" w:eastAsia="宋体" w:cs="Times New Roman"/>
                <w:color w:val="000000"/>
                <w:kern w:val="0"/>
                <w:sz w:val="21"/>
                <w:szCs w:val="21"/>
              </w:rPr>
              <w:t>单位：mg/L（</w:t>
            </w:r>
            <w:r>
              <w:rPr>
                <w:rFonts w:hint="default" w:ascii="Times New Roman" w:hAnsi="Times New Roman" w:eastAsia="宋体" w:cs="Times New Roman"/>
                <w:color w:val="000000"/>
                <w:sz w:val="21"/>
                <w:szCs w:val="21"/>
              </w:rPr>
              <w:t>pH 除外）</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8"/>
              <w:gridCol w:w="2466"/>
              <w:gridCol w:w="1416"/>
              <w:gridCol w:w="1434"/>
            </w:tblGrid>
            <w:tr w14:paraId="135B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658" w:type="dxa"/>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FC11CC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000000"/>
                      <w:sz w:val="21"/>
                      <w:szCs w:val="21"/>
                      <w:vertAlign w:val="baseline"/>
                      <w:lang w:val="zh-CN"/>
                    </w:rPr>
                  </w:pPr>
                </w:p>
                <w:p w14:paraId="6994619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both"/>
                    <w:textAlignment w:val="auto"/>
                    <mc:AlternateContent>
                      <mc:Choice Requires="wpsCustomData">
                        <wpsCustomData:diagonalParaType/>
                      </mc:Choice>
                    </mc:AlternateContent>
                    <w:rPr>
                      <w:rFonts w:hint="eastAsia" w:ascii="Times New Roman" w:hAnsi="Times New Roman" w:eastAsia="宋体" w:cs="Times New Roman"/>
                      <w:b/>
                      <w:color w:val="000000"/>
                      <w:sz w:val="21"/>
                      <w:szCs w:val="21"/>
                      <w:vertAlign w:val="baseline"/>
                      <w:lang w:val="en-US" w:eastAsia="zh-CN"/>
                    </w:rPr>
                  </w:pPr>
                  <w:r>
                    <w:rPr>
                      <w:rFonts w:hint="eastAsia" w:ascii="Times New Roman" w:hAnsi="Times New Roman" w:cs="Times New Roman"/>
                      <w:b/>
                      <w:color w:val="000000"/>
                      <w:sz w:val="21"/>
                      <w:szCs w:val="21"/>
                      <w:vertAlign w:val="baseline"/>
                      <w:lang w:val="en-US" w:eastAsia="zh-CN"/>
                    </w:rPr>
                    <w:t>污染因子</w:t>
                  </w:r>
                </w:p>
                <w:p w14:paraId="7E9A25D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right"/>
                    <w:textAlignment w:val="auto"/>
                    <w:rPr>
                      <w:rFonts w:hint="eastAsia" w:ascii="Times New Roman" w:hAnsi="Times New Roman" w:eastAsia="宋体" w:cs="Times New Roman"/>
                      <w:b/>
                      <w:color w:val="000000"/>
                      <w:sz w:val="21"/>
                      <w:szCs w:val="21"/>
                      <w:vertAlign w:val="baseline"/>
                      <w:lang w:val="en-US" w:eastAsia="zh-CN"/>
                    </w:rPr>
                  </w:pPr>
                  <w:r>
                    <w:rPr>
                      <w:rFonts w:hint="eastAsia" w:ascii="Times New Roman" w:hAnsi="Times New Roman" w:cs="Times New Roman"/>
                      <w:b/>
                      <w:color w:val="000000"/>
                      <w:sz w:val="21"/>
                      <w:szCs w:val="21"/>
                      <w:vertAlign w:val="baseline"/>
                      <w:lang w:val="en-US" w:eastAsia="zh-CN"/>
                    </w:rPr>
                    <w:t>执行标准</w:t>
                  </w:r>
                </w:p>
              </w:tc>
              <w:tc>
                <w:tcPr>
                  <w:tcW w:w="2466" w:type="dxa"/>
                  <w:vAlign w:val="center"/>
                </w:tcPr>
                <w:p w14:paraId="7630F415">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color w:val="000000"/>
                      <w:sz w:val="21"/>
                      <w:szCs w:val="21"/>
                      <w:vertAlign w:val="baseline"/>
                      <w:lang w:val="en-US" w:eastAsia="zh-CN"/>
                    </w:rPr>
                  </w:pPr>
                  <w:r>
                    <w:rPr>
                      <w:rFonts w:hint="eastAsia" w:ascii="Times New Roman" w:hAnsi="Times New Roman" w:eastAsia="宋体" w:cs="Times New Roman"/>
                      <w:b/>
                      <w:color w:val="000000"/>
                      <w:sz w:val="21"/>
                      <w:szCs w:val="21"/>
                      <w:vertAlign w:val="baseline"/>
                      <w:lang w:val="en-US" w:eastAsia="zh-CN"/>
                    </w:rPr>
                    <w:t>《医疗机构水污染物排放标准》</w:t>
                  </w:r>
                  <w:r>
                    <w:rPr>
                      <w:rFonts w:hint="eastAsia" w:ascii="Times New Roman" w:hAnsi="Times New Roman" w:cs="Times New Roman"/>
                      <w:b/>
                      <w:color w:val="000000"/>
                      <w:sz w:val="21"/>
                      <w:szCs w:val="21"/>
                      <w:vertAlign w:val="baseline"/>
                      <w:lang w:val="en-US" w:eastAsia="zh-CN"/>
                    </w:rPr>
                    <w:t>预处理标准</w:t>
                  </w:r>
                </w:p>
              </w:tc>
              <w:tc>
                <w:tcPr>
                  <w:tcW w:w="1416" w:type="dxa"/>
                  <w:vAlign w:val="center"/>
                </w:tcPr>
                <w:p w14:paraId="12C7874B">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color w:val="000000"/>
                      <w:sz w:val="21"/>
                      <w:szCs w:val="21"/>
                      <w:vertAlign w:val="baseline"/>
                      <w:lang w:val="zh-CN"/>
                    </w:rPr>
                  </w:pPr>
                  <w:r>
                    <w:rPr>
                      <w:rFonts w:hint="default" w:ascii="Times New Roman" w:hAnsi="Times New Roman" w:eastAsia="宋体" w:cs="Times New Roman"/>
                      <w:b/>
                      <w:color w:val="000000"/>
                      <w:sz w:val="21"/>
                      <w:szCs w:val="21"/>
                      <w:vertAlign w:val="baseline"/>
                      <w:lang w:val="zh-CN"/>
                    </w:rPr>
                    <w:t>南津港污水厂接管标准</w:t>
                  </w:r>
                </w:p>
              </w:tc>
              <w:tc>
                <w:tcPr>
                  <w:tcW w:w="1434" w:type="dxa"/>
                  <w:vAlign w:val="center"/>
                </w:tcPr>
                <w:p w14:paraId="7FC3BF1C">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color w:val="000000" w:themeColor="text1"/>
                      <w:sz w:val="21"/>
                      <w:szCs w:val="21"/>
                      <w:vertAlign w:val="baseline"/>
                      <w:lang w:val="en-US" w:eastAsia="zh-CN"/>
                    </w:rPr>
                  </w:pPr>
                  <w:r>
                    <w:rPr>
                      <w:rFonts w:hint="default" w:ascii="Times New Roman" w:hAnsi="Times New Roman" w:eastAsia="宋体" w:cs="Times New Roman"/>
                      <w:b/>
                      <w:color w:val="000000" w:themeColor="text1"/>
                      <w:sz w:val="21"/>
                      <w:szCs w:val="21"/>
                      <w:vertAlign w:val="baseline"/>
                      <w:lang w:val="zh-CN"/>
                    </w:rPr>
                    <w:t>南津港污水厂</w:t>
                  </w:r>
                  <w:r>
                    <w:rPr>
                      <w:rFonts w:hint="eastAsia" w:cs="Times New Roman"/>
                      <w:b/>
                      <w:color w:val="000000" w:themeColor="text1"/>
                      <w:sz w:val="21"/>
                      <w:szCs w:val="21"/>
                      <w:vertAlign w:val="baseline"/>
                      <w:lang w:val="en-US" w:eastAsia="zh-CN"/>
                    </w:rPr>
                    <w:t>排放标准</w:t>
                  </w:r>
                </w:p>
              </w:tc>
            </w:tr>
            <w:tr w14:paraId="2F45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4B29F3E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粪大肠菌群（MPN/L）</w:t>
                  </w:r>
                </w:p>
              </w:tc>
              <w:tc>
                <w:tcPr>
                  <w:tcW w:w="2466" w:type="dxa"/>
                  <w:vAlign w:val="center"/>
                </w:tcPr>
                <w:p w14:paraId="78E241A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5000</w:t>
                  </w:r>
                </w:p>
              </w:tc>
              <w:tc>
                <w:tcPr>
                  <w:tcW w:w="1416" w:type="dxa"/>
                  <w:vAlign w:val="center"/>
                </w:tcPr>
                <w:p w14:paraId="7564A76B">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104D6B42">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w:t>
                  </w:r>
                </w:p>
              </w:tc>
            </w:tr>
            <w:tr w14:paraId="459A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3086E70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肠道致病菌</w:t>
                  </w:r>
                  <w:r>
                    <w:rPr>
                      <w:rFonts w:hint="eastAsia" w:ascii="Times New Roman" w:hAnsi="Times New Roman" w:cs="Times New Roman"/>
                      <w:b w:val="0"/>
                      <w:bCs/>
                      <w:color w:val="000000" w:themeColor="text1"/>
                      <w:sz w:val="21"/>
                      <w:szCs w:val="21"/>
                      <w:vertAlign w:val="superscript"/>
                      <w:lang w:val="en-US" w:eastAsia="zh-CN"/>
                    </w:rPr>
                    <w:t>b</w:t>
                  </w:r>
                </w:p>
              </w:tc>
              <w:tc>
                <w:tcPr>
                  <w:tcW w:w="2466" w:type="dxa"/>
                  <w:vAlign w:val="center"/>
                </w:tcPr>
                <w:p w14:paraId="29FEA63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不得检出</w:t>
                  </w:r>
                </w:p>
              </w:tc>
              <w:tc>
                <w:tcPr>
                  <w:tcW w:w="1416" w:type="dxa"/>
                  <w:vAlign w:val="center"/>
                </w:tcPr>
                <w:p w14:paraId="58B1C5B1">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60F6A507">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w:t>
                  </w:r>
                </w:p>
              </w:tc>
            </w:tr>
            <w:tr w14:paraId="0CC97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05196AC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肠道病毒</w:t>
                  </w:r>
                </w:p>
              </w:tc>
              <w:tc>
                <w:tcPr>
                  <w:tcW w:w="2466" w:type="dxa"/>
                  <w:vAlign w:val="center"/>
                </w:tcPr>
                <w:p w14:paraId="5A84F17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不得检出</w:t>
                  </w:r>
                </w:p>
              </w:tc>
              <w:tc>
                <w:tcPr>
                  <w:tcW w:w="1416" w:type="dxa"/>
                  <w:vAlign w:val="center"/>
                </w:tcPr>
                <w:p w14:paraId="5BB321C1">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10664594">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w:t>
                  </w:r>
                </w:p>
              </w:tc>
            </w:tr>
            <w:tr w14:paraId="07130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451FC58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化学需氧量</w:t>
                  </w:r>
                </w:p>
              </w:tc>
              <w:tc>
                <w:tcPr>
                  <w:tcW w:w="2466" w:type="dxa"/>
                  <w:vAlign w:val="center"/>
                </w:tcPr>
                <w:p w14:paraId="7A4A8DD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250</w:t>
                  </w:r>
                </w:p>
              </w:tc>
              <w:tc>
                <w:tcPr>
                  <w:tcW w:w="1416" w:type="dxa"/>
                  <w:vAlign w:val="center"/>
                </w:tcPr>
                <w:p w14:paraId="11669EA0">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500</w:t>
                  </w:r>
                </w:p>
              </w:tc>
              <w:tc>
                <w:tcPr>
                  <w:tcW w:w="1434" w:type="dxa"/>
                  <w:vAlign w:val="center"/>
                </w:tcPr>
                <w:p w14:paraId="34A38DFF">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50</w:t>
                  </w:r>
                </w:p>
              </w:tc>
            </w:tr>
            <w:tr w14:paraId="6399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7296697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氨氮</w:t>
                  </w:r>
                </w:p>
              </w:tc>
              <w:tc>
                <w:tcPr>
                  <w:tcW w:w="2466" w:type="dxa"/>
                  <w:vAlign w:val="center"/>
                </w:tcPr>
                <w:p w14:paraId="678C8DE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w:t>
                  </w:r>
                </w:p>
              </w:tc>
              <w:tc>
                <w:tcPr>
                  <w:tcW w:w="1416" w:type="dxa"/>
                  <w:vAlign w:val="center"/>
                </w:tcPr>
                <w:p w14:paraId="6DB82015">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25</w:t>
                  </w:r>
                </w:p>
              </w:tc>
              <w:tc>
                <w:tcPr>
                  <w:tcW w:w="1434" w:type="dxa"/>
                  <w:vAlign w:val="center"/>
                </w:tcPr>
                <w:p w14:paraId="621CC969">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5（8）</w:t>
                  </w:r>
                </w:p>
              </w:tc>
            </w:tr>
            <w:tr w14:paraId="3F29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1070E82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pH</w:t>
                  </w:r>
                </w:p>
              </w:tc>
              <w:tc>
                <w:tcPr>
                  <w:tcW w:w="2466" w:type="dxa"/>
                  <w:vAlign w:val="center"/>
                </w:tcPr>
                <w:p w14:paraId="52182E57">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6-9</w:t>
                  </w:r>
                </w:p>
              </w:tc>
              <w:tc>
                <w:tcPr>
                  <w:tcW w:w="1416" w:type="dxa"/>
                  <w:vAlign w:val="center"/>
                </w:tcPr>
                <w:p w14:paraId="5AF451DB">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6-9</w:t>
                  </w:r>
                </w:p>
              </w:tc>
              <w:tc>
                <w:tcPr>
                  <w:tcW w:w="1434" w:type="dxa"/>
                  <w:vAlign w:val="center"/>
                </w:tcPr>
                <w:p w14:paraId="09FD30C9">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6-9</w:t>
                  </w:r>
                </w:p>
              </w:tc>
            </w:tr>
            <w:tr w14:paraId="3E82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4507A87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悬浮物</w:t>
                  </w:r>
                </w:p>
              </w:tc>
              <w:tc>
                <w:tcPr>
                  <w:tcW w:w="2466" w:type="dxa"/>
                  <w:vAlign w:val="center"/>
                </w:tcPr>
                <w:p w14:paraId="41F948A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60</w:t>
                  </w:r>
                </w:p>
              </w:tc>
              <w:tc>
                <w:tcPr>
                  <w:tcW w:w="1416" w:type="dxa"/>
                  <w:vAlign w:val="center"/>
                </w:tcPr>
                <w:p w14:paraId="12413DCC">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200</w:t>
                  </w:r>
                </w:p>
              </w:tc>
              <w:tc>
                <w:tcPr>
                  <w:tcW w:w="1434" w:type="dxa"/>
                  <w:vAlign w:val="center"/>
                </w:tcPr>
                <w:p w14:paraId="6EF81EC3">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10</w:t>
                  </w:r>
                </w:p>
              </w:tc>
            </w:tr>
            <w:tr w14:paraId="0282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574A301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五日生化需氧量</w:t>
                  </w:r>
                </w:p>
              </w:tc>
              <w:tc>
                <w:tcPr>
                  <w:tcW w:w="2466" w:type="dxa"/>
                  <w:vAlign w:val="center"/>
                </w:tcPr>
                <w:p w14:paraId="0FE080E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100</w:t>
                  </w:r>
                </w:p>
              </w:tc>
              <w:tc>
                <w:tcPr>
                  <w:tcW w:w="1416" w:type="dxa"/>
                  <w:vAlign w:val="center"/>
                </w:tcPr>
                <w:p w14:paraId="755990A0">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130</w:t>
                  </w:r>
                </w:p>
              </w:tc>
              <w:tc>
                <w:tcPr>
                  <w:tcW w:w="1434" w:type="dxa"/>
                  <w:vAlign w:val="center"/>
                </w:tcPr>
                <w:p w14:paraId="5A5ED0F7">
                  <w:pPr>
                    <w:pStyle w:val="11"/>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10</w:t>
                  </w:r>
                </w:p>
              </w:tc>
            </w:tr>
            <w:tr w14:paraId="14CD4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5966581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动植物油</w:t>
                  </w:r>
                </w:p>
              </w:tc>
              <w:tc>
                <w:tcPr>
                  <w:tcW w:w="2466" w:type="dxa"/>
                  <w:vAlign w:val="center"/>
                </w:tcPr>
                <w:p w14:paraId="7BA6DE8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20</w:t>
                  </w:r>
                </w:p>
              </w:tc>
              <w:tc>
                <w:tcPr>
                  <w:tcW w:w="1416" w:type="dxa"/>
                  <w:vAlign w:val="center"/>
                </w:tcPr>
                <w:p w14:paraId="3058CE8F">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022E15FD">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1</w:t>
                  </w:r>
                </w:p>
              </w:tc>
            </w:tr>
            <w:tr w14:paraId="2DA8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5336A9A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石油类</w:t>
                  </w:r>
                </w:p>
              </w:tc>
              <w:tc>
                <w:tcPr>
                  <w:tcW w:w="2466" w:type="dxa"/>
                  <w:vAlign w:val="center"/>
                </w:tcPr>
                <w:p w14:paraId="0959D2EF">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20</w:t>
                  </w:r>
                </w:p>
              </w:tc>
              <w:tc>
                <w:tcPr>
                  <w:tcW w:w="1416" w:type="dxa"/>
                  <w:vAlign w:val="center"/>
                </w:tcPr>
                <w:p w14:paraId="7AB2282A">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03F02DA5">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1</w:t>
                  </w:r>
                </w:p>
              </w:tc>
            </w:tr>
            <w:tr w14:paraId="2ABA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1A69C55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阴离子表面活性剂</w:t>
                  </w:r>
                </w:p>
              </w:tc>
              <w:tc>
                <w:tcPr>
                  <w:tcW w:w="2466" w:type="dxa"/>
                  <w:vAlign w:val="center"/>
                </w:tcPr>
                <w:p w14:paraId="4B3778D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10</w:t>
                  </w:r>
                </w:p>
              </w:tc>
              <w:tc>
                <w:tcPr>
                  <w:tcW w:w="1416" w:type="dxa"/>
                  <w:vAlign w:val="center"/>
                </w:tcPr>
                <w:p w14:paraId="22D2FFBC">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657A1F25">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cs="Times New Roman"/>
                      <w:b w:val="0"/>
                      <w:bCs/>
                      <w:color w:val="000000" w:themeColor="text1"/>
                      <w:sz w:val="21"/>
                      <w:szCs w:val="21"/>
                      <w:vertAlign w:val="baseline"/>
                      <w:lang w:val="en-US" w:eastAsia="zh-CN"/>
                    </w:rPr>
                    <w:t>0.5</w:t>
                  </w:r>
                </w:p>
              </w:tc>
            </w:tr>
            <w:tr w14:paraId="4A3E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3858B9E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挥发酚</w:t>
                  </w:r>
                </w:p>
              </w:tc>
              <w:tc>
                <w:tcPr>
                  <w:tcW w:w="2466" w:type="dxa"/>
                  <w:vAlign w:val="center"/>
                </w:tcPr>
                <w:p w14:paraId="6988EAC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1.0</w:t>
                  </w:r>
                </w:p>
              </w:tc>
              <w:tc>
                <w:tcPr>
                  <w:tcW w:w="1416" w:type="dxa"/>
                  <w:vAlign w:val="center"/>
                </w:tcPr>
                <w:p w14:paraId="1F292902">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5F670E56">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FF0000"/>
                      <w:sz w:val="21"/>
                      <w:szCs w:val="21"/>
                      <w:vertAlign w:val="baseline"/>
                      <w:lang w:val="en-US" w:eastAsia="zh-CN"/>
                    </w:rPr>
                  </w:pPr>
                  <w:r>
                    <w:rPr>
                      <w:rFonts w:hint="eastAsia" w:cs="Times New Roman"/>
                      <w:b w:val="0"/>
                      <w:bCs/>
                      <w:color w:val="FF0000"/>
                      <w:sz w:val="21"/>
                      <w:szCs w:val="21"/>
                      <w:vertAlign w:val="baseline"/>
                      <w:lang w:val="en-US" w:eastAsia="zh-CN"/>
                    </w:rPr>
                    <w:t>/</w:t>
                  </w:r>
                </w:p>
              </w:tc>
            </w:tr>
            <w:tr w14:paraId="3A8F1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666DB1E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色度</w:t>
                  </w:r>
                </w:p>
              </w:tc>
              <w:tc>
                <w:tcPr>
                  <w:tcW w:w="2466" w:type="dxa"/>
                  <w:vAlign w:val="center"/>
                </w:tcPr>
                <w:p w14:paraId="093B722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w:t>
                  </w:r>
                </w:p>
              </w:tc>
              <w:tc>
                <w:tcPr>
                  <w:tcW w:w="1416" w:type="dxa"/>
                  <w:vAlign w:val="center"/>
                </w:tcPr>
                <w:p w14:paraId="3ABE8D82">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6D55493D">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FF0000"/>
                      <w:sz w:val="21"/>
                      <w:szCs w:val="21"/>
                      <w:vertAlign w:val="baseline"/>
                      <w:lang w:val="en-US" w:eastAsia="zh-CN"/>
                    </w:rPr>
                  </w:pPr>
                  <w:r>
                    <w:rPr>
                      <w:rFonts w:hint="eastAsia" w:cs="Times New Roman"/>
                      <w:b w:val="0"/>
                      <w:bCs/>
                      <w:color w:val="FF0000"/>
                      <w:sz w:val="21"/>
                      <w:szCs w:val="21"/>
                      <w:vertAlign w:val="baseline"/>
                      <w:lang w:val="en-US" w:eastAsia="zh-CN"/>
                    </w:rPr>
                    <w:t>/</w:t>
                  </w:r>
                </w:p>
              </w:tc>
            </w:tr>
            <w:tr w14:paraId="6CC8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01C2E98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总氰化物</w:t>
                  </w:r>
                </w:p>
              </w:tc>
              <w:tc>
                <w:tcPr>
                  <w:tcW w:w="2466" w:type="dxa"/>
                  <w:vAlign w:val="center"/>
                </w:tcPr>
                <w:p w14:paraId="500081CA">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0.5</w:t>
                  </w:r>
                </w:p>
              </w:tc>
              <w:tc>
                <w:tcPr>
                  <w:tcW w:w="1416" w:type="dxa"/>
                  <w:vAlign w:val="center"/>
                </w:tcPr>
                <w:p w14:paraId="7B8C0353">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4F6467C8">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FF0000"/>
                      <w:sz w:val="21"/>
                      <w:szCs w:val="21"/>
                      <w:vertAlign w:val="baseline"/>
                      <w:lang w:val="en-US" w:eastAsia="zh-CN"/>
                    </w:rPr>
                  </w:pPr>
                  <w:r>
                    <w:rPr>
                      <w:rFonts w:hint="eastAsia" w:cs="Times New Roman"/>
                      <w:b w:val="0"/>
                      <w:bCs/>
                      <w:color w:val="FF0000"/>
                      <w:sz w:val="21"/>
                      <w:szCs w:val="21"/>
                      <w:vertAlign w:val="baseline"/>
                      <w:lang w:val="en-US" w:eastAsia="zh-CN"/>
                    </w:rPr>
                    <w:t>/</w:t>
                  </w:r>
                </w:p>
              </w:tc>
            </w:tr>
            <w:tr w14:paraId="78CF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6CE1B6B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总余氯</w:t>
                  </w:r>
                  <w:r>
                    <w:rPr>
                      <w:rFonts w:hint="eastAsia" w:ascii="Times New Roman" w:hAnsi="Times New Roman" w:cs="Times New Roman"/>
                      <w:b w:val="0"/>
                      <w:bCs/>
                      <w:color w:val="000000" w:themeColor="text1"/>
                      <w:sz w:val="21"/>
                      <w:szCs w:val="21"/>
                      <w:vertAlign w:val="superscript"/>
                      <w:lang w:val="en-US" w:eastAsia="zh-CN"/>
                    </w:rPr>
                    <w:t>c</w:t>
                  </w:r>
                </w:p>
              </w:tc>
              <w:tc>
                <w:tcPr>
                  <w:tcW w:w="2466" w:type="dxa"/>
                  <w:vAlign w:val="center"/>
                </w:tcPr>
                <w:p w14:paraId="5E488E5D">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2-8</w:t>
                  </w:r>
                </w:p>
              </w:tc>
              <w:tc>
                <w:tcPr>
                  <w:tcW w:w="1416" w:type="dxa"/>
                  <w:vAlign w:val="center"/>
                </w:tcPr>
                <w:p w14:paraId="371C8120">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3D82331A">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FF0000"/>
                      <w:sz w:val="21"/>
                      <w:szCs w:val="21"/>
                      <w:vertAlign w:val="baseline"/>
                      <w:lang w:val="en-US" w:eastAsia="zh-CN"/>
                    </w:rPr>
                  </w:pPr>
                  <w:r>
                    <w:rPr>
                      <w:rFonts w:hint="eastAsia" w:cs="Times New Roman"/>
                      <w:b w:val="0"/>
                      <w:bCs/>
                      <w:color w:val="FF0000"/>
                      <w:sz w:val="21"/>
                      <w:szCs w:val="21"/>
                      <w:vertAlign w:val="baseline"/>
                      <w:lang w:val="en-US" w:eastAsia="zh-CN"/>
                    </w:rPr>
                    <w:t>/</w:t>
                  </w:r>
                </w:p>
              </w:tc>
            </w:tr>
            <w:tr w14:paraId="20EC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8" w:type="dxa"/>
                  <w:vAlign w:val="center"/>
                </w:tcPr>
                <w:p w14:paraId="19FEFE7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b w:val="0"/>
                      <w:bCs/>
                      <w:color w:val="000000" w:themeColor="text1"/>
                      <w:sz w:val="21"/>
                      <w:szCs w:val="21"/>
                      <w:vertAlign w:val="baseline"/>
                      <w:lang w:val="en-US" w:eastAsia="zh-CN"/>
                    </w:rPr>
                  </w:pPr>
                  <w:r>
                    <w:rPr>
                      <w:rFonts w:hint="eastAsia" w:ascii="Times New Roman" w:hAnsi="Times New Roman" w:cs="Times New Roman"/>
                      <w:b w:val="0"/>
                      <w:bCs/>
                      <w:color w:val="000000" w:themeColor="text1"/>
                      <w:sz w:val="21"/>
                      <w:szCs w:val="21"/>
                      <w:vertAlign w:val="baseline"/>
                      <w:lang w:val="en-US" w:eastAsia="zh-CN"/>
                    </w:rPr>
                    <w:t>结核杆菌</w:t>
                  </w:r>
                </w:p>
              </w:tc>
              <w:tc>
                <w:tcPr>
                  <w:tcW w:w="2466" w:type="dxa"/>
                  <w:vAlign w:val="center"/>
                </w:tcPr>
                <w:p w14:paraId="1414415E">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不得检出</w:t>
                  </w:r>
                </w:p>
              </w:tc>
              <w:tc>
                <w:tcPr>
                  <w:tcW w:w="1416" w:type="dxa"/>
                  <w:vAlign w:val="center"/>
                </w:tcPr>
                <w:p w14:paraId="7CEA2398">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eastAsia="宋体" w:cs="Times New Roman"/>
                      <w:b w:val="0"/>
                      <w:bCs/>
                      <w:color w:val="000000" w:themeColor="text1"/>
                      <w:sz w:val="21"/>
                      <w:szCs w:val="21"/>
                      <w:vertAlign w:val="baseline"/>
                      <w:lang w:val="zh-CN"/>
                    </w:rPr>
                  </w:pPr>
                  <w:r>
                    <w:rPr>
                      <w:rFonts w:hint="eastAsia" w:ascii="Times New Roman" w:hAnsi="Times New Roman" w:cs="Times New Roman"/>
                      <w:b w:val="0"/>
                      <w:bCs/>
                      <w:color w:val="000000" w:themeColor="text1"/>
                      <w:sz w:val="21"/>
                      <w:szCs w:val="21"/>
                      <w:vertAlign w:val="baseline"/>
                      <w:lang w:val="en-US" w:eastAsia="zh-CN"/>
                    </w:rPr>
                    <w:t>/</w:t>
                  </w:r>
                </w:p>
              </w:tc>
              <w:tc>
                <w:tcPr>
                  <w:tcW w:w="1434" w:type="dxa"/>
                  <w:vAlign w:val="center"/>
                </w:tcPr>
                <w:p w14:paraId="072F524A">
                  <w:pPr>
                    <w:keepNext w:val="0"/>
                    <w:keepLines w:val="0"/>
                    <w:pageBreakBefore w:val="0"/>
                    <w:widowControl/>
                    <w:kinsoku/>
                    <w:wordWrap/>
                    <w:overflowPunct/>
                    <w:topLinePunct w:val="0"/>
                    <w:autoSpaceDE/>
                    <w:autoSpaceDN/>
                    <w:bidi w:val="0"/>
                    <w:adjustRightInd/>
                    <w:snapToGrid w:val="0"/>
                    <w:spacing w:before="60" w:after="60" w:line="240" w:lineRule="auto"/>
                    <w:ind w:right="0"/>
                    <w:jc w:val="center"/>
                    <w:textAlignment w:val="auto"/>
                    <w:rPr>
                      <w:rFonts w:hint="default" w:ascii="Times New Roman" w:hAnsi="Times New Roman" w:cs="Times New Roman"/>
                      <w:b w:val="0"/>
                      <w:bCs/>
                      <w:color w:val="FF0000"/>
                      <w:sz w:val="21"/>
                      <w:szCs w:val="21"/>
                      <w:vertAlign w:val="baseline"/>
                      <w:lang w:val="en-US" w:eastAsia="zh-CN"/>
                    </w:rPr>
                  </w:pPr>
                  <w:r>
                    <w:rPr>
                      <w:rFonts w:hint="eastAsia" w:cs="Times New Roman"/>
                      <w:b w:val="0"/>
                      <w:bCs/>
                      <w:color w:val="FF0000"/>
                      <w:sz w:val="21"/>
                      <w:szCs w:val="21"/>
                      <w:vertAlign w:val="baseline"/>
                      <w:lang w:val="en-US" w:eastAsia="zh-CN"/>
                    </w:rPr>
                    <w:t>/</w:t>
                  </w:r>
                </w:p>
              </w:tc>
            </w:tr>
          </w:tbl>
          <w:p w14:paraId="43C24CE9">
            <w:pPr>
              <w:pStyle w:val="11"/>
              <w:spacing w:after="0"/>
              <w:jc w:val="center"/>
              <w:rPr>
                <w:rFonts w:hint="default" w:ascii="Times New Roman" w:hAnsi="Times New Roman" w:eastAsia="宋体" w:cs="Times New Roman"/>
                <w:b/>
                <w:color w:val="000000"/>
                <w:sz w:val="21"/>
                <w:szCs w:val="21"/>
                <w:lang w:val="en-US" w:eastAsia="zh-CN"/>
              </w:rPr>
            </w:pPr>
            <w:r>
              <w:rPr>
                <w:rFonts w:hint="eastAsia" w:ascii="Times New Roman" w:hAnsi="Times New Roman" w:cs="Times New Roman"/>
                <w:b/>
                <w:color w:val="000000"/>
                <w:sz w:val="21"/>
                <w:szCs w:val="21"/>
                <w:lang w:val="en-US" w:eastAsia="zh-CN"/>
              </w:rPr>
              <w:t>注：b肠道致病菌主要包括沙门氏菌、志贺氏菌；c适用于采用含氯消毒剂进行消毒的排污单位；</w:t>
            </w:r>
          </w:p>
          <w:p w14:paraId="4C804A06">
            <w:pPr>
              <w:widowControl/>
              <w:spacing w:line="360" w:lineRule="auto"/>
              <w:jc w:val="left"/>
              <w:rPr>
                <w:rFonts w:hint="default" w:ascii="Times New Roman" w:hAnsi="Times New Roman" w:eastAsia="宋体" w:cs="Times New Roman"/>
                <w:b w:val="0"/>
                <w:bCs w:val="0"/>
                <w:kern w:val="0"/>
                <w:sz w:val="21"/>
                <w:szCs w:val="21"/>
              </w:rPr>
            </w:pPr>
            <w:r>
              <w:rPr>
                <w:rFonts w:hint="default" w:ascii="Times New Roman" w:hAnsi="Times New Roman" w:cs="Times New Roman"/>
                <w:b w:val="0"/>
                <w:bCs w:val="0"/>
                <w:kern w:val="0"/>
                <w:sz w:val="21"/>
                <w:szCs w:val="21"/>
                <w:lang w:val="en-US" w:eastAsia="zh-CN"/>
              </w:rPr>
              <w:t xml:space="preserve">    </w:t>
            </w:r>
            <w:r>
              <w:rPr>
                <w:rFonts w:hint="default" w:ascii="Times New Roman" w:hAnsi="Times New Roman" w:cs="Times New Roman"/>
                <w:b w:val="0"/>
                <w:bCs w:val="0"/>
                <w:kern w:val="0"/>
                <w:sz w:val="24"/>
                <w:szCs w:val="24"/>
                <w:lang w:val="en-US" w:eastAsia="zh-CN"/>
              </w:rPr>
              <w:t>同时，根据《排污许可证申请与核发技术规范 医疗机构》（HJ1105-2020）中：“7 自行检测管理要求”，医疗结构污水总排放口应当设置流量自动检测设备。</w:t>
            </w:r>
            <w:r>
              <w:rPr>
                <w:rFonts w:hint="eastAsia" w:ascii="Times New Roman" w:hAnsi="Times New Roman" w:cs="Times New Roman"/>
                <w:b w:val="0"/>
                <w:bCs w:val="0"/>
                <w:kern w:val="0"/>
                <w:sz w:val="24"/>
                <w:szCs w:val="24"/>
                <w:lang w:val="en-US" w:eastAsia="zh-CN"/>
              </w:rPr>
              <w:t>原</w:t>
            </w:r>
            <w:r>
              <w:rPr>
                <w:rFonts w:hint="default" w:ascii="Times New Roman" w:hAnsi="Times New Roman" w:cs="Times New Roman"/>
                <w:b w:val="0"/>
                <w:bCs w:val="0"/>
                <w:kern w:val="0"/>
                <w:sz w:val="24"/>
                <w:szCs w:val="24"/>
                <w:lang w:val="en-US" w:eastAsia="zh-CN"/>
              </w:rPr>
              <w:t>岳阳市中心医院金鹗山院区已设有水质在线监测设备，已与生态环境局完成联网验收，监测因子：流量、总余氯、pH、COD、氨氮、总磷、总氮；根据《固定污染源排污许可分类管理名录》（2019年版），本项目迁建完成后属于简化管理，迁建完成继续使用流量、pH、总余氯在线监测设备即可满足管理要求。</w:t>
            </w:r>
          </w:p>
          <w:p w14:paraId="10173F0C">
            <w:pPr>
              <w:widowControl/>
              <w:spacing w:line="360" w:lineRule="auto"/>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 xml:space="preserve">3、噪声排放标准 </w:t>
            </w:r>
          </w:p>
          <w:p w14:paraId="706AFABB">
            <w:pPr>
              <w:widowControl/>
              <w:spacing w:line="360" w:lineRule="auto"/>
              <w:ind w:firstLine="480" w:firstLineChars="200"/>
              <w:jc w:val="left"/>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本项目运营期</w:t>
            </w:r>
            <w:r>
              <w:rPr>
                <w:rFonts w:hint="default" w:ascii="Times New Roman" w:hAnsi="Times New Roman" w:eastAsia="宋体" w:cs="Times New Roman"/>
                <w:kern w:val="0"/>
                <w:sz w:val="24"/>
                <w:szCs w:val="24"/>
                <w:highlight w:val="none"/>
              </w:rPr>
              <w:t>厂界噪声执行《工业企业厂界环境噪声排放标准（GB 12348-2008）2 类标准。具体限值见</w:t>
            </w:r>
            <w:r>
              <w:rPr>
                <w:rFonts w:hint="default" w:ascii="Times New Roman" w:hAnsi="Times New Roman" w:eastAsia="宋体" w:cs="Times New Roman"/>
                <w:kern w:val="0"/>
                <w:sz w:val="24"/>
                <w:szCs w:val="24"/>
              </w:rPr>
              <w:t>下表。</w:t>
            </w:r>
          </w:p>
          <w:p w14:paraId="51B32BDE">
            <w:pPr>
              <w:adjustRightInd w:val="0"/>
              <w:snapToGrid w:val="0"/>
              <w:spacing w:line="360" w:lineRule="auto"/>
              <w:jc w:val="center"/>
              <w:rPr>
                <w:rFonts w:hint="default" w:ascii="Times New Roman" w:hAnsi="Times New Roman" w:eastAsia="宋体" w:cs="Times New Roman"/>
                <w:kern w:val="0"/>
                <w:sz w:val="21"/>
                <w:szCs w:val="21"/>
              </w:rPr>
            </w:pPr>
            <w:r>
              <w:rPr>
                <w:rFonts w:hint="default" w:ascii="Times New Roman" w:hAnsi="Times New Roman" w:eastAsia="宋体" w:cs="Times New Roman"/>
                <w:b/>
                <w:bCs/>
                <w:kern w:val="0"/>
                <w:sz w:val="21"/>
                <w:szCs w:val="21"/>
              </w:rPr>
              <w:t>表3-</w:t>
            </w:r>
            <w:r>
              <w:rPr>
                <w:rFonts w:hint="eastAsia" w:ascii="Times New Roman" w:hAnsi="Times New Roman" w:cs="Times New Roman"/>
                <w:b/>
                <w:bCs/>
                <w:kern w:val="0"/>
                <w:sz w:val="21"/>
                <w:szCs w:val="21"/>
                <w:lang w:val="en-US" w:eastAsia="zh-CN"/>
              </w:rPr>
              <w:t>14</w:t>
            </w:r>
            <w:r>
              <w:rPr>
                <w:rFonts w:hint="default" w:ascii="Times New Roman" w:hAnsi="Times New Roman" w:eastAsia="宋体" w:cs="Times New Roman"/>
                <w:b/>
                <w:bCs/>
                <w:kern w:val="0"/>
                <w:sz w:val="21"/>
                <w:szCs w:val="21"/>
              </w:rPr>
              <w:t xml:space="preserve"> 工业企业厂界环境噪声排放限值</w:t>
            </w:r>
            <w:r>
              <w:rPr>
                <w:rFonts w:hint="default" w:ascii="Times New Roman" w:hAnsi="Times New Roman" w:eastAsia="宋体" w:cs="Times New Roman"/>
                <w:b/>
                <w:bCs/>
                <w:kern w:val="0"/>
                <w:sz w:val="21"/>
                <w:szCs w:val="21"/>
                <w:lang w:val="en-US" w:eastAsia="zh-CN"/>
              </w:rPr>
              <w:t xml:space="preserve"> </w:t>
            </w:r>
            <w:r>
              <w:rPr>
                <w:rFonts w:hint="default" w:ascii="Times New Roman" w:hAnsi="Times New Roman" w:eastAsia="宋体" w:cs="Times New Roman"/>
                <w:b/>
                <w:bCs/>
                <w:kern w:val="0"/>
                <w:sz w:val="21"/>
                <w:szCs w:val="21"/>
              </w:rPr>
              <w:t>单位：dB（A）</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9"/>
              <w:gridCol w:w="1990"/>
              <w:gridCol w:w="1990"/>
              <w:gridCol w:w="1990"/>
            </w:tblGrid>
            <w:tr w14:paraId="408F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vMerge w:val="restart"/>
                  <w:shd w:val="clear" w:color="auto" w:fill="auto"/>
                  <w:vAlign w:val="center"/>
                </w:tcPr>
                <w:p w14:paraId="539A86F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厂界</w:t>
                  </w:r>
                </w:p>
              </w:tc>
              <w:tc>
                <w:tcPr>
                  <w:tcW w:w="1990" w:type="dxa"/>
                  <w:vMerge w:val="restart"/>
                  <w:shd w:val="clear" w:color="auto" w:fill="auto"/>
                  <w:vAlign w:val="center"/>
                </w:tcPr>
                <w:p w14:paraId="37AF243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执行标准类别</w:t>
                  </w:r>
                </w:p>
              </w:tc>
              <w:tc>
                <w:tcPr>
                  <w:tcW w:w="3980" w:type="dxa"/>
                  <w:gridSpan w:val="2"/>
                  <w:shd w:val="clear" w:color="auto" w:fill="auto"/>
                  <w:vAlign w:val="center"/>
                </w:tcPr>
                <w:p w14:paraId="52C1A3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时段</w:t>
                  </w:r>
                </w:p>
              </w:tc>
            </w:tr>
            <w:tr w14:paraId="0FFB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vMerge w:val="continue"/>
                  <w:shd w:val="clear" w:color="auto" w:fill="auto"/>
                  <w:vAlign w:val="center"/>
                </w:tcPr>
                <w:p w14:paraId="3FB4591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990" w:type="dxa"/>
                  <w:vMerge w:val="continue"/>
                  <w:shd w:val="clear" w:color="auto" w:fill="auto"/>
                  <w:vAlign w:val="center"/>
                </w:tcPr>
                <w:p w14:paraId="6F56A29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p>
              </w:tc>
              <w:tc>
                <w:tcPr>
                  <w:tcW w:w="1990" w:type="dxa"/>
                  <w:shd w:val="clear" w:color="auto" w:fill="auto"/>
                  <w:vAlign w:val="center"/>
                </w:tcPr>
                <w:p w14:paraId="76FAE53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昼间</w:t>
                  </w:r>
                </w:p>
              </w:tc>
              <w:tc>
                <w:tcPr>
                  <w:tcW w:w="1990" w:type="dxa"/>
                  <w:shd w:val="clear" w:color="auto" w:fill="auto"/>
                  <w:vAlign w:val="center"/>
                </w:tcPr>
                <w:p w14:paraId="096D71D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夜间</w:t>
                  </w:r>
                </w:p>
              </w:tc>
            </w:tr>
            <w:tr w14:paraId="7007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shd w:val="clear" w:color="auto" w:fill="auto"/>
                  <w:vAlign w:val="center"/>
                </w:tcPr>
                <w:p w14:paraId="32896D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东侧厂界外1m</w:t>
                  </w:r>
                </w:p>
              </w:tc>
              <w:tc>
                <w:tcPr>
                  <w:tcW w:w="1990" w:type="dxa"/>
                  <w:shd w:val="clear" w:color="auto" w:fill="auto"/>
                  <w:vAlign w:val="center"/>
                </w:tcPr>
                <w:p w14:paraId="5A501DA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eastAsia" w:ascii="Times New Roman" w:hAnsi="Times New Roman" w:cs="Times New Roman"/>
                      <w:kern w:val="0"/>
                      <w:sz w:val="21"/>
                      <w:szCs w:val="21"/>
                      <w:lang w:val="en-US" w:eastAsia="zh-CN"/>
                    </w:rPr>
                    <w:t>2</w:t>
                  </w:r>
                  <w:r>
                    <w:rPr>
                      <w:rFonts w:hint="default" w:ascii="Times New Roman" w:hAnsi="Times New Roman" w:eastAsia="宋体" w:cs="Times New Roman"/>
                      <w:kern w:val="0"/>
                      <w:sz w:val="21"/>
                      <w:szCs w:val="21"/>
                    </w:rPr>
                    <w:t>类</w:t>
                  </w:r>
                </w:p>
              </w:tc>
              <w:tc>
                <w:tcPr>
                  <w:tcW w:w="1990" w:type="dxa"/>
                  <w:shd w:val="clear" w:color="auto" w:fill="auto"/>
                  <w:vAlign w:val="center"/>
                </w:tcPr>
                <w:p w14:paraId="2E74FDF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60</w:t>
                  </w:r>
                </w:p>
              </w:tc>
              <w:tc>
                <w:tcPr>
                  <w:tcW w:w="1990" w:type="dxa"/>
                  <w:shd w:val="clear" w:color="auto" w:fill="auto"/>
                  <w:vAlign w:val="center"/>
                </w:tcPr>
                <w:p w14:paraId="5560C57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50</w:t>
                  </w:r>
                </w:p>
              </w:tc>
            </w:tr>
            <w:tr w14:paraId="1D66A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shd w:val="clear" w:color="auto" w:fill="auto"/>
                </w:tcPr>
                <w:p w14:paraId="4E48305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西侧厂界外1m</w:t>
                  </w:r>
                </w:p>
              </w:tc>
              <w:tc>
                <w:tcPr>
                  <w:tcW w:w="1990" w:type="dxa"/>
                  <w:shd w:val="clear" w:color="auto" w:fill="auto"/>
                </w:tcPr>
                <w:p w14:paraId="560D71C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2</w:t>
                  </w:r>
                  <w:r>
                    <w:rPr>
                      <w:rFonts w:hint="default" w:ascii="Times New Roman" w:hAnsi="Times New Roman" w:eastAsia="宋体" w:cs="Times New Roman"/>
                      <w:kern w:val="0"/>
                      <w:sz w:val="21"/>
                      <w:szCs w:val="21"/>
                    </w:rPr>
                    <w:t>类</w:t>
                  </w:r>
                </w:p>
              </w:tc>
              <w:tc>
                <w:tcPr>
                  <w:tcW w:w="1990" w:type="dxa"/>
                  <w:shd w:val="clear" w:color="auto" w:fill="auto"/>
                  <w:vAlign w:val="center"/>
                </w:tcPr>
                <w:p w14:paraId="70E58A8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60</w:t>
                  </w:r>
                </w:p>
              </w:tc>
              <w:tc>
                <w:tcPr>
                  <w:tcW w:w="1990" w:type="dxa"/>
                  <w:shd w:val="clear" w:color="auto" w:fill="auto"/>
                  <w:vAlign w:val="center"/>
                </w:tcPr>
                <w:p w14:paraId="437F728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50</w:t>
                  </w:r>
                </w:p>
              </w:tc>
            </w:tr>
            <w:tr w14:paraId="24ED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shd w:val="clear" w:color="auto" w:fill="auto"/>
                </w:tcPr>
                <w:p w14:paraId="2786C1A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北侧厂界外1m</w:t>
                  </w:r>
                </w:p>
              </w:tc>
              <w:tc>
                <w:tcPr>
                  <w:tcW w:w="1990" w:type="dxa"/>
                  <w:shd w:val="clear" w:color="auto" w:fill="auto"/>
                </w:tcPr>
                <w:p w14:paraId="6A42406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2类</w:t>
                  </w:r>
                </w:p>
              </w:tc>
              <w:tc>
                <w:tcPr>
                  <w:tcW w:w="1990" w:type="dxa"/>
                  <w:shd w:val="clear" w:color="auto" w:fill="auto"/>
                  <w:vAlign w:val="center"/>
                </w:tcPr>
                <w:p w14:paraId="336805D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60</w:t>
                  </w:r>
                </w:p>
              </w:tc>
              <w:tc>
                <w:tcPr>
                  <w:tcW w:w="1990" w:type="dxa"/>
                  <w:shd w:val="clear" w:color="auto" w:fill="auto"/>
                  <w:vAlign w:val="center"/>
                </w:tcPr>
                <w:p w14:paraId="718BB01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50</w:t>
                  </w:r>
                </w:p>
              </w:tc>
            </w:tr>
            <w:tr w14:paraId="10C6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9" w:type="dxa"/>
                  <w:shd w:val="clear" w:color="auto" w:fill="auto"/>
                </w:tcPr>
                <w:p w14:paraId="14C0FBB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南侧厂界外1m</w:t>
                  </w:r>
                </w:p>
              </w:tc>
              <w:tc>
                <w:tcPr>
                  <w:tcW w:w="1990" w:type="dxa"/>
                  <w:shd w:val="clear" w:color="auto" w:fill="auto"/>
                  <w:vAlign w:val="center"/>
                </w:tcPr>
                <w:p w14:paraId="60D364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cs="Times New Roman"/>
                      <w:kern w:val="0"/>
                      <w:sz w:val="21"/>
                      <w:szCs w:val="21"/>
                      <w:lang w:val="en-US" w:eastAsia="zh-CN"/>
                    </w:rPr>
                    <w:t>2</w:t>
                  </w:r>
                  <w:r>
                    <w:rPr>
                      <w:rFonts w:hint="default" w:ascii="Times New Roman" w:hAnsi="Times New Roman" w:eastAsia="宋体" w:cs="Times New Roman"/>
                      <w:kern w:val="0"/>
                      <w:sz w:val="21"/>
                      <w:szCs w:val="21"/>
                    </w:rPr>
                    <w:t>类</w:t>
                  </w:r>
                </w:p>
              </w:tc>
              <w:tc>
                <w:tcPr>
                  <w:tcW w:w="1990" w:type="dxa"/>
                  <w:shd w:val="clear" w:color="auto" w:fill="auto"/>
                  <w:vAlign w:val="center"/>
                </w:tcPr>
                <w:p w14:paraId="69C04B8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60</w:t>
                  </w:r>
                </w:p>
              </w:tc>
              <w:tc>
                <w:tcPr>
                  <w:tcW w:w="1990" w:type="dxa"/>
                  <w:shd w:val="clear" w:color="auto" w:fill="auto"/>
                  <w:vAlign w:val="center"/>
                </w:tcPr>
                <w:p w14:paraId="7941BA9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50</w:t>
                  </w:r>
                </w:p>
              </w:tc>
            </w:tr>
          </w:tbl>
          <w:p w14:paraId="4D5B344E">
            <w:pPr>
              <w:widowControl/>
              <w:spacing w:line="360" w:lineRule="auto"/>
              <w:jc w:val="left"/>
              <w:rPr>
                <w:rFonts w:hint="default" w:ascii="Times New Roman" w:hAnsi="Times New Roman" w:eastAsia="宋体" w:cs="Times New Roman"/>
                <w:b/>
                <w:bCs/>
                <w:kern w:val="0"/>
                <w:sz w:val="24"/>
                <w:szCs w:val="24"/>
              </w:rPr>
            </w:pPr>
            <w:r>
              <w:rPr>
                <w:rFonts w:hint="default" w:ascii="Times New Roman" w:hAnsi="Times New Roman" w:eastAsia="宋体" w:cs="Times New Roman"/>
                <w:b/>
                <w:bCs/>
                <w:kern w:val="0"/>
                <w:sz w:val="24"/>
                <w:szCs w:val="24"/>
              </w:rPr>
              <w:t>4、固体废物</w:t>
            </w:r>
            <w:r>
              <w:rPr>
                <w:rFonts w:hint="eastAsia" w:ascii="Times New Roman" w:hAnsi="Times New Roman" w:cs="Times New Roman"/>
                <w:b/>
                <w:bCs/>
                <w:kern w:val="0"/>
                <w:sz w:val="24"/>
                <w:szCs w:val="24"/>
                <w:lang w:val="en-US" w:eastAsia="zh-CN"/>
              </w:rPr>
              <w:t>执行</w:t>
            </w:r>
            <w:r>
              <w:rPr>
                <w:rFonts w:hint="default" w:ascii="Times New Roman" w:hAnsi="Times New Roman" w:eastAsia="宋体" w:cs="Times New Roman"/>
                <w:b/>
                <w:bCs/>
                <w:kern w:val="0"/>
                <w:sz w:val="24"/>
                <w:szCs w:val="24"/>
              </w:rPr>
              <w:t>标准</w:t>
            </w:r>
          </w:p>
          <w:p w14:paraId="6127B582">
            <w:pPr>
              <w:widowControl/>
              <w:spacing w:line="360" w:lineRule="auto"/>
              <w:ind w:firstLine="480" w:firstLineChars="200"/>
              <w:jc w:val="left"/>
              <w:rPr>
                <w:rFonts w:hint="eastAsia" w:ascii="Times New Roman" w:hAnsi="Times New Roman" w:eastAsia="宋体" w:cs="Times New Roman"/>
                <w:kern w:val="0"/>
                <w:sz w:val="24"/>
                <w:szCs w:val="24"/>
                <w:lang w:eastAsia="zh-CN"/>
              </w:rPr>
            </w:pPr>
            <w:r>
              <w:rPr>
                <w:rFonts w:hint="eastAsia" w:ascii="Times New Roman" w:hAnsi="Times New Roman" w:cs="Times New Roman"/>
                <w:kern w:val="0"/>
                <w:sz w:val="24"/>
                <w:szCs w:val="24"/>
                <w:lang w:eastAsia="zh-CN"/>
              </w:rPr>
              <w:t>（</w:t>
            </w:r>
            <w:r>
              <w:rPr>
                <w:rFonts w:hint="eastAsia" w:ascii="Times New Roman" w:hAnsi="Times New Roman" w:cs="Times New Roman"/>
                <w:kern w:val="0"/>
                <w:sz w:val="24"/>
                <w:szCs w:val="24"/>
                <w:lang w:val="en-US" w:eastAsia="zh-CN"/>
              </w:rPr>
              <w:t>1</w:t>
            </w:r>
            <w:r>
              <w:rPr>
                <w:rFonts w:hint="eastAsia" w:ascii="Times New Roman" w:hAnsi="Times New Roman" w:cs="Times New Roman"/>
                <w:kern w:val="0"/>
                <w:sz w:val="24"/>
                <w:szCs w:val="24"/>
                <w:lang w:eastAsia="zh-CN"/>
              </w:rPr>
              <w:t>）一般固体废物执行《一般工业固体废物贮存和填埋污染控制标准》（GB18599-2020）；</w:t>
            </w:r>
          </w:p>
          <w:p w14:paraId="16A95C5A">
            <w:pPr>
              <w:widowControl/>
              <w:spacing w:line="360" w:lineRule="auto"/>
              <w:ind w:firstLine="480" w:firstLineChars="200"/>
              <w:jc w:val="left"/>
              <w:rPr>
                <w:rFonts w:hint="eastAsia"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w:t>
            </w:r>
            <w:r>
              <w:rPr>
                <w:rFonts w:hint="eastAsia" w:ascii="Times New Roman" w:hAnsi="Times New Roman" w:cs="Times New Roman"/>
                <w:kern w:val="0"/>
                <w:sz w:val="24"/>
                <w:szCs w:val="24"/>
                <w:lang w:val="en-US" w:eastAsia="zh-CN"/>
              </w:rPr>
              <w:t>2</w:t>
            </w:r>
            <w:r>
              <w:rPr>
                <w:rFonts w:hint="default" w:ascii="Times New Roman" w:hAnsi="Times New Roman" w:eastAsia="宋体" w:cs="Times New Roman"/>
                <w:kern w:val="0"/>
                <w:sz w:val="24"/>
                <w:szCs w:val="24"/>
              </w:rPr>
              <w:t>）危险废物执行《危险废物贮存污染控制标准》（GB 18597-2023）</w:t>
            </w:r>
            <w:r>
              <w:rPr>
                <w:rFonts w:hint="eastAsia" w:ascii="Times New Roman" w:hAnsi="Times New Roman" w:cs="Times New Roman"/>
                <w:kern w:val="0"/>
                <w:sz w:val="24"/>
                <w:szCs w:val="24"/>
                <w:lang w:eastAsia="zh-CN"/>
              </w:rPr>
              <w:t>、</w:t>
            </w:r>
            <w:r>
              <w:rPr>
                <w:rFonts w:hint="default" w:ascii="Times New Roman" w:hAnsi="Times New Roman" w:eastAsia="宋体" w:cs="Times New Roman"/>
                <w:kern w:val="0"/>
                <w:sz w:val="24"/>
                <w:szCs w:val="24"/>
              </w:rPr>
              <w:t>《危险废物收集、贮存、运输技术规范》（HJ 2025-2012）</w:t>
            </w:r>
            <w:r>
              <w:rPr>
                <w:rFonts w:hint="eastAsia" w:ascii="Times New Roman" w:hAnsi="Times New Roman" w:cs="Times New Roman"/>
                <w:kern w:val="0"/>
                <w:sz w:val="24"/>
                <w:szCs w:val="24"/>
                <w:lang w:eastAsia="zh-CN"/>
              </w:rPr>
              <w:t>；</w:t>
            </w:r>
          </w:p>
          <w:p w14:paraId="175325D2">
            <w:pPr>
              <w:widowControl/>
              <w:spacing w:line="360" w:lineRule="auto"/>
              <w:ind w:firstLine="480" w:firstLineChars="200"/>
              <w:jc w:val="left"/>
              <w:rPr>
                <w:rFonts w:hint="eastAsia" w:ascii="Times New Roman" w:hAnsi="Times New Roman" w:eastAsia="宋体" w:cs="Times New Roman"/>
                <w:kern w:val="0"/>
                <w:sz w:val="24"/>
                <w:szCs w:val="24"/>
                <w:lang w:eastAsia="zh-CN"/>
              </w:rPr>
            </w:pPr>
            <w:r>
              <w:rPr>
                <w:rFonts w:hint="default" w:ascii="Times New Roman" w:hAnsi="Times New Roman" w:eastAsia="宋体" w:cs="Times New Roman"/>
                <w:kern w:val="0"/>
                <w:sz w:val="24"/>
                <w:szCs w:val="24"/>
              </w:rPr>
              <w:t>（</w:t>
            </w:r>
            <w:r>
              <w:rPr>
                <w:rFonts w:hint="default" w:ascii="Times New Roman" w:hAnsi="Times New Roman" w:cs="Times New Roman"/>
                <w:kern w:val="0"/>
                <w:sz w:val="24"/>
                <w:szCs w:val="24"/>
                <w:lang w:val="en-US" w:eastAsia="zh-CN"/>
              </w:rPr>
              <w:t>3</w:t>
            </w:r>
            <w:r>
              <w:rPr>
                <w:rFonts w:hint="default" w:ascii="Times New Roman" w:hAnsi="Times New Roman" w:eastAsia="宋体" w:cs="Times New Roman"/>
                <w:kern w:val="0"/>
                <w:sz w:val="24"/>
                <w:szCs w:val="24"/>
              </w:rPr>
              <w:t>）医疗废物执行《医疗废物处理处置污染控制标准》（GB39707-2020）</w:t>
            </w:r>
            <w:r>
              <w:rPr>
                <w:rFonts w:hint="eastAsia" w:cs="Times New Roman"/>
                <w:kern w:val="0"/>
                <w:sz w:val="24"/>
                <w:szCs w:val="24"/>
                <w:lang w:eastAsia="zh-CN"/>
              </w:rPr>
              <w:t>；</w:t>
            </w:r>
          </w:p>
          <w:p w14:paraId="353478CA">
            <w:pPr>
              <w:widowControl/>
              <w:spacing w:line="360" w:lineRule="auto"/>
              <w:ind w:firstLine="480" w:firstLineChars="200"/>
              <w:jc w:val="left"/>
              <w:rPr>
                <w:rFonts w:hint="eastAsia" w:cs="Times New Roman"/>
                <w:kern w:val="0"/>
                <w:sz w:val="24"/>
                <w:szCs w:val="24"/>
                <w:lang w:eastAsia="zh-CN"/>
              </w:rPr>
            </w:pPr>
            <w:r>
              <w:rPr>
                <w:rFonts w:hint="default" w:ascii="Times New Roman" w:hAnsi="Times New Roman" w:eastAsia="宋体" w:cs="Times New Roman"/>
                <w:kern w:val="0"/>
                <w:sz w:val="24"/>
                <w:szCs w:val="24"/>
              </w:rPr>
              <w:t>（</w:t>
            </w:r>
            <w:r>
              <w:rPr>
                <w:rFonts w:hint="default" w:ascii="Times New Roman" w:hAnsi="Times New Roman" w:cs="Times New Roman"/>
                <w:kern w:val="0"/>
                <w:sz w:val="24"/>
                <w:szCs w:val="24"/>
                <w:lang w:val="en-US" w:eastAsia="zh-CN"/>
              </w:rPr>
              <w:t>4</w:t>
            </w:r>
            <w:r>
              <w:rPr>
                <w:rFonts w:hint="default" w:ascii="Times New Roman" w:hAnsi="Times New Roman" w:eastAsia="宋体" w:cs="Times New Roman"/>
                <w:kern w:val="0"/>
                <w:sz w:val="24"/>
                <w:szCs w:val="24"/>
              </w:rPr>
              <w:t>）污泥</w:t>
            </w:r>
            <w:r>
              <w:rPr>
                <w:rFonts w:hint="eastAsia" w:cs="Times New Roman"/>
                <w:kern w:val="0"/>
                <w:sz w:val="24"/>
                <w:szCs w:val="24"/>
                <w:lang w:val="en-US" w:eastAsia="zh-CN"/>
              </w:rPr>
              <w:t>消毒</w:t>
            </w:r>
            <w:r>
              <w:rPr>
                <w:rFonts w:hint="default" w:ascii="Times New Roman" w:hAnsi="Times New Roman" w:eastAsia="宋体" w:cs="Times New Roman"/>
                <w:kern w:val="0"/>
                <w:sz w:val="24"/>
                <w:szCs w:val="24"/>
              </w:rPr>
              <w:t>执行《医疗机构水污染物排放标准》（GB18466-2005）表4医疗机构污泥控制标</w:t>
            </w:r>
            <w:r>
              <w:rPr>
                <w:rFonts w:hint="eastAsia" w:cs="Times New Roman"/>
                <w:kern w:val="0"/>
                <w:sz w:val="24"/>
                <w:szCs w:val="24"/>
                <w:lang w:eastAsia="zh-CN"/>
              </w:rPr>
              <w:t>。</w:t>
            </w:r>
          </w:p>
          <w:p w14:paraId="5A8A2818">
            <w:pPr>
              <w:widowControl/>
              <w:spacing w:line="240" w:lineRule="auto"/>
              <w:jc w:val="center"/>
              <w:rPr>
                <w:rFonts w:hint="default" w:cs="Times New Roman"/>
                <w:b/>
                <w:bCs/>
                <w:kern w:val="0"/>
                <w:sz w:val="21"/>
                <w:szCs w:val="21"/>
                <w:lang w:val="en-US" w:eastAsia="zh-CN"/>
              </w:rPr>
            </w:pPr>
            <w:r>
              <w:rPr>
                <w:rFonts w:hint="eastAsia" w:cs="Times New Roman"/>
                <w:b/>
                <w:bCs/>
                <w:kern w:val="0"/>
                <w:sz w:val="21"/>
                <w:szCs w:val="21"/>
                <w:lang w:val="en-US" w:eastAsia="zh-CN"/>
              </w:rPr>
              <w:t>表3-15 医疗机构污泥控制标准</w:t>
            </w:r>
          </w:p>
          <w:tbl>
            <w:tblPr>
              <w:tblStyle w:val="25"/>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5"/>
              <w:gridCol w:w="1657"/>
              <w:gridCol w:w="1343"/>
              <w:gridCol w:w="1065"/>
              <w:gridCol w:w="1110"/>
              <w:gridCol w:w="904"/>
            </w:tblGrid>
            <w:tr w14:paraId="0CC26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895" w:type="dxa"/>
                  <w:vAlign w:val="center"/>
                </w:tcPr>
                <w:p w14:paraId="157A8CC9">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sz w:val="21"/>
                      <w:szCs w:val="21"/>
                      <w:vertAlign w:val="baseline"/>
                    </w:rPr>
                  </w:pPr>
                  <w:r>
                    <w:rPr>
                      <w:rFonts w:hint="default" w:ascii="Times New Roman" w:hAnsi="Times New Roman" w:eastAsia="宋体" w:cs="Times New Roman"/>
                      <w:b/>
                      <w:bCs/>
                      <w:sz w:val="21"/>
                      <w:szCs w:val="21"/>
                    </w:rPr>
                    <w:t>医疗机构类别</w:t>
                  </w:r>
                </w:p>
              </w:tc>
              <w:tc>
                <w:tcPr>
                  <w:tcW w:w="1657" w:type="dxa"/>
                  <w:vAlign w:val="center"/>
                </w:tcPr>
                <w:p w14:paraId="6F5CD9F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rPr>
                    <w:t>粪大肠杆菌群数（MPN/g</w:t>
                  </w:r>
                  <w:r>
                    <w:rPr>
                      <w:rFonts w:hint="default" w:ascii="Times New Roman" w:hAnsi="Times New Roman" w:eastAsia="宋体" w:cs="Times New Roman"/>
                      <w:b/>
                      <w:bCs/>
                      <w:sz w:val="21"/>
                      <w:szCs w:val="21"/>
                      <w:lang w:val="en-US" w:eastAsia="zh-CN"/>
                    </w:rPr>
                    <w:t>)</w:t>
                  </w:r>
                </w:p>
              </w:tc>
              <w:tc>
                <w:tcPr>
                  <w:tcW w:w="1343" w:type="dxa"/>
                  <w:vAlign w:val="center"/>
                </w:tcPr>
                <w:p w14:paraId="0CD372C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sz w:val="21"/>
                      <w:szCs w:val="21"/>
                      <w:vertAlign w:val="baseline"/>
                    </w:rPr>
                  </w:pPr>
                  <w:r>
                    <w:rPr>
                      <w:rFonts w:hint="default" w:ascii="Times New Roman" w:hAnsi="Times New Roman" w:eastAsia="宋体" w:cs="Times New Roman"/>
                      <w:b/>
                      <w:bCs/>
                      <w:sz w:val="21"/>
                      <w:szCs w:val="21"/>
                    </w:rPr>
                    <w:t>肠道致病菌</w:t>
                  </w:r>
                </w:p>
              </w:tc>
              <w:tc>
                <w:tcPr>
                  <w:tcW w:w="1065" w:type="dxa"/>
                  <w:vAlign w:val="center"/>
                </w:tcPr>
                <w:p w14:paraId="1E24EB7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sz w:val="21"/>
                      <w:szCs w:val="21"/>
                      <w:vertAlign w:val="baseline"/>
                    </w:rPr>
                  </w:pPr>
                  <w:r>
                    <w:rPr>
                      <w:rFonts w:hint="default" w:ascii="Times New Roman" w:hAnsi="Times New Roman" w:eastAsia="宋体" w:cs="Times New Roman"/>
                      <w:b/>
                      <w:bCs/>
                      <w:sz w:val="21"/>
                      <w:szCs w:val="21"/>
                    </w:rPr>
                    <w:t>肠道病毒</w:t>
                  </w:r>
                </w:p>
              </w:tc>
              <w:tc>
                <w:tcPr>
                  <w:tcW w:w="1110" w:type="dxa"/>
                  <w:vAlign w:val="center"/>
                </w:tcPr>
                <w:p w14:paraId="06E46046">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sz w:val="21"/>
                      <w:szCs w:val="21"/>
                      <w:vertAlign w:val="baseline"/>
                      <w:lang w:val="en-US" w:eastAsia="zh-CN"/>
                    </w:rPr>
                  </w:pPr>
                  <w:r>
                    <w:rPr>
                      <w:rFonts w:hint="eastAsia" w:ascii="Times New Roman" w:hAnsi="Times New Roman" w:cs="Times New Roman"/>
                      <w:b/>
                      <w:bCs/>
                      <w:sz w:val="21"/>
                      <w:szCs w:val="21"/>
                      <w:lang w:val="en-US" w:eastAsia="zh-CN"/>
                    </w:rPr>
                    <w:t>结核</w:t>
                  </w:r>
                  <w:r>
                    <w:rPr>
                      <w:rFonts w:hint="default" w:ascii="Times New Roman" w:hAnsi="Times New Roman" w:eastAsia="宋体" w:cs="Times New Roman"/>
                      <w:b/>
                      <w:bCs/>
                      <w:sz w:val="21"/>
                      <w:szCs w:val="21"/>
                    </w:rPr>
                    <w:t>杆</w:t>
                  </w:r>
                  <w:r>
                    <w:rPr>
                      <w:rFonts w:hint="default" w:ascii="Times New Roman" w:hAnsi="Times New Roman" w:eastAsia="宋体" w:cs="Times New Roman"/>
                      <w:b/>
                      <w:bCs/>
                      <w:sz w:val="21"/>
                      <w:szCs w:val="21"/>
                      <w:lang w:val="en-US" w:eastAsia="zh-CN"/>
                    </w:rPr>
                    <w:t>菌</w:t>
                  </w:r>
                </w:p>
              </w:tc>
              <w:tc>
                <w:tcPr>
                  <w:tcW w:w="904" w:type="dxa"/>
                  <w:vAlign w:val="center"/>
                </w:tcPr>
                <w:p w14:paraId="260A94A2">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sz w:val="21"/>
                      <w:szCs w:val="21"/>
                      <w:vertAlign w:val="baseline"/>
                    </w:rPr>
                  </w:pPr>
                  <w:r>
                    <w:rPr>
                      <w:rFonts w:hint="default" w:ascii="Times New Roman" w:hAnsi="Times New Roman" w:eastAsia="宋体" w:cs="Times New Roman"/>
                      <w:b/>
                      <w:bCs/>
                      <w:sz w:val="21"/>
                      <w:szCs w:val="21"/>
                    </w:rPr>
                    <w:t>蛔虫卵死亡率</w:t>
                  </w:r>
                </w:p>
              </w:tc>
            </w:tr>
            <w:tr w14:paraId="50A6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95" w:type="dxa"/>
                  <w:vAlign w:val="center"/>
                </w:tcPr>
                <w:p w14:paraId="12EC123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sz w:val="21"/>
                      <w:szCs w:val="21"/>
                      <w:vertAlign w:val="baseline"/>
                    </w:rPr>
                  </w:pPr>
                  <w:r>
                    <w:rPr>
                      <w:rFonts w:hint="eastAsia" w:ascii="Times New Roman" w:hAnsi="Times New Roman" w:cs="Times New Roman"/>
                      <w:sz w:val="21"/>
                      <w:szCs w:val="21"/>
                      <w:lang w:val="en-US" w:eastAsia="zh-CN"/>
                    </w:rPr>
                    <w:t>传染病</w:t>
                  </w:r>
                  <w:r>
                    <w:rPr>
                      <w:rFonts w:hint="default" w:ascii="Times New Roman" w:hAnsi="Times New Roman" w:eastAsia="宋体" w:cs="Times New Roman"/>
                      <w:sz w:val="21"/>
                      <w:szCs w:val="21"/>
                    </w:rPr>
                    <w:t>医疗机构</w:t>
                  </w:r>
                </w:p>
              </w:tc>
              <w:tc>
                <w:tcPr>
                  <w:tcW w:w="1657" w:type="dxa"/>
                  <w:vAlign w:val="center"/>
                </w:tcPr>
                <w:p w14:paraId="4B74305B">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rPr>
                    <w:t>≤10</w:t>
                  </w:r>
                  <w:r>
                    <w:rPr>
                      <w:rFonts w:hint="default" w:ascii="Times New Roman" w:hAnsi="Times New Roman" w:eastAsia="宋体" w:cs="Times New Roman"/>
                      <w:sz w:val="21"/>
                      <w:szCs w:val="21"/>
                      <w:lang w:val="en-US" w:eastAsia="zh-CN"/>
                    </w:rPr>
                    <w:t>0</w:t>
                  </w:r>
                </w:p>
              </w:tc>
              <w:tc>
                <w:tcPr>
                  <w:tcW w:w="1343" w:type="dxa"/>
                  <w:vAlign w:val="center"/>
                </w:tcPr>
                <w:p w14:paraId="1E58314C">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不得检出</w:t>
                  </w:r>
                </w:p>
              </w:tc>
              <w:tc>
                <w:tcPr>
                  <w:tcW w:w="1065" w:type="dxa"/>
                  <w:vAlign w:val="center"/>
                </w:tcPr>
                <w:p w14:paraId="3375D264">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sz w:val="21"/>
                      <w:szCs w:val="21"/>
                      <w:vertAlign w:val="baseline"/>
                    </w:rPr>
                  </w:pPr>
                  <w:r>
                    <w:rPr>
                      <w:rFonts w:hint="default" w:ascii="Times New Roman" w:hAnsi="Times New Roman" w:eastAsia="宋体" w:cs="Times New Roman"/>
                      <w:sz w:val="21"/>
                      <w:szCs w:val="21"/>
                    </w:rPr>
                    <w:t>不得检出</w:t>
                  </w:r>
                </w:p>
              </w:tc>
              <w:tc>
                <w:tcPr>
                  <w:tcW w:w="1110" w:type="dxa"/>
                  <w:vAlign w:val="center"/>
                </w:tcPr>
                <w:p w14:paraId="310C6CC8">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sz w:val="21"/>
                      <w:szCs w:val="21"/>
                      <w:vertAlign w:val="baseline"/>
                      <w:lang w:val="en-US" w:eastAsia="zh-CN"/>
                    </w:rPr>
                  </w:pPr>
                  <w:r>
                    <w:rPr>
                      <w:rFonts w:hint="eastAsia" w:cs="Times New Roman"/>
                      <w:sz w:val="21"/>
                      <w:szCs w:val="21"/>
                      <w:lang w:val="en-US" w:eastAsia="zh-CN"/>
                    </w:rPr>
                    <w:t>/</w:t>
                  </w:r>
                </w:p>
              </w:tc>
              <w:tc>
                <w:tcPr>
                  <w:tcW w:w="904" w:type="dxa"/>
                  <w:vAlign w:val="center"/>
                </w:tcPr>
                <w:p w14:paraId="3D193871">
                  <w:pPr>
                    <w:pStyle w:val="11"/>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sz w:val="21"/>
                      <w:szCs w:val="21"/>
                      <w:vertAlign w:val="baseline"/>
                    </w:rPr>
                  </w:pPr>
                  <w:r>
                    <w:rPr>
                      <w:rFonts w:hint="eastAsia" w:ascii="Times New Roman" w:hAnsi="Times New Roman" w:cs="Times New Roman"/>
                      <w:sz w:val="21"/>
                      <w:szCs w:val="21"/>
                      <w:lang w:val="en-US" w:eastAsia="zh-CN"/>
                    </w:rPr>
                    <w:t>&gt;</w:t>
                  </w:r>
                  <w:r>
                    <w:rPr>
                      <w:rFonts w:hint="default" w:ascii="Times New Roman" w:hAnsi="Times New Roman" w:eastAsia="宋体" w:cs="Times New Roman"/>
                      <w:sz w:val="21"/>
                      <w:szCs w:val="21"/>
                    </w:rPr>
                    <w:t>95%</w:t>
                  </w:r>
                </w:p>
              </w:tc>
            </w:tr>
            <w:tr w14:paraId="3BA3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95" w:type="dxa"/>
                  <w:vAlign w:val="center"/>
                </w:tcPr>
                <w:p w14:paraId="601B95D3">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结核病</w:t>
                  </w:r>
                  <w:r>
                    <w:rPr>
                      <w:rFonts w:hint="default" w:ascii="Times New Roman" w:hAnsi="Times New Roman" w:eastAsia="宋体" w:cs="Times New Roman"/>
                      <w:sz w:val="21"/>
                      <w:szCs w:val="21"/>
                    </w:rPr>
                    <w:t>医疗机构</w:t>
                  </w:r>
                </w:p>
              </w:tc>
              <w:tc>
                <w:tcPr>
                  <w:tcW w:w="1657" w:type="dxa"/>
                  <w:vAlign w:val="center"/>
                </w:tcPr>
                <w:p w14:paraId="34E097CD">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r>
                    <w:rPr>
                      <w:rFonts w:hint="default" w:ascii="Times New Roman" w:hAnsi="Times New Roman" w:eastAsia="宋体" w:cs="Times New Roman"/>
                      <w:sz w:val="21"/>
                      <w:szCs w:val="21"/>
                      <w:lang w:val="en-US" w:eastAsia="zh-CN"/>
                    </w:rPr>
                    <w:t>0</w:t>
                  </w:r>
                </w:p>
              </w:tc>
              <w:tc>
                <w:tcPr>
                  <w:tcW w:w="1343" w:type="dxa"/>
                  <w:vAlign w:val="center"/>
                </w:tcPr>
                <w:p w14:paraId="7B1A9BE0">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w:t>
                  </w:r>
                </w:p>
              </w:tc>
              <w:tc>
                <w:tcPr>
                  <w:tcW w:w="1065" w:type="dxa"/>
                  <w:vAlign w:val="center"/>
                </w:tcPr>
                <w:p w14:paraId="3FF13D63">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w:t>
                  </w:r>
                </w:p>
              </w:tc>
              <w:tc>
                <w:tcPr>
                  <w:tcW w:w="1110" w:type="dxa"/>
                  <w:vAlign w:val="center"/>
                </w:tcPr>
                <w:p w14:paraId="5E113FAD">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不得检出</w:t>
                  </w:r>
                </w:p>
              </w:tc>
              <w:tc>
                <w:tcPr>
                  <w:tcW w:w="904" w:type="dxa"/>
                  <w:vAlign w:val="center"/>
                </w:tcPr>
                <w:p w14:paraId="6B2ACE65">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&gt;</w:t>
                  </w:r>
                  <w:r>
                    <w:rPr>
                      <w:rFonts w:hint="default" w:ascii="Times New Roman" w:hAnsi="Times New Roman" w:eastAsia="宋体" w:cs="Times New Roman"/>
                      <w:sz w:val="21"/>
                      <w:szCs w:val="21"/>
                    </w:rPr>
                    <w:t>95%</w:t>
                  </w:r>
                </w:p>
              </w:tc>
            </w:tr>
            <w:tr w14:paraId="7A69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95" w:type="dxa"/>
                  <w:vAlign w:val="center"/>
                </w:tcPr>
                <w:p w14:paraId="4C51C252">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综合性医疗机构</w:t>
                  </w:r>
                </w:p>
              </w:tc>
              <w:tc>
                <w:tcPr>
                  <w:tcW w:w="1657" w:type="dxa"/>
                  <w:vAlign w:val="center"/>
                </w:tcPr>
                <w:p w14:paraId="29A109AB">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r>
                    <w:rPr>
                      <w:rFonts w:hint="default" w:ascii="Times New Roman" w:hAnsi="Times New Roman" w:eastAsia="宋体" w:cs="Times New Roman"/>
                      <w:sz w:val="21"/>
                      <w:szCs w:val="21"/>
                      <w:lang w:val="en-US" w:eastAsia="zh-CN"/>
                    </w:rPr>
                    <w:t>0</w:t>
                  </w:r>
                </w:p>
              </w:tc>
              <w:tc>
                <w:tcPr>
                  <w:tcW w:w="1343" w:type="dxa"/>
                  <w:vAlign w:val="center"/>
                </w:tcPr>
                <w:p w14:paraId="693A4C58">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w:t>
                  </w:r>
                </w:p>
              </w:tc>
              <w:tc>
                <w:tcPr>
                  <w:tcW w:w="1065" w:type="dxa"/>
                  <w:vAlign w:val="center"/>
                </w:tcPr>
                <w:p w14:paraId="08913DBF">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1110" w:type="dxa"/>
                  <w:vAlign w:val="center"/>
                </w:tcPr>
                <w:p w14:paraId="1A543646">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904" w:type="dxa"/>
                  <w:vAlign w:val="center"/>
                </w:tcPr>
                <w:p w14:paraId="2A0F28FA">
                  <w:pPr>
                    <w:pStyle w:val="11"/>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sz w:val="21"/>
                      <w:szCs w:val="21"/>
                    </w:rPr>
                  </w:pPr>
                  <w:r>
                    <w:rPr>
                      <w:rFonts w:hint="eastAsia" w:ascii="Times New Roman" w:hAnsi="Times New Roman" w:cs="Times New Roman"/>
                      <w:sz w:val="21"/>
                      <w:szCs w:val="21"/>
                      <w:lang w:val="en-US" w:eastAsia="zh-CN"/>
                    </w:rPr>
                    <w:t>&gt;</w:t>
                  </w:r>
                  <w:r>
                    <w:rPr>
                      <w:rFonts w:hint="default" w:ascii="Times New Roman" w:hAnsi="Times New Roman" w:eastAsia="宋体" w:cs="Times New Roman"/>
                      <w:sz w:val="21"/>
                      <w:szCs w:val="21"/>
                    </w:rPr>
                    <w:t>95%</w:t>
                  </w:r>
                </w:p>
              </w:tc>
            </w:tr>
          </w:tbl>
          <w:p w14:paraId="320E3E0B">
            <w:pPr>
              <w:widowControl/>
              <w:spacing w:line="360" w:lineRule="auto"/>
              <w:ind w:firstLine="420" w:firstLineChars="200"/>
              <w:jc w:val="left"/>
              <w:rPr>
                <w:rFonts w:hint="default" w:ascii="Times New Roman" w:hAnsi="Times New Roman" w:eastAsia="宋体" w:cs="Times New Roman"/>
                <w:kern w:val="0"/>
                <w:sz w:val="21"/>
                <w:szCs w:val="21"/>
              </w:rPr>
            </w:pPr>
          </w:p>
        </w:tc>
      </w:tr>
      <w:tr w14:paraId="17D11E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63" w:hRule="atLeast"/>
          <w:jc w:val="center"/>
        </w:trPr>
        <w:tc>
          <w:tcPr>
            <w:tcW w:w="800" w:type="dxa"/>
            <w:vAlign w:val="center"/>
          </w:tcPr>
          <w:p w14:paraId="33FDD780">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总量</w:t>
            </w:r>
          </w:p>
          <w:p w14:paraId="11945517">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控制</w:t>
            </w:r>
          </w:p>
          <w:p w14:paraId="22E69084">
            <w:pPr>
              <w:adjustRightInd w:val="0"/>
              <w:snapToGrid w:val="0"/>
              <w:spacing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指标</w:t>
            </w:r>
          </w:p>
        </w:tc>
        <w:tc>
          <w:tcPr>
            <w:tcW w:w="8190" w:type="dxa"/>
            <w:vAlign w:val="center"/>
          </w:tcPr>
          <w:p w14:paraId="5272F327">
            <w:pPr>
              <w:adjustRightInd w:val="0"/>
              <w:snapToGrid w:val="0"/>
              <w:spacing w:line="360" w:lineRule="auto"/>
              <w:ind w:firstLine="480" w:firstLineChars="200"/>
              <w:jc w:val="left"/>
              <w:rPr>
                <w:rFonts w:hint="default" w:ascii="Times New Roman" w:hAnsi="Times New Roman" w:eastAsia="宋体" w:cs="Times New Roman"/>
                <w:kern w:val="0"/>
                <w:sz w:val="24"/>
                <w:szCs w:val="24"/>
                <w:highlight w:val="none"/>
              </w:rPr>
            </w:pPr>
            <w:r>
              <w:rPr>
                <w:rFonts w:hint="default" w:ascii="Times New Roman" w:hAnsi="Times New Roman" w:eastAsia="宋体" w:cs="Times New Roman"/>
                <w:kern w:val="0"/>
                <w:sz w:val="24"/>
                <w:szCs w:val="24"/>
                <w:highlight w:val="none"/>
              </w:rPr>
              <w:t>根据湖南省生态环境厅《湖南省主要污染物排污权有偿使用和交易实施细则》（湘环发[2024]3号），文件内容：总量控制因子为化学需氧量、氨氮、二氧化硫、氮氧化物、挥发性有机物、总磷、铅、镉、砷、汞、铬等污染物。其中化学需氧量、氨氮、二氧化硫、氮氧化物四类污染物的管理对象为本行政区域内纳入固定污染源排污许可分类管理名录的、除公共基础设施类之外的工业类排污单位。</w:t>
            </w:r>
          </w:p>
          <w:p w14:paraId="2F27FF81">
            <w:pPr>
              <w:adjustRightInd w:val="0"/>
              <w:snapToGrid w:val="0"/>
              <w:spacing w:line="360" w:lineRule="auto"/>
              <w:ind w:firstLine="480" w:firstLineChars="200"/>
              <w:jc w:val="left"/>
              <w:rPr>
                <w:rFonts w:hint="eastAsia" w:ascii="宋体" w:hAnsi="宋体" w:eastAsia="宋体" w:cs="宋体"/>
                <w:kern w:val="0"/>
                <w:sz w:val="21"/>
                <w:szCs w:val="21"/>
                <w:lang w:eastAsia="zh-CN"/>
              </w:rPr>
            </w:pPr>
            <w:r>
              <w:rPr>
                <w:rFonts w:hint="default" w:ascii="Times New Roman" w:hAnsi="Times New Roman" w:eastAsia="宋体" w:cs="Times New Roman"/>
                <w:kern w:val="0"/>
                <w:sz w:val="24"/>
                <w:szCs w:val="24"/>
                <w:highlight w:val="none"/>
              </w:rPr>
              <w:t>结合本项目排污特点，本项目涉及COD和氨氮的排放总量。经核算，本项目废水污染物总量指标分别为COD：</w:t>
            </w:r>
            <w:r>
              <w:rPr>
                <w:rFonts w:hint="eastAsia" w:cs="Times New Roman"/>
                <w:kern w:val="0"/>
                <w:sz w:val="24"/>
                <w:szCs w:val="24"/>
                <w:highlight w:val="none"/>
                <w:lang w:val="en-US" w:eastAsia="zh-CN"/>
              </w:rPr>
              <w:t>15.33</w:t>
            </w:r>
            <w:r>
              <w:rPr>
                <w:rFonts w:hint="default" w:ascii="Times New Roman" w:hAnsi="Times New Roman" w:eastAsia="宋体" w:cs="Times New Roman"/>
                <w:kern w:val="0"/>
                <w:sz w:val="24"/>
                <w:szCs w:val="24"/>
                <w:highlight w:val="none"/>
              </w:rPr>
              <w:t>t/a；NH</w:t>
            </w:r>
            <w:r>
              <w:rPr>
                <w:rFonts w:hint="default" w:ascii="Times New Roman" w:hAnsi="Times New Roman" w:eastAsia="宋体" w:cs="Times New Roman"/>
                <w:kern w:val="0"/>
                <w:sz w:val="24"/>
                <w:szCs w:val="24"/>
                <w:highlight w:val="none"/>
                <w:vertAlign w:val="subscript"/>
              </w:rPr>
              <w:t>3</w:t>
            </w:r>
            <w:r>
              <w:rPr>
                <w:rFonts w:hint="default" w:ascii="Times New Roman" w:hAnsi="Times New Roman" w:eastAsia="宋体" w:cs="Times New Roman"/>
                <w:kern w:val="0"/>
                <w:sz w:val="24"/>
                <w:szCs w:val="24"/>
                <w:highlight w:val="none"/>
              </w:rPr>
              <w:t>-N：</w:t>
            </w:r>
            <w:r>
              <w:rPr>
                <w:rFonts w:hint="eastAsia" w:cs="Times New Roman"/>
                <w:kern w:val="0"/>
                <w:sz w:val="24"/>
                <w:szCs w:val="24"/>
                <w:highlight w:val="none"/>
                <w:lang w:val="en-US" w:eastAsia="zh-CN"/>
              </w:rPr>
              <w:t>1.53</w:t>
            </w:r>
            <w:r>
              <w:rPr>
                <w:rFonts w:hint="default" w:ascii="Times New Roman" w:hAnsi="Times New Roman" w:eastAsia="宋体" w:cs="Times New Roman"/>
                <w:kern w:val="0"/>
                <w:sz w:val="24"/>
                <w:szCs w:val="24"/>
                <w:highlight w:val="none"/>
              </w:rPr>
              <w:t>t/a。由于项目不属于工业类项目，故本项目无需申请总量控制指标</w:t>
            </w:r>
            <w:r>
              <w:rPr>
                <w:rFonts w:hint="eastAsia" w:ascii="Times New Roman" w:hAnsi="Times New Roman" w:cs="Times New Roman"/>
                <w:kern w:val="0"/>
                <w:sz w:val="24"/>
                <w:szCs w:val="24"/>
                <w:highlight w:val="none"/>
                <w:lang w:eastAsia="zh-CN"/>
              </w:rPr>
              <w:t>。</w:t>
            </w:r>
          </w:p>
        </w:tc>
      </w:tr>
    </w:tbl>
    <w:p w14:paraId="2272D829">
      <w:pPr>
        <w:pStyle w:val="21"/>
        <w:spacing w:line="360" w:lineRule="auto"/>
        <w:ind w:firstLine="720"/>
        <w:jc w:val="center"/>
        <w:outlineLvl w:val="0"/>
        <w:rPr>
          <w:rFonts w:ascii="黑体" w:hAnsi="黑体" w:eastAsia="黑体"/>
          <w:snapToGrid w:val="0"/>
          <w:sz w:val="30"/>
          <w:szCs w:val="30"/>
        </w:rPr>
      </w:pPr>
      <w:r>
        <w:rPr>
          <w:rFonts w:ascii="黑体" w:hAnsi="黑体" w:eastAsia="黑体"/>
          <w:snapToGrid w:val="0"/>
          <w:sz w:val="36"/>
          <w:szCs w:val="36"/>
        </w:rPr>
        <w:br w:type="page"/>
      </w:r>
      <w:bookmarkStart w:id="11" w:name="_Toc139925581"/>
      <w:bookmarkStart w:id="12" w:name="_Toc134611497"/>
      <w:r>
        <w:rPr>
          <w:rFonts w:hint="eastAsia" w:ascii="黑体" w:hAnsi="黑体" w:eastAsia="黑体"/>
          <w:snapToGrid w:val="0"/>
          <w:sz w:val="30"/>
          <w:szCs w:val="30"/>
        </w:rPr>
        <w:t>四、主要环境影响和保护措施</w:t>
      </w:r>
      <w:bookmarkEnd w:id="11"/>
      <w:bookmarkEnd w:id="12"/>
    </w:p>
    <w:tbl>
      <w:tblPr>
        <w:tblStyle w:val="24"/>
        <w:tblW w:w="920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10"/>
        <w:gridCol w:w="8697"/>
      </w:tblGrid>
      <w:tr w14:paraId="208292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83" w:hRule="atLeast"/>
          <w:jc w:val="center"/>
        </w:trPr>
        <w:tc>
          <w:tcPr>
            <w:tcW w:w="510" w:type="dxa"/>
            <w:tcMar>
              <w:left w:w="28" w:type="dxa"/>
              <w:right w:w="28" w:type="dxa"/>
            </w:tcMar>
            <w:vAlign w:val="center"/>
          </w:tcPr>
          <w:p w14:paraId="444A8DAF">
            <w:pPr>
              <w:pStyle w:val="21"/>
              <w:adjustRightInd w:val="0"/>
              <w:snapToGrid w:val="0"/>
              <w:spacing w:before="0" w:beforeAutospacing="0" w:after="0" w:afterAutospacing="0"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施工</w:t>
            </w:r>
          </w:p>
          <w:p w14:paraId="37C8FA8A">
            <w:pPr>
              <w:pStyle w:val="21"/>
              <w:adjustRightInd w:val="0"/>
              <w:snapToGrid w:val="0"/>
              <w:spacing w:before="0" w:beforeAutospacing="0" w:after="0" w:afterAutospacing="0"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期环</w:t>
            </w:r>
          </w:p>
          <w:p w14:paraId="0270974C">
            <w:pPr>
              <w:pStyle w:val="21"/>
              <w:adjustRightInd w:val="0"/>
              <w:snapToGrid w:val="0"/>
              <w:spacing w:before="0" w:beforeAutospacing="0" w:after="0" w:afterAutospacing="0"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境保</w:t>
            </w:r>
          </w:p>
          <w:p w14:paraId="35B7B4C1">
            <w:pPr>
              <w:pStyle w:val="21"/>
              <w:adjustRightInd w:val="0"/>
              <w:snapToGrid w:val="0"/>
              <w:spacing w:before="0" w:beforeAutospacing="0" w:after="0" w:afterAutospacing="0"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护措</w:t>
            </w:r>
          </w:p>
          <w:p w14:paraId="1B1AC63B">
            <w:pPr>
              <w:pStyle w:val="21"/>
              <w:adjustRightInd w:val="0"/>
              <w:snapToGrid w:val="0"/>
              <w:spacing w:before="0" w:beforeAutospacing="0" w:after="0" w:afterAutospacing="0" w:line="360" w:lineRule="auto"/>
              <w:jc w:val="center"/>
              <w:rPr>
                <w:rFonts w:hint="eastAsia" w:ascii="宋体" w:hAnsi="宋体" w:eastAsia="宋体" w:cs="宋体"/>
                <w:bCs/>
                <w:kern w:val="2"/>
                <w:sz w:val="21"/>
                <w:szCs w:val="21"/>
              </w:rPr>
            </w:pPr>
            <w:r>
              <w:rPr>
                <w:rFonts w:hint="eastAsia" w:ascii="宋体" w:hAnsi="宋体" w:eastAsia="宋体" w:cs="宋体"/>
                <w:kern w:val="2"/>
                <w:sz w:val="21"/>
                <w:szCs w:val="21"/>
              </w:rPr>
              <w:t>施</w:t>
            </w:r>
          </w:p>
        </w:tc>
        <w:tc>
          <w:tcPr>
            <w:tcW w:w="8697" w:type="dxa"/>
            <w:vAlign w:val="center"/>
          </w:tcPr>
          <w:p w14:paraId="556CB610">
            <w:pPr>
              <w:adjustRightInd w:val="0"/>
              <w:snapToGrid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本项目</w:t>
            </w:r>
            <w:r>
              <w:rPr>
                <w:rFonts w:hint="eastAsia" w:ascii="宋体" w:hAnsi="宋体" w:cs="宋体"/>
                <w:sz w:val="24"/>
                <w:szCs w:val="24"/>
                <w:lang w:val="en-US" w:eastAsia="zh-CN"/>
              </w:rPr>
              <w:t>仅对现有构筑物进行简单装修</w:t>
            </w:r>
            <w:r>
              <w:rPr>
                <w:rFonts w:hint="eastAsia" w:ascii="宋体" w:hAnsi="宋体" w:eastAsia="宋体" w:cs="宋体"/>
                <w:sz w:val="24"/>
                <w:szCs w:val="24"/>
              </w:rPr>
              <w:t>，无</w:t>
            </w:r>
            <w:r>
              <w:rPr>
                <w:rFonts w:hint="eastAsia" w:ascii="宋体" w:hAnsi="宋体" w:eastAsia="宋体" w:cs="宋体"/>
                <w:sz w:val="24"/>
                <w:szCs w:val="24"/>
                <w:lang w:val="en-US" w:eastAsia="zh-CN"/>
              </w:rPr>
              <w:t>土建</w:t>
            </w:r>
            <w:r>
              <w:rPr>
                <w:rFonts w:hint="eastAsia" w:ascii="宋体" w:hAnsi="宋体" w:eastAsia="宋体" w:cs="宋体"/>
                <w:sz w:val="24"/>
                <w:szCs w:val="24"/>
              </w:rPr>
              <w:t>施工过程</w:t>
            </w:r>
            <w:r>
              <w:rPr>
                <w:rFonts w:hint="eastAsia" w:ascii="宋体" w:hAnsi="宋体" w:eastAsia="宋体" w:cs="宋体"/>
                <w:sz w:val="24"/>
                <w:szCs w:val="24"/>
                <w:lang w:eastAsia="zh-CN"/>
              </w:rPr>
              <w:t>，</w:t>
            </w:r>
          </w:p>
          <w:p w14:paraId="476AFF1F">
            <w:pPr>
              <w:adjustRightInd w:val="0"/>
              <w:snapToGrid w:val="0"/>
              <w:spacing w:line="360" w:lineRule="auto"/>
              <w:ind w:firstLine="480" w:firstLineChars="200"/>
              <w:rPr>
                <w:rFonts w:hint="eastAsia" w:ascii="宋体" w:hAnsi="宋体" w:eastAsia="宋体" w:cs="宋体"/>
                <w:bCs/>
                <w:spacing w:val="-10"/>
                <w:sz w:val="21"/>
                <w:szCs w:val="21"/>
              </w:rPr>
            </w:pPr>
            <w:r>
              <w:rPr>
                <w:rFonts w:hint="eastAsia" w:ascii="宋体" w:hAnsi="宋体" w:eastAsia="宋体" w:cs="宋体"/>
                <w:sz w:val="24"/>
                <w:szCs w:val="24"/>
              </w:rPr>
              <w:t>本项目施工期主要进行</w:t>
            </w:r>
            <w:r>
              <w:rPr>
                <w:rFonts w:hint="eastAsia" w:ascii="宋体" w:hAnsi="宋体" w:cs="宋体"/>
                <w:sz w:val="24"/>
                <w:szCs w:val="24"/>
                <w:lang w:val="en-US" w:eastAsia="zh-CN"/>
              </w:rPr>
              <w:t>设备和</w:t>
            </w:r>
            <w:r>
              <w:rPr>
                <w:rFonts w:hint="eastAsia" w:ascii="宋体" w:hAnsi="宋体" w:eastAsia="宋体" w:cs="宋体"/>
                <w:sz w:val="24"/>
                <w:szCs w:val="24"/>
              </w:rPr>
              <w:t>病床安装，施工期影响主要是运输车辆噪声影响，对周围环境影响较小。</w:t>
            </w:r>
          </w:p>
        </w:tc>
      </w:tr>
      <w:tr w14:paraId="720AB6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56" w:hRule="atLeast"/>
          <w:jc w:val="center"/>
        </w:trPr>
        <w:tc>
          <w:tcPr>
            <w:tcW w:w="510" w:type="dxa"/>
            <w:tcMar>
              <w:left w:w="28" w:type="dxa"/>
              <w:right w:w="28" w:type="dxa"/>
            </w:tcMar>
            <w:vAlign w:val="center"/>
          </w:tcPr>
          <w:p w14:paraId="78AB5895">
            <w:pPr>
              <w:adjustRightInd w:val="0"/>
              <w:snapToGrid w:val="0"/>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运营</w:t>
            </w:r>
          </w:p>
          <w:p w14:paraId="09D30718">
            <w:pPr>
              <w:adjustRightInd w:val="0"/>
              <w:snapToGrid w:val="0"/>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期环</w:t>
            </w:r>
          </w:p>
          <w:p w14:paraId="29B8237E">
            <w:pPr>
              <w:adjustRightInd w:val="0"/>
              <w:snapToGrid w:val="0"/>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境影</w:t>
            </w:r>
          </w:p>
          <w:p w14:paraId="5E8300D5">
            <w:pPr>
              <w:adjustRightInd w:val="0"/>
              <w:snapToGrid w:val="0"/>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响和</w:t>
            </w:r>
          </w:p>
          <w:p w14:paraId="3D767FB9">
            <w:pPr>
              <w:adjustRightInd w:val="0"/>
              <w:snapToGrid w:val="0"/>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保护</w:t>
            </w:r>
          </w:p>
          <w:p w14:paraId="2120FC2C">
            <w:pPr>
              <w:adjustRightInd w:val="0"/>
              <w:snapToGrid w:val="0"/>
              <w:spacing w:line="360" w:lineRule="auto"/>
              <w:jc w:val="center"/>
              <w:rPr>
                <w:rFonts w:hint="eastAsia" w:ascii="宋体" w:hAnsi="宋体" w:eastAsia="宋体" w:cs="宋体"/>
                <w:bCs/>
                <w:sz w:val="21"/>
                <w:szCs w:val="21"/>
              </w:rPr>
            </w:pPr>
            <w:r>
              <w:rPr>
                <w:rFonts w:hint="eastAsia" w:ascii="宋体" w:hAnsi="宋体" w:eastAsia="宋体" w:cs="宋体"/>
                <w:bCs/>
                <w:sz w:val="21"/>
                <w:szCs w:val="21"/>
              </w:rPr>
              <w:t>措施</w:t>
            </w:r>
          </w:p>
        </w:tc>
        <w:tc>
          <w:tcPr>
            <w:tcW w:w="8697" w:type="dxa"/>
            <w:vAlign w:val="center"/>
          </w:tcPr>
          <w:p w14:paraId="138FA3AF">
            <w:pPr>
              <w:adjustRightInd w:val="0"/>
              <w:snapToGrid w:val="0"/>
              <w:spacing w:line="360" w:lineRule="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1、废气</w:t>
            </w:r>
          </w:p>
          <w:p w14:paraId="300174AB">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根据工程分析，本项目运营期废气主要为污水处理站臭气</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天然气锅炉废气、备用柴油发电机废气、</w:t>
            </w:r>
            <w:r>
              <w:rPr>
                <w:rFonts w:hint="default" w:ascii="Times New Roman" w:hAnsi="Times New Roman" w:eastAsia="宋体" w:cs="Times New Roman"/>
                <w:color w:val="000000" w:themeColor="text1"/>
                <w:sz w:val="24"/>
                <w:szCs w:val="24"/>
              </w:rPr>
              <w:t>油烟废气</w:t>
            </w:r>
            <w:r>
              <w:rPr>
                <w:rFonts w:hint="eastAsia" w:cs="Times New Roman"/>
                <w:color w:val="000000" w:themeColor="text1"/>
                <w:sz w:val="24"/>
                <w:szCs w:val="24"/>
                <w:lang w:eastAsia="zh-CN"/>
              </w:rPr>
              <w:t>、</w:t>
            </w:r>
            <w:r>
              <w:rPr>
                <w:rFonts w:hint="eastAsia" w:cs="Times New Roman"/>
                <w:color w:val="000000" w:themeColor="text1"/>
                <w:sz w:val="24"/>
                <w:szCs w:val="24"/>
                <w:lang w:val="en-US" w:eastAsia="zh-CN"/>
              </w:rPr>
              <w:t>危废间臭气</w:t>
            </w:r>
            <w:r>
              <w:rPr>
                <w:rFonts w:hint="default" w:ascii="Times New Roman" w:hAnsi="Times New Roman" w:cs="Times New Roman"/>
                <w:color w:val="000000" w:themeColor="text1"/>
                <w:sz w:val="24"/>
                <w:szCs w:val="24"/>
                <w:lang w:val="en-US" w:eastAsia="zh-CN"/>
              </w:rPr>
              <w:t>和汽车尾气</w:t>
            </w:r>
            <w:r>
              <w:rPr>
                <w:rFonts w:hint="default" w:ascii="Times New Roman" w:hAnsi="Times New Roman" w:eastAsia="宋体" w:cs="Times New Roman"/>
                <w:color w:val="000000" w:themeColor="text1"/>
                <w:sz w:val="24"/>
                <w:szCs w:val="24"/>
              </w:rPr>
              <w:t>。</w:t>
            </w:r>
          </w:p>
          <w:p w14:paraId="2157CF85">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u w:val="single"/>
              </w:rPr>
            </w:pPr>
            <w:r>
              <w:rPr>
                <w:rFonts w:hint="default" w:ascii="Times New Roman" w:hAnsi="Times New Roman" w:eastAsia="宋体" w:cs="Times New Roman"/>
                <w:b/>
                <w:bCs/>
                <w:color w:val="000000" w:themeColor="text1"/>
                <w:sz w:val="24"/>
                <w:szCs w:val="24"/>
                <w:u w:val="single"/>
              </w:rPr>
              <w:t>（1）污水处理站臭气</w:t>
            </w:r>
          </w:p>
          <w:p w14:paraId="6E0E428E">
            <w:pPr>
              <w:adjustRightInd w:val="0"/>
              <w:snapToGrid w:val="0"/>
              <w:spacing w:line="360" w:lineRule="auto"/>
              <w:ind w:firstLine="480" w:firstLineChars="200"/>
              <w:rPr>
                <w:rFonts w:hint="eastAsia" w:ascii="Times New Roman" w:hAnsi="Times New Roman" w:eastAsia="宋体" w:cs="Times New Roman"/>
                <w:color w:val="000000" w:themeColor="text1"/>
                <w:sz w:val="24"/>
                <w:szCs w:val="24"/>
                <w:u w:val="single"/>
                <w:lang w:eastAsia="zh-CN"/>
              </w:rPr>
            </w:pPr>
            <w:r>
              <w:rPr>
                <w:rFonts w:hint="default" w:ascii="Times New Roman" w:hAnsi="Times New Roman" w:eastAsia="宋体" w:cs="Times New Roman"/>
                <w:color w:val="000000" w:themeColor="text1"/>
                <w:sz w:val="24"/>
                <w:szCs w:val="24"/>
                <w:u w:val="single"/>
              </w:rPr>
              <w:t>污水处理臭气主要来源于污水、污泥中有机物分解发酵过程中散发的化学物，主要成分为硫化氢、氨等物质。项目</w:t>
            </w:r>
            <w:r>
              <w:rPr>
                <w:rFonts w:hint="default" w:ascii="Times New Roman" w:hAnsi="Times New Roman" w:cs="Times New Roman"/>
                <w:color w:val="000000" w:themeColor="text1"/>
                <w:sz w:val="24"/>
                <w:szCs w:val="24"/>
                <w:u w:val="single"/>
                <w:lang w:val="en-US" w:eastAsia="zh-CN"/>
              </w:rPr>
              <w:t>利用原有封闭式</w:t>
            </w:r>
            <w:r>
              <w:rPr>
                <w:rFonts w:hint="default" w:ascii="Times New Roman" w:hAnsi="Times New Roman" w:eastAsia="宋体" w:cs="Times New Roman"/>
                <w:color w:val="000000" w:themeColor="text1"/>
                <w:sz w:val="24"/>
                <w:szCs w:val="24"/>
                <w:u w:val="single"/>
                <w:lang w:val="en-US" w:eastAsia="zh-CN"/>
              </w:rPr>
              <w:t>污水处理</w:t>
            </w:r>
            <w:r>
              <w:rPr>
                <w:rFonts w:hint="default" w:ascii="Times New Roman" w:hAnsi="Times New Roman" w:cs="Times New Roman"/>
                <w:color w:val="000000" w:themeColor="text1"/>
                <w:sz w:val="24"/>
                <w:szCs w:val="24"/>
                <w:u w:val="single"/>
                <w:lang w:val="en-US" w:eastAsia="zh-CN"/>
              </w:rPr>
              <w:t>站</w:t>
            </w:r>
            <w:r>
              <w:rPr>
                <w:rFonts w:hint="default" w:ascii="Times New Roman" w:hAnsi="Times New Roman" w:eastAsia="宋体" w:cs="Times New Roman"/>
                <w:color w:val="000000" w:themeColor="text1"/>
                <w:sz w:val="24"/>
                <w:szCs w:val="24"/>
                <w:u w:val="single"/>
                <w:lang w:val="en-US" w:eastAsia="zh-CN"/>
              </w:rPr>
              <w:t>处理废水</w:t>
            </w:r>
            <w:r>
              <w:rPr>
                <w:rFonts w:hint="default" w:ascii="Times New Roman" w:hAnsi="Times New Roman" w:eastAsia="宋体" w:cs="Times New Roman"/>
                <w:color w:val="000000" w:themeColor="text1"/>
                <w:sz w:val="24"/>
                <w:szCs w:val="24"/>
                <w:u w:val="single"/>
              </w:rPr>
              <w:t>（采用</w:t>
            </w:r>
            <w:r>
              <w:rPr>
                <w:rFonts w:hint="default" w:ascii="Times New Roman" w:hAnsi="Times New Roman" w:cs="Times New Roman"/>
                <w:color w:val="000000" w:themeColor="text1"/>
                <w:sz w:val="24"/>
                <w:szCs w:val="24"/>
                <w:u w:val="single"/>
                <w:lang w:val="en-US" w:eastAsia="zh-CN"/>
              </w:rPr>
              <w:t>格栅+A/O工艺+氯系消毒</w:t>
            </w:r>
            <w:r>
              <w:rPr>
                <w:rFonts w:hint="default" w:ascii="Times New Roman" w:hAnsi="Times New Roman" w:eastAsia="宋体" w:cs="Times New Roman"/>
                <w:color w:val="000000" w:themeColor="text1"/>
                <w:sz w:val="24"/>
                <w:szCs w:val="24"/>
                <w:u w:val="single"/>
              </w:rPr>
              <w:t>工艺</w:t>
            </w:r>
            <w:r>
              <w:rPr>
                <w:rFonts w:hint="default" w:ascii="Times New Roman" w:hAnsi="Times New Roman" w:cs="Times New Roman"/>
                <w:color w:val="000000" w:themeColor="text1"/>
                <w:sz w:val="24"/>
                <w:szCs w:val="24"/>
                <w:u w:val="single"/>
                <w:lang w:eastAsia="zh-CN"/>
              </w:rPr>
              <w:t>，</w:t>
            </w:r>
            <w:r>
              <w:rPr>
                <w:rFonts w:hint="default" w:ascii="Times New Roman" w:hAnsi="Times New Roman" w:cs="Times New Roman"/>
                <w:color w:val="000000" w:themeColor="text1"/>
                <w:sz w:val="24"/>
                <w:szCs w:val="24"/>
                <w:u w:val="single"/>
                <w:lang w:val="en-US" w:eastAsia="zh-CN"/>
              </w:rPr>
              <w:t>各级污水池均位于地下，地面上仅有设备用房和各房间内的检修孔</w:t>
            </w:r>
            <w:r>
              <w:rPr>
                <w:rFonts w:hint="default" w:ascii="Times New Roman" w:hAnsi="Times New Roman" w:eastAsia="宋体" w:cs="Times New Roman"/>
                <w:color w:val="000000" w:themeColor="text1"/>
                <w:sz w:val="24"/>
                <w:szCs w:val="24"/>
                <w:u w:val="single"/>
              </w:rPr>
              <w:t>），根据美国EPA对城市污水处理厂恶臭污染物产生情况的研究，每去除1g的BOD</w:t>
            </w:r>
            <w:r>
              <w:rPr>
                <w:rFonts w:hint="default" w:ascii="Times New Roman" w:hAnsi="Times New Roman" w:eastAsia="宋体" w:cs="Times New Roman"/>
                <w:color w:val="000000" w:themeColor="text1"/>
                <w:sz w:val="24"/>
                <w:szCs w:val="24"/>
                <w:u w:val="single"/>
                <w:vertAlign w:val="subscript"/>
              </w:rPr>
              <w:t>5</w:t>
            </w:r>
            <w:r>
              <w:rPr>
                <w:rFonts w:hint="default" w:ascii="Times New Roman" w:hAnsi="Times New Roman" w:eastAsia="宋体" w:cs="Times New Roman"/>
                <w:color w:val="000000" w:themeColor="text1"/>
                <w:sz w:val="24"/>
                <w:szCs w:val="24"/>
                <w:u w:val="single"/>
              </w:rPr>
              <w:t>，可产生0.0031g的NH</w:t>
            </w:r>
            <w:r>
              <w:rPr>
                <w:rFonts w:hint="default" w:ascii="Times New Roman" w:hAnsi="Times New Roman" w:eastAsia="宋体" w:cs="Times New Roman"/>
                <w:color w:val="000000" w:themeColor="text1"/>
                <w:sz w:val="24"/>
                <w:szCs w:val="24"/>
                <w:u w:val="single"/>
                <w:vertAlign w:val="subscript"/>
              </w:rPr>
              <w:t>3</w:t>
            </w:r>
            <w:r>
              <w:rPr>
                <w:rFonts w:hint="default" w:ascii="Times New Roman" w:hAnsi="Times New Roman" w:eastAsia="宋体" w:cs="Times New Roman"/>
                <w:color w:val="000000" w:themeColor="text1"/>
                <w:sz w:val="24"/>
                <w:szCs w:val="24"/>
                <w:u w:val="single"/>
              </w:rPr>
              <w:t>、0.00012g的H</w:t>
            </w:r>
            <w:r>
              <w:rPr>
                <w:rFonts w:hint="default" w:ascii="Times New Roman" w:hAnsi="Times New Roman" w:eastAsia="宋体" w:cs="Times New Roman"/>
                <w:color w:val="000000" w:themeColor="text1"/>
                <w:sz w:val="24"/>
                <w:szCs w:val="24"/>
                <w:u w:val="single"/>
                <w:vertAlign w:val="subscript"/>
              </w:rPr>
              <w:t>2</w:t>
            </w:r>
            <w:r>
              <w:rPr>
                <w:rFonts w:hint="default" w:ascii="Times New Roman" w:hAnsi="Times New Roman" w:eastAsia="宋体" w:cs="Times New Roman"/>
                <w:color w:val="000000" w:themeColor="text1"/>
                <w:sz w:val="24"/>
                <w:szCs w:val="24"/>
                <w:u w:val="single"/>
              </w:rPr>
              <w:t>S。根据废水源强核算，项目处理废水量约</w:t>
            </w:r>
            <w:r>
              <w:rPr>
                <w:rFonts w:hint="eastAsia" w:cs="Times New Roman"/>
                <w:color w:val="000000" w:themeColor="text1"/>
                <w:sz w:val="24"/>
                <w:szCs w:val="24"/>
                <w:u w:val="single"/>
                <w:lang w:val="en-US" w:eastAsia="zh-CN"/>
              </w:rPr>
              <w:t>58984</w:t>
            </w:r>
            <w:r>
              <w:rPr>
                <w:rFonts w:hint="default" w:ascii="Times New Roman" w:hAnsi="Times New Roman" w:eastAsia="宋体" w:cs="Times New Roman"/>
                <w:color w:val="000000" w:themeColor="text1"/>
                <w:sz w:val="24"/>
                <w:szCs w:val="24"/>
                <w:u w:val="single"/>
              </w:rPr>
              <w:t>m</w:t>
            </w:r>
            <w:r>
              <w:rPr>
                <w:rFonts w:hint="default" w:ascii="Times New Roman" w:hAnsi="Times New Roman" w:eastAsia="宋体" w:cs="Times New Roman"/>
                <w:color w:val="000000" w:themeColor="text1"/>
                <w:sz w:val="24"/>
                <w:szCs w:val="24"/>
                <w:u w:val="single"/>
                <w:vertAlign w:val="superscript"/>
              </w:rPr>
              <w:t>3</w:t>
            </w:r>
            <w:r>
              <w:rPr>
                <w:rFonts w:hint="default" w:ascii="Times New Roman" w:hAnsi="Times New Roman" w:eastAsia="宋体" w:cs="Times New Roman"/>
                <w:color w:val="000000" w:themeColor="text1"/>
                <w:sz w:val="24"/>
                <w:szCs w:val="24"/>
                <w:u w:val="single"/>
              </w:rPr>
              <w:t>/a，BOD</w:t>
            </w:r>
            <w:r>
              <w:rPr>
                <w:rFonts w:hint="default" w:ascii="Times New Roman" w:hAnsi="Times New Roman" w:eastAsia="宋体" w:cs="Times New Roman"/>
                <w:color w:val="000000" w:themeColor="text1"/>
                <w:sz w:val="24"/>
                <w:szCs w:val="24"/>
                <w:u w:val="single"/>
                <w:vertAlign w:val="subscript"/>
              </w:rPr>
              <w:t>5</w:t>
            </w:r>
            <w:r>
              <w:rPr>
                <w:rFonts w:hint="default" w:ascii="Times New Roman" w:hAnsi="Times New Roman" w:eastAsia="宋体" w:cs="Times New Roman"/>
                <w:color w:val="000000" w:themeColor="text1"/>
                <w:sz w:val="24"/>
                <w:szCs w:val="24"/>
                <w:u w:val="single"/>
              </w:rPr>
              <w:t>去除</w:t>
            </w:r>
            <w:r>
              <w:rPr>
                <w:rFonts w:hint="default" w:ascii="Times New Roman" w:hAnsi="Times New Roman" w:eastAsia="宋体" w:cs="Times New Roman"/>
                <w:color w:val="000000" w:themeColor="text1"/>
                <w:sz w:val="24"/>
                <w:szCs w:val="24"/>
                <w:highlight w:val="none"/>
                <w:u w:val="single"/>
              </w:rPr>
              <w:t>量约</w:t>
            </w:r>
            <w:r>
              <w:rPr>
                <w:rFonts w:hint="eastAsia" w:cs="Times New Roman"/>
                <w:color w:val="000000" w:themeColor="text1"/>
                <w:sz w:val="24"/>
                <w:szCs w:val="24"/>
                <w:highlight w:val="none"/>
                <w:u w:val="single"/>
                <w:lang w:val="en-US" w:eastAsia="zh-CN"/>
              </w:rPr>
              <w:t>5.63t</w:t>
            </w:r>
            <w:r>
              <w:rPr>
                <w:rFonts w:hint="default" w:ascii="Times New Roman" w:hAnsi="Times New Roman" w:eastAsia="宋体" w:cs="Times New Roman"/>
                <w:color w:val="000000" w:themeColor="text1"/>
                <w:sz w:val="24"/>
                <w:szCs w:val="24"/>
                <w:highlight w:val="none"/>
                <w:u w:val="single"/>
              </w:rPr>
              <w:t>/a</w:t>
            </w:r>
            <w:r>
              <w:rPr>
                <w:rFonts w:hint="default" w:ascii="Times New Roman" w:hAnsi="Times New Roman" w:eastAsia="宋体" w:cs="Times New Roman"/>
                <w:color w:val="000000" w:themeColor="text1"/>
                <w:sz w:val="24"/>
                <w:szCs w:val="24"/>
                <w:u w:val="single"/>
              </w:rPr>
              <w:t>，则污水处理臭气中NH</w:t>
            </w:r>
            <w:r>
              <w:rPr>
                <w:rFonts w:hint="default" w:ascii="Times New Roman" w:hAnsi="Times New Roman" w:eastAsia="宋体" w:cs="Times New Roman"/>
                <w:color w:val="000000" w:themeColor="text1"/>
                <w:sz w:val="24"/>
                <w:szCs w:val="24"/>
                <w:u w:val="single"/>
                <w:vertAlign w:val="subscript"/>
              </w:rPr>
              <w:t>3</w:t>
            </w:r>
            <w:r>
              <w:rPr>
                <w:rFonts w:hint="default" w:ascii="Times New Roman" w:hAnsi="Times New Roman" w:eastAsia="宋体" w:cs="Times New Roman"/>
                <w:color w:val="000000" w:themeColor="text1"/>
                <w:sz w:val="24"/>
                <w:szCs w:val="24"/>
                <w:u w:val="single"/>
              </w:rPr>
              <w:t>、H</w:t>
            </w:r>
            <w:r>
              <w:rPr>
                <w:rFonts w:hint="default" w:ascii="Times New Roman" w:hAnsi="Times New Roman" w:eastAsia="宋体" w:cs="Times New Roman"/>
                <w:color w:val="000000" w:themeColor="text1"/>
                <w:sz w:val="24"/>
                <w:szCs w:val="24"/>
                <w:u w:val="single"/>
                <w:vertAlign w:val="subscript"/>
              </w:rPr>
              <w:t>2</w:t>
            </w:r>
            <w:r>
              <w:rPr>
                <w:rFonts w:hint="default" w:ascii="Times New Roman" w:hAnsi="Times New Roman" w:eastAsia="宋体" w:cs="Times New Roman"/>
                <w:color w:val="000000" w:themeColor="text1"/>
                <w:sz w:val="24"/>
                <w:szCs w:val="24"/>
                <w:u w:val="single"/>
              </w:rPr>
              <w:t>S产生量约</w:t>
            </w:r>
            <w:r>
              <w:rPr>
                <w:rFonts w:hint="eastAsia" w:cs="Times New Roman"/>
                <w:i w:val="0"/>
                <w:iCs w:val="0"/>
                <w:color w:val="000000" w:themeColor="text1"/>
                <w:sz w:val="24"/>
                <w:szCs w:val="24"/>
                <w:highlight w:val="none"/>
                <w:u w:val="single"/>
                <w:lang w:val="en-US" w:eastAsia="zh-CN"/>
              </w:rPr>
              <w:t>17.45</w:t>
            </w:r>
            <w:r>
              <w:rPr>
                <w:rFonts w:hint="default" w:ascii="Times New Roman" w:hAnsi="Times New Roman" w:eastAsia="宋体" w:cs="Times New Roman"/>
                <w:i w:val="0"/>
                <w:iCs w:val="0"/>
                <w:color w:val="000000" w:themeColor="text1"/>
                <w:sz w:val="24"/>
                <w:szCs w:val="24"/>
                <w:highlight w:val="none"/>
                <w:u w:val="single"/>
              </w:rPr>
              <w:t>kg/a、</w:t>
            </w:r>
            <w:r>
              <w:rPr>
                <w:rFonts w:hint="eastAsia" w:cs="Times New Roman"/>
                <w:i w:val="0"/>
                <w:iCs w:val="0"/>
                <w:color w:val="000000" w:themeColor="text1"/>
                <w:sz w:val="24"/>
                <w:szCs w:val="24"/>
                <w:highlight w:val="none"/>
                <w:u w:val="single"/>
                <w:lang w:val="en-US" w:eastAsia="zh-CN"/>
              </w:rPr>
              <w:t>0.676</w:t>
            </w:r>
            <w:r>
              <w:rPr>
                <w:rFonts w:hint="default" w:ascii="Times New Roman" w:hAnsi="Times New Roman" w:eastAsia="宋体" w:cs="Times New Roman"/>
                <w:i w:val="0"/>
                <w:iCs w:val="0"/>
                <w:color w:val="000000" w:themeColor="text1"/>
                <w:sz w:val="24"/>
                <w:szCs w:val="24"/>
                <w:highlight w:val="none"/>
                <w:u w:val="single"/>
              </w:rPr>
              <w:t>kg/a</w:t>
            </w:r>
            <w:r>
              <w:rPr>
                <w:rFonts w:hint="eastAsia" w:ascii="Times New Roman" w:hAnsi="Times New Roman" w:eastAsia="宋体" w:cs="Times New Roman"/>
                <w:i w:val="0"/>
                <w:iCs w:val="0"/>
                <w:color w:val="000000" w:themeColor="text1"/>
                <w:sz w:val="24"/>
                <w:szCs w:val="24"/>
                <w:highlight w:val="none"/>
                <w:u w:val="single"/>
                <w:lang w:eastAsia="zh-CN"/>
              </w:rPr>
              <w:t>。</w:t>
            </w:r>
          </w:p>
          <w:p w14:paraId="68773384">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u w:val="single"/>
                <w:lang w:val="en-US" w:eastAsia="zh-CN"/>
              </w:rPr>
            </w:pPr>
            <w:r>
              <w:rPr>
                <w:rFonts w:hint="default" w:ascii="Times New Roman" w:hAnsi="Times New Roman" w:cs="Times New Roman"/>
                <w:color w:val="000000" w:themeColor="text1"/>
                <w:sz w:val="24"/>
                <w:szCs w:val="24"/>
                <w:u w:val="single"/>
                <w:lang w:val="en-US" w:eastAsia="zh-CN"/>
              </w:rPr>
              <w:t>本项目依托的</w:t>
            </w:r>
            <w:r>
              <w:rPr>
                <w:rFonts w:hint="default" w:ascii="Times New Roman" w:hAnsi="Times New Roman" w:eastAsia="宋体" w:cs="Times New Roman"/>
                <w:color w:val="000000" w:themeColor="text1"/>
                <w:sz w:val="24"/>
                <w:szCs w:val="24"/>
                <w:u w:val="single"/>
                <w:lang w:val="en-US" w:eastAsia="zh-CN"/>
              </w:rPr>
              <w:t>污水处理</w:t>
            </w:r>
            <w:r>
              <w:rPr>
                <w:rFonts w:hint="default" w:ascii="Times New Roman" w:hAnsi="Times New Roman" w:cs="Times New Roman"/>
                <w:color w:val="000000" w:themeColor="text1"/>
                <w:sz w:val="24"/>
                <w:szCs w:val="24"/>
                <w:u w:val="single"/>
                <w:lang w:val="en-US" w:eastAsia="zh-CN"/>
              </w:rPr>
              <w:t>站为封闭式地埋式结构，主要池体均位于地下，各池体进出气口均在污水站设备间，通过集气设施把逸散到设备间中的恶臭气体</w:t>
            </w:r>
            <w:r>
              <w:rPr>
                <w:rFonts w:hint="eastAsia" w:cs="Times New Roman"/>
                <w:color w:val="000000" w:themeColor="text1"/>
                <w:sz w:val="24"/>
                <w:szCs w:val="24"/>
                <w:u w:val="single"/>
                <w:lang w:val="en-US" w:eastAsia="zh-CN"/>
              </w:rPr>
              <w:t>负压</w:t>
            </w:r>
            <w:r>
              <w:rPr>
                <w:rFonts w:hint="default" w:ascii="Times New Roman" w:hAnsi="Times New Roman" w:cs="Times New Roman"/>
                <w:color w:val="000000" w:themeColor="text1"/>
                <w:sz w:val="24"/>
                <w:szCs w:val="24"/>
                <w:u w:val="single"/>
                <w:lang w:val="en-US" w:eastAsia="zh-CN"/>
              </w:rPr>
              <w:t>收集起来进入设备间内的碱水喷淋（氢氧化钠）+活性炭吸附处理系统，臭气经处理后引至设备间屋顶无组织排放（此排放方式不符合相关要求，本次环评</w:t>
            </w:r>
            <w:r>
              <w:rPr>
                <w:rFonts w:hint="eastAsia" w:cs="Times New Roman"/>
                <w:color w:val="000000" w:themeColor="text1"/>
                <w:sz w:val="24"/>
                <w:szCs w:val="24"/>
                <w:u w:val="single"/>
                <w:lang w:val="en-US" w:eastAsia="zh-CN"/>
              </w:rPr>
              <w:t>建议</w:t>
            </w:r>
            <w:r>
              <w:rPr>
                <w:rFonts w:hint="default" w:ascii="Times New Roman" w:hAnsi="Times New Roman" w:cs="Times New Roman"/>
                <w:color w:val="000000" w:themeColor="text1"/>
                <w:sz w:val="24"/>
                <w:szCs w:val="24"/>
                <w:u w:val="single"/>
                <w:lang w:val="en-US" w:eastAsia="zh-CN"/>
              </w:rPr>
              <w:t>建设单位将排气筒延长至综合楼楼顶</w:t>
            </w:r>
            <w:r>
              <w:rPr>
                <w:rFonts w:hint="eastAsia" w:cs="Times New Roman"/>
                <w:color w:val="000000" w:themeColor="text1"/>
                <w:sz w:val="24"/>
                <w:szCs w:val="24"/>
                <w:u w:val="single"/>
                <w:lang w:val="en-US" w:eastAsia="zh-CN"/>
              </w:rPr>
              <w:t>有组织</w:t>
            </w:r>
            <w:r>
              <w:rPr>
                <w:rFonts w:hint="default" w:ascii="Times New Roman" w:hAnsi="Times New Roman" w:cs="Times New Roman"/>
                <w:color w:val="000000" w:themeColor="text1"/>
                <w:sz w:val="24"/>
                <w:szCs w:val="24"/>
                <w:u w:val="single"/>
                <w:lang w:val="en-US" w:eastAsia="zh-CN"/>
              </w:rPr>
              <w:t>排放）</w:t>
            </w:r>
            <w:r>
              <w:rPr>
                <w:rFonts w:hint="eastAsia" w:cs="Times New Roman"/>
                <w:color w:val="000000" w:themeColor="text1"/>
                <w:sz w:val="24"/>
                <w:szCs w:val="24"/>
                <w:u w:val="single"/>
                <w:lang w:val="en-US" w:eastAsia="zh-CN"/>
              </w:rPr>
              <w:t>。因污水站</w:t>
            </w:r>
            <w:r>
              <w:rPr>
                <w:rFonts w:hint="default" w:ascii="Times New Roman" w:hAnsi="Times New Roman" w:cs="Times New Roman"/>
                <w:color w:val="000000" w:themeColor="text1"/>
                <w:sz w:val="24"/>
                <w:szCs w:val="24"/>
                <w:u w:val="single"/>
                <w:lang w:val="en-US" w:eastAsia="zh-CN"/>
              </w:rPr>
              <w:t>各池体进出气口均在污水站设备间</w:t>
            </w:r>
            <w:r>
              <w:rPr>
                <w:rFonts w:hint="eastAsia" w:cs="Times New Roman"/>
                <w:color w:val="000000" w:themeColor="text1"/>
                <w:sz w:val="24"/>
                <w:szCs w:val="24"/>
                <w:u w:val="single"/>
                <w:lang w:val="en-US" w:eastAsia="zh-CN"/>
              </w:rPr>
              <w:t>内，且设备间为密闭房间，故本次</w:t>
            </w:r>
            <w:r>
              <w:rPr>
                <w:rFonts w:hint="default" w:ascii="Times New Roman" w:hAnsi="Times New Roman" w:cs="Times New Roman"/>
                <w:color w:val="000000" w:themeColor="text1"/>
                <w:sz w:val="24"/>
                <w:szCs w:val="24"/>
                <w:u w:val="single"/>
                <w:lang w:val="en-US" w:eastAsia="zh-CN"/>
              </w:rPr>
              <w:t>废气收集效率</w:t>
            </w:r>
            <w:r>
              <w:rPr>
                <w:rFonts w:hint="eastAsia" w:cs="Times New Roman"/>
                <w:color w:val="000000" w:themeColor="text1"/>
                <w:sz w:val="24"/>
                <w:szCs w:val="24"/>
                <w:u w:val="single"/>
                <w:lang w:val="en-US" w:eastAsia="zh-CN"/>
              </w:rPr>
              <w:t>按</w:t>
            </w:r>
            <w:r>
              <w:rPr>
                <w:rFonts w:hint="default" w:ascii="Times New Roman" w:hAnsi="Times New Roman" w:cs="Times New Roman"/>
                <w:color w:val="000000" w:themeColor="text1"/>
                <w:sz w:val="24"/>
                <w:szCs w:val="24"/>
                <w:u w:val="single"/>
                <w:lang w:val="en-US" w:eastAsia="zh-CN"/>
              </w:rPr>
              <w:t>9</w:t>
            </w:r>
            <w:r>
              <w:rPr>
                <w:rFonts w:hint="eastAsia" w:cs="Times New Roman"/>
                <w:color w:val="000000" w:themeColor="text1"/>
                <w:sz w:val="24"/>
                <w:szCs w:val="24"/>
                <w:u w:val="single"/>
                <w:lang w:val="en-US" w:eastAsia="zh-CN"/>
              </w:rPr>
              <w:t>5</w:t>
            </w:r>
            <w:r>
              <w:rPr>
                <w:rFonts w:hint="default" w:ascii="Times New Roman" w:hAnsi="Times New Roman" w:cs="Times New Roman"/>
                <w:color w:val="000000" w:themeColor="text1"/>
                <w:sz w:val="24"/>
                <w:szCs w:val="24"/>
                <w:u w:val="single"/>
                <w:lang w:val="en-US" w:eastAsia="zh-CN"/>
              </w:rPr>
              <w:t>%</w:t>
            </w:r>
            <w:r>
              <w:rPr>
                <w:rFonts w:hint="eastAsia" w:cs="Times New Roman"/>
                <w:color w:val="000000" w:themeColor="text1"/>
                <w:sz w:val="24"/>
                <w:szCs w:val="24"/>
                <w:u w:val="single"/>
                <w:lang w:val="en-US" w:eastAsia="zh-CN"/>
              </w:rPr>
              <w:t>计；类比岳阳县人民医院外科大楼建设项目环境影响报告书污水处理站检测数据可知，污水处理站恶臭废气经收集由活性炭处理装置处理后，除臭效率可达80%。本环评除臭效率以80%计</w:t>
            </w:r>
            <w:r>
              <w:rPr>
                <w:rFonts w:hint="default" w:ascii="Times New Roman" w:hAnsi="Times New Roman" w:cs="Times New Roman"/>
                <w:color w:val="000000" w:themeColor="text1"/>
                <w:sz w:val="24"/>
                <w:szCs w:val="24"/>
                <w:u w:val="single"/>
                <w:lang w:val="en-US" w:eastAsia="zh-CN"/>
              </w:rPr>
              <w:t>，故本项目污水处理站</w:t>
            </w:r>
            <w:r>
              <w:rPr>
                <w:rFonts w:hint="default" w:ascii="Times New Roman" w:hAnsi="Times New Roman" w:eastAsia="宋体" w:cs="Times New Roman"/>
                <w:color w:val="000000" w:themeColor="text1"/>
                <w:sz w:val="24"/>
                <w:szCs w:val="24"/>
                <w:u w:val="single"/>
              </w:rPr>
              <w:t>NH</w:t>
            </w:r>
            <w:r>
              <w:rPr>
                <w:rFonts w:hint="default" w:ascii="Times New Roman" w:hAnsi="Times New Roman" w:eastAsia="宋体" w:cs="Times New Roman"/>
                <w:color w:val="000000" w:themeColor="text1"/>
                <w:sz w:val="24"/>
                <w:szCs w:val="24"/>
                <w:u w:val="single"/>
                <w:vertAlign w:val="subscript"/>
              </w:rPr>
              <w:t>3</w:t>
            </w:r>
            <w:r>
              <w:rPr>
                <w:rFonts w:hint="default" w:ascii="Times New Roman" w:hAnsi="Times New Roman" w:eastAsia="宋体" w:cs="Times New Roman"/>
                <w:color w:val="000000" w:themeColor="text1"/>
                <w:sz w:val="24"/>
                <w:szCs w:val="24"/>
                <w:u w:val="single"/>
              </w:rPr>
              <w:t>、H</w:t>
            </w:r>
            <w:r>
              <w:rPr>
                <w:rFonts w:hint="default" w:ascii="Times New Roman" w:hAnsi="Times New Roman" w:eastAsia="宋体" w:cs="Times New Roman"/>
                <w:color w:val="000000" w:themeColor="text1"/>
                <w:sz w:val="24"/>
                <w:szCs w:val="24"/>
                <w:u w:val="single"/>
                <w:vertAlign w:val="subscript"/>
              </w:rPr>
              <w:t>2</w:t>
            </w:r>
            <w:r>
              <w:rPr>
                <w:rFonts w:hint="default" w:ascii="Times New Roman" w:hAnsi="Times New Roman" w:eastAsia="宋体" w:cs="Times New Roman"/>
                <w:color w:val="000000" w:themeColor="text1"/>
                <w:sz w:val="24"/>
                <w:szCs w:val="24"/>
                <w:u w:val="single"/>
              </w:rPr>
              <w:t>S</w:t>
            </w:r>
            <w:r>
              <w:rPr>
                <w:rFonts w:hint="default" w:ascii="Times New Roman" w:hAnsi="Times New Roman" w:cs="Times New Roman"/>
                <w:color w:val="000000" w:themeColor="text1"/>
                <w:sz w:val="24"/>
                <w:szCs w:val="24"/>
                <w:u w:val="single"/>
                <w:lang w:val="en-US" w:eastAsia="zh-CN"/>
              </w:rPr>
              <w:t>有组织排放量分别为</w:t>
            </w:r>
            <w:r>
              <w:rPr>
                <w:rFonts w:hint="eastAsia" w:cs="Times New Roman"/>
                <w:color w:val="000000" w:themeColor="text1"/>
                <w:sz w:val="24"/>
                <w:szCs w:val="24"/>
                <w:u w:val="single"/>
                <w:lang w:val="en-US" w:eastAsia="zh-CN"/>
              </w:rPr>
              <w:t>3.332</w:t>
            </w:r>
            <w:r>
              <w:rPr>
                <w:rFonts w:hint="default" w:ascii="Times New Roman" w:hAnsi="Times New Roman" w:cs="Times New Roman"/>
                <w:color w:val="000000" w:themeColor="text1"/>
                <w:sz w:val="24"/>
                <w:szCs w:val="24"/>
                <w:u w:val="single"/>
                <w:lang w:val="en-US" w:eastAsia="zh-CN"/>
              </w:rPr>
              <w:t>kg/a、</w:t>
            </w:r>
            <w:r>
              <w:rPr>
                <w:rFonts w:hint="eastAsia" w:ascii="Times New Roman" w:hAnsi="Times New Roman" w:cs="Times New Roman"/>
                <w:color w:val="000000" w:themeColor="text1"/>
                <w:sz w:val="24"/>
                <w:szCs w:val="24"/>
                <w:u w:val="single"/>
                <w:lang w:val="en-US" w:eastAsia="zh-CN"/>
              </w:rPr>
              <w:t>0.1</w:t>
            </w:r>
            <w:r>
              <w:rPr>
                <w:rFonts w:hint="eastAsia" w:cs="Times New Roman"/>
                <w:color w:val="000000" w:themeColor="text1"/>
                <w:sz w:val="24"/>
                <w:szCs w:val="24"/>
                <w:u w:val="single"/>
                <w:lang w:val="en-US" w:eastAsia="zh-CN"/>
              </w:rPr>
              <w:t>28</w:t>
            </w:r>
            <w:r>
              <w:rPr>
                <w:rFonts w:hint="default" w:ascii="Times New Roman" w:hAnsi="Times New Roman" w:cs="Times New Roman"/>
                <w:color w:val="000000" w:themeColor="text1"/>
                <w:sz w:val="24"/>
                <w:szCs w:val="24"/>
                <w:u w:val="single"/>
                <w:lang w:val="en-US" w:eastAsia="zh-CN"/>
              </w:rPr>
              <w:t>kg/a，排放速率分别为0.000</w:t>
            </w:r>
            <w:r>
              <w:rPr>
                <w:rFonts w:hint="eastAsia" w:cs="Times New Roman"/>
                <w:color w:val="000000" w:themeColor="text1"/>
                <w:sz w:val="24"/>
                <w:szCs w:val="24"/>
                <w:u w:val="single"/>
                <w:lang w:val="en-US" w:eastAsia="zh-CN"/>
              </w:rPr>
              <w:t>38</w:t>
            </w:r>
            <w:r>
              <w:rPr>
                <w:rFonts w:hint="default" w:ascii="Times New Roman" w:hAnsi="Times New Roman" w:cs="Times New Roman"/>
                <w:color w:val="000000" w:themeColor="text1"/>
                <w:sz w:val="24"/>
                <w:szCs w:val="24"/>
                <w:u w:val="single"/>
                <w:lang w:val="en-US" w:eastAsia="zh-CN"/>
              </w:rPr>
              <w:t>kg/h、0.0000</w:t>
            </w:r>
            <w:r>
              <w:rPr>
                <w:rFonts w:hint="eastAsia" w:cs="Times New Roman"/>
                <w:color w:val="000000" w:themeColor="text1"/>
                <w:sz w:val="24"/>
                <w:szCs w:val="24"/>
                <w:u w:val="single"/>
                <w:lang w:val="en-US" w:eastAsia="zh-CN"/>
              </w:rPr>
              <w:t>1</w:t>
            </w:r>
            <w:r>
              <w:rPr>
                <w:rFonts w:hint="default" w:ascii="Times New Roman" w:hAnsi="Times New Roman" w:cs="Times New Roman"/>
                <w:color w:val="000000" w:themeColor="text1"/>
                <w:sz w:val="24"/>
                <w:szCs w:val="24"/>
                <w:u w:val="single"/>
                <w:lang w:val="en-US" w:eastAsia="zh-CN"/>
              </w:rPr>
              <w:t>kg/h；</w:t>
            </w:r>
            <w:r>
              <w:rPr>
                <w:rFonts w:hint="default" w:ascii="Times New Roman" w:hAnsi="Times New Roman" w:eastAsia="宋体" w:cs="Times New Roman"/>
                <w:color w:val="000000" w:themeColor="text1"/>
                <w:sz w:val="24"/>
                <w:szCs w:val="24"/>
                <w:u w:val="single"/>
              </w:rPr>
              <w:t>NH</w:t>
            </w:r>
            <w:r>
              <w:rPr>
                <w:rFonts w:hint="default" w:ascii="Times New Roman" w:hAnsi="Times New Roman" w:eastAsia="宋体" w:cs="Times New Roman"/>
                <w:color w:val="000000" w:themeColor="text1"/>
                <w:sz w:val="24"/>
                <w:szCs w:val="24"/>
                <w:u w:val="single"/>
                <w:vertAlign w:val="subscript"/>
              </w:rPr>
              <w:t>3</w:t>
            </w:r>
            <w:r>
              <w:rPr>
                <w:rFonts w:hint="default" w:ascii="Times New Roman" w:hAnsi="Times New Roman" w:eastAsia="宋体" w:cs="Times New Roman"/>
                <w:color w:val="000000" w:themeColor="text1"/>
                <w:sz w:val="24"/>
                <w:szCs w:val="24"/>
                <w:u w:val="single"/>
              </w:rPr>
              <w:t>、H</w:t>
            </w:r>
            <w:r>
              <w:rPr>
                <w:rFonts w:hint="default" w:ascii="Times New Roman" w:hAnsi="Times New Roman" w:eastAsia="宋体" w:cs="Times New Roman"/>
                <w:color w:val="000000" w:themeColor="text1"/>
                <w:sz w:val="24"/>
                <w:szCs w:val="24"/>
                <w:u w:val="single"/>
                <w:vertAlign w:val="subscript"/>
              </w:rPr>
              <w:t>2</w:t>
            </w:r>
            <w:r>
              <w:rPr>
                <w:rFonts w:hint="default" w:ascii="Times New Roman" w:hAnsi="Times New Roman" w:eastAsia="宋体" w:cs="Times New Roman"/>
                <w:color w:val="000000" w:themeColor="text1"/>
                <w:sz w:val="24"/>
                <w:szCs w:val="24"/>
                <w:u w:val="single"/>
              </w:rPr>
              <w:t>S</w:t>
            </w:r>
            <w:r>
              <w:rPr>
                <w:rFonts w:hint="default" w:ascii="Times New Roman" w:hAnsi="Times New Roman" w:cs="Times New Roman"/>
                <w:color w:val="000000" w:themeColor="text1"/>
                <w:sz w:val="24"/>
                <w:szCs w:val="24"/>
                <w:u w:val="single"/>
                <w:lang w:val="en-US" w:eastAsia="zh-CN"/>
              </w:rPr>
              <w:t>无组织排放量分别为：</w:t>
            </w:r>
            <w:r>
              <w:rPr>
                <w:rFonts w:hint="eastAsia" w:cs="Times New Roman"/>
                <w:color w:val="000000" w:themeColor="text1"/>
                <w:sz w:val="24"/>
                <w:szCs w:val="24"/>
                <w:u w:val="single"/>
                <w:lang w:val="en-US" w:eastAsia="zh-CN"/>
              </w:rPr>
              <w:t>0.8725</w:t>
            </w:r>
            <w:r>
              <w:rPr>
                <w:rFonts w:hint="default" w:ascii="Times New Roman" w:hAnsi="Times New Roman" w:cs="Times New Roman"/>
                <w:color w:val="000000" w:themeColor="text1"/>
                <w:sz w:val="24"/>
                <w:szCs w:val="24"/>
                <w:u w:val="single"/>
                <w:lang w:val="en-US" w:eastAsia="zh-CN"/>
              </w:rPr>
              <w:t>kg/a、</w:t>
            </w:r>
            <w:r>
              <w:rPr>
                <w:rFonts w:hint="eastAsia" w:cs="Times New Roman"/>
                <w:color w:val="000000" w:themeColor="text1"/>
                <w:sz w:val="24"/>
                <w:szCs w:val="24"/>
                <w:u w:val="single"/>
                <w:lang w:val="en-US" w:eastAsia="zh-CN"/>
              </w:rPr>
              <w:t>0.0338</w:t>
            </w:r>
            <w:r>
              <w:rPr>
                <w:rFonts w:hint="default" w:ascii="Times New Roman" w:hAnsi="Times New Roman" w:cs="Times New Roman"/>
                <w:color w:val="000000" w:themeColor="text1"/>
                <w:sz w:val="24"/>
                <w:szCs w:val="24"/>
                <w:u w:val="single"/>
                <w:lang w:val="en-US" w:eastAsia="zh-CN"/>
              </w:rPr>
              <w:t>kg/a。</w:t>
            </w:r>
          </w:p>
          <w:p w14:paraId="6D9C64F5">
            <w:pPr>
              <w:adjustRightInd w:val="0"/>
              <w:snapToGrid w:val="0"/>
              <w:spacing w:line="360" w:lineRule="auto"/>
              <w:ind w:firstLine="480" w:firstLineChars="200"/>
              <w:rPr>
                <w:rFonts w:hint="default" w:ascii="Times New Roman" w:hAnsi="Times New Roman" w:cs="Times New Roman"/>
                <w:color w:val="000000" w:themeColor="text1"/>
                <w:sz w:val="24"/>
                <w:szCs w:val="24"/>
                <w:u w:val="single"/>
                <w:lang w:val="en-US" w:eastAsia="zh-CN"/>
              </w:rPr>
            </w:pPr>
            <w:r>
              <w:rPr>
                <w:rFonts w:hint="default" w:ascii="Times New Roman" w:hAnsi="Times New Roman" w:cs="Times New Roman"/>
                <w:color w:val="000000" w:themeColor="text1"/>
                <w:sz w:val="24"/>
                <w:szCs w:val="24"/>
                <w:u w:val="single"/>
                <w:lang w:val="en-US" w:eastAsia="zh-CN"/>
              </w:rPr>
              <w:t>经采取上述治理措施后，本项目恶臭气体排放可满足《恶臭污染物排放标准》（GB14554-93）表2中标准要求和</w:t>
            </w:r>
            <w:r>
              <w:rPr>
                <w:rFonts w:hint="default" w:ascii="Times New Roman" w:hAnsi="Times New Roman" w:eastAsia="宋体" w:cs="Times New Roman"/>
                <w:color w:val="000000" w:themeColor="text1"/>
                <w:kern w:val="0"/>
                <w:sz w:val="24"/>
                <w:szCs w:val="24"/>
                <w:u w:val="single"/>
              </w:rPr>
              <w:t>《医疗机构水污染物排放标准》（GB18466-2005）</w:t>
            </w:r>
            <w:r>
              <w:rPr>
                <w:rFonts w:hint="default" w:ascii="Times New Roman" w:hAnsi="Times New Roman" w:eastAsia="宋体" w:cs="Times New Roman"/>
                <w:color w:val="000000" w:themeColor="text1"/>
                <w:kern w:val="0"/>
                <w:sz w:val="24"/>
                <w:szCs w:val="24"/>
                <w:u w:val="single"/>
                <w:lang w:val="en-US" w:eastAsia="zh-CN"/>
              </w:rPr>
              <w:t>标准要求</w:t>
            </w:r>
            <w:r>
              <w:rPr>
                <w:rFonts w:hint="default" w:ascii="Times New Roman" w:hAnsi="Times New Roman" w:cs="Times New Roman"/>
                <w:color w:val="000000" w:themeColor="text1"/>
                <w:sz w:val="24"/>
                <w:szCs w:val="24"/>
                <w:u w:val="single"/>
                <w:lang w:val="en-US" w:eastAsia="zh-CN"/>
              </w:rPr>
              <w:t>，对周边环境影响较小。</w:t>
            </w:r>
          </w:p>
          <w:p w14:paraId="65BEC80A">
            <w:pPr>
              <w:adjustRightInd w:val="0"/>
              <w:snapToGrid w:val="0"/>
              <w:spacing w:line="360" w:lineRule="auto"/>
              <w:ind w:firstLine="480" w:firstLineChars="200"/>
              <w:rPr>
                <w:rFonts w:hint="default" w:ascii="Times New Roman" w:hAnsi="Times New Roman" w:cs="Times New Roman"/>
                <w:color w:val="000000" w:themeColor="text1"/>
                <w:sz w:val="24"/>
                <w:szCs w:val="24"/>
                <w:u w:val="single"/>
                <w:lang w:val="en-US" w:eastAsia="zh-CN"/>
              </w:rPr>
            </w:pPr>
            <w:r>
              <w:rPr>
                <w:rFonts w:hint="default" w:ascii="Times New Roman" w:hAnsi="Times New Roman" w:cs="Times New Roman"/>
                <w:color w:val="000000" w:themeColor="text1"/>
                <w:sz w:val="24"/>
                <w:szCs w:val="24"/>
                <w:u w:val="single"/>
                <w:lang w:val="en-US" w:eastAsia="zh-CN"/>
              </w:rPr>
              <w:t>项目运营期恶臭废气排放情况将下表。</w:t>
            </w:r>
          </w:p>
          <w:p w14:paraId="6871A539">
            <w:pPr>
              <w:adjustRightInd w:val="0"/>
              <w:snapToGrid w:val="0"/>
              <w:spacing w:line="360" w:lineRule="auto"/>
              <w:jc w:val="center"/>
              <w:rPr>
                <w:rFonts w:hint="default" w:ascii="Times New Roman" w:hAnsi="Times New Roman" w:cs="Times New Roman"/>
                <w:b/>
                <w:bCs/>
                <w:color w:val="000000" w:themeColor="text1"/>
                <w:sz w:val="21"/>
                <w:szCs w:val="21"/>
                <w:u w:val="single"/>
                <w:lang w:val="en-US" w:eastAsia="zh-CN"/>
              </w:rPr>
            </w:pPr>
            <w:r>
              <w:rPr>
                <w:rFonts w:hint="default" w:ascii="Times New Roman" w:hAnsi="Times New Roman" w:cs="Times New Roman"/>
                <w:b/>
                <w:bCs/>
                <w:color w:val="000000" w:themeColor="text1"/>
                <w:sz w:val="21"/>
                <w:szCs w:val="21"/>
                <w:u w:val="single"/>
                <w:lang w:val="en-US" w:eastAsia="zh-CN"/>
              </w:rPr>
              <w:t>表4-1 项目恶臭废气有组织产排汇总表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450"/>
              <w:gridCol w:w="525"/>
              <w:gridCol w:w="555"/>
              <w:gridCol w:w="870"/>
              <w:gridCol w:w="630"/>
              <w:gridCol w:w="405"/>
              <w:gridCol w:w="630"/>
              <w:gridCol w:w="450"/>
              <w:gridCol w:w="510"/>
              <w:gridCol w:w="600"/>
              <w:gridCol w:w="540"/>
              <w:gridCol w:w="600"/>
              <w:gridCol w:w="555"/>
              <w:gridCol w:w="577"/>
            </w:tblGrid>
            <w:tr w14:paraId="3932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84" w:type="dxa"/>
                  <w:vMerge w:val="restart"/>
                  <w:vAlign w:val="center"/>
                </w:tcPr>
                <w:p w14:paraId="7DDF265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污染源</w:t>
                  </w:r>
                </w:p>
              </w:tc>
              <w:tc>
                <w:tcPr>
                  <w:tcW w:w="450" w:type="dxa"/>
                  <w:vMerge w:val="restart"/>
                  <w:vAlign w:val="center"/>
                </w:tcPr>
                <w:p w14:paraId="717D692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污染物</w:t>
                  </w:r>
                </w:p>
                <w:p w14:paraId="725255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名称</w:t>
                  </w:r>
                </w:p>
              </w:tc>
              <w:tc>
                <w:tcPr>
                  <w:tcW w:w="525" w:type="dxa"/>
                  <w:vMerge w:val="restart"/>
                  <w:vAlign w:val="center"/>
                </w:tcPr>
                <w:p w14:paraId="63BAF18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产生量</w:t>
                  </w:r>
                </w:p>
                <w:p w14:paraId="4150172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t/a</w:t>
                  </w:r>
                </w:p>
              </w:tc>
              <w:tc>
                <w:tcPr>
                  <w:tcW w:w="555" w:type="dxa"/>
                  <w:vMerge w:val="restart"/>
                  <w:vAlign w:val="center"/>
                </w:tcPr>
                <w:p w14:paraId="6BF916C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eastAsia="zh-CN"/>
                    </w:rPr>
                  </w:pPr>
                  <w:r>
                    <w:rPr>
                      <w:rFonts w:hint="default" w:ascii="Times New Roman" w:hAnsi="Times New Roman" w:cs="Times New Roman"/>
                      <w:color w:val="000000" w:themeColor="text1"/>
                      <w:sz w:val="18"/>
                      <w:szCs w:val="18"/>
                      <w:u w:val="single"/>
                      <w:lang w:eastAsia="zh-CN"/>
                    </w:rPr>
                    <w:t>产生速率</w:t>
                  </w:r>
                </w:p>
                <w:p w14:paraId="3052320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kg/h</w:t>
                  </w:r>
                </w:p>
              </w:tc>
              <w:tc>
                <w:tcPr>
                  <w:tcW w:w="1500" w:type="dxa"/>
                  <w:gridSpan w:val="2"/>
                  <w:vAlign w:val="center"/>
                </w:tcPr>
                <w:p w14:paraId="6626BB5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治理措施情况</w:t>
                  </w:r>
                </w:p>
              </w:tc>
              <w:tc>
                <w:tcPr>
                  <w:tcW w:w="1995" w:type="dxa"/>
                  <w:gridSpan w:val="4"/>
                  <w:vAlign w:val="center"/>
                </w:tcPr>
                <w:p w14:paraId="5A7EF16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排气筒参数</w:t>
                  </w:r>
                </w:p>
              </w:tc>
              <w:tc>
                <w:tcPr>
                  <w:tcW w:w="1740" w:type="dxa"/>
                  <w:gridSpan w:val="3"/>
                  <w:vAlign w:val="center"/>
                </w:tcPr>
                <w:p w14:paraId="4C3F182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污染物排放情况</w:t>
                  </w:r>
                </w:p>
              </w:tc>
              <w:tc>
                <w:tcPr>
                  <w:tcW w:w="1132" w:type="dxa"/>
                  <w:gridSpan w:val="2"/>
                  <w:vAlign w:val="center"/>
                </w:tcPr>
                <w:p w14:paraId="4A1B0CC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排放标准</w:t>
                  </w:r>
                </w:p>
              </w:tc>
            </w:tr>
            <w:tr w14:paraId="580E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vMerge w:val="continue"/>
                  <w:vAlign w:val="center"/>
                </w:tcPr>
                <w:p w14:paraId="1A79DB3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450" w:type="dxa"/>
                  <w:vMerge w:val="continue"/>
                  <w:vAlign w:val="center"/>
                </w:tcPr>
                <w:p w14:paraId="03662DA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525" w:type="dxa"/>
                  <w:vMerge w:val="continue"/>
                  <w:vAlign w:val="center"/>
                </w:tcPr>
                <w:p w14:paraId="35D0A1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555" w:type="dxa"/>
                  <w:vMerge w:val="continue"/>
                  <w:vAlign w:val="center"/>
                </w:tcPr>
                <w:p w14:paraId="16BCB3D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870" w:type="dxa"/>
                  <w:vAlign w:val="center"/>
                </w:tcPr>
                <w:p w14:paraId="2CB46F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治理措施</w:t>
                  </w:r>
                </w:p>
              </w:tc>
              <w:tc>
                <w:tcPr>
                  <w:tcW w:w="630" w:type="dxa"/>
                  <w:vAlign w:val="center"/>
                </w:tcPr>
                <w:p w14:paraId="05EB3B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处理效率%</w:t>
                  </w:r>
                </w:p>
              </w:tc>
              <w:tc>
                <w:tcPr>
                  <w:tcW w:w="405" w:type="dxa"/>
                  <w:vAlign w:val="center"/>
                </w:tcPr>
                <w:p w14:paraId="5EF3706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编号</w:t>
                  </w:r>
                </w:p>
              </w:tc>
              <w:tc>
                <w:tcPr>
                  <w:tcW w:w="630" w:type="dxa"/>
                  <w:vAlign w:val="center"/>
                </w:tcPr>
                <w:p w14:paraId="2686E6F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风量</w:t>
                  </w:r>
                </w:p>
                <w:p w14:paraId="16F5149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m</w:t>
                  </w:r>
                  <w:r>
                    <w:rPr>
                      <w:rFonts w:hint="default" w:ascii="Times New Roman" w:hAnsi="Times New Roman" w:cs="Times New Roman"/>
                      <w:color w:val="000000" w:themeColor="text1"/>
                      <w:sz w:val="18"/>
                      <w:szCs w:val="18"/>
                      <w:u w:val="single"/>
                      <w:vertAlign w:val="superscript"/>
                    </w:rPr>
                    <w:t>3</w:t>
                  </w:r>
                  <w:r>
                    <w:rPr>
                      <w:rFonts w:hint="default" w:ascii="Times New Roman" w:hAnsi="Times New Roman" w:cs="Times New Roman"/>
                      <w:color w:val="000000" w:themeColor="text1"/>
                      <w:sz w:val="18"/>
                      <w:szCs w:val="18"/>
                      <w:u w:val="single"/>
                    </w:rPr>
                    <w:t>/h</w:t>
                  </w:r>
                </w:p>
              </w:tc>
              <w:tc>
                <w:tcPr>
                  <w:tcW w:w="450" w:type="dxa"/>
                  <w:vAlign w:val="center"/>
                </w:tcPr>
                <w:p w14:paraId="40748F6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内径</w:t>
                  </w:r>
                </w:p>
                <w:p w14:paraId="0959C7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m</w:t>
                  </w:r>
                </w:p>
              </w:tc>
              <w:tc>
                <w:tcPr>
                  <w:tcW w:w="510" w:type="dxa"/>
                  <w:vAlign w:val="center"/>
                </w:tcPr>
                <w:p w14:paraId="1664AC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高度</w:t>
                  </w:r>
                </w:p>
                <w:p w14:paraId="788119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m</w:t>
                  </w:r>
                </w:p>
              </w:tc>
              <w:tc>
                <w:tcPr>
                  <w:tcW w:w="600" w:type="dxa"/>
                  <w:vAlign w:val="center"/>
                </w:tcPr>
                <w:p w14:paraId="2DA4C6D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排放量</w:t>
                  </w:r>
                </w:p>
                <w:p w14:paraId="4535A8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t/a</w:t>
                  </w:r>
                </w:p>
              </w:tc>
              <w:tc>
                <w:tcPr>
                  <w:tcW w:w="540" w:type="dxa"/>
                  <w:vAlign w:val="center"/>
                </w:tcPr>
                <w:p w14:paraId="0F4BDC1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速率</w:t>
                  </w:r>
                </w:p>
                <w:p w14:paraId="12AD32D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kg/h</w:t>
                  </w:r>
                </w:p>
              </w:tc>
              <w:tc>
                <w:tcPr>
                  <w:tcW w:w="600" w:type="dxa"/>
                  <w:vAlign w:val="center"/>
                </w:tcPr>
                <w:p w14:paraId="54C4DB6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浓度</w:t>
                  </w:r>
                </w:p>
                <w:p w14:paraId="40200BA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mg/m</w:t>
                  </w:r>
                  <w:r>
                    <w:rPr>
                      <w:rFonts w:hint="default" w:ascii="Times New Roman" w:hAnsi="Times New Roman" w:cs="Times New Roman"/>
                      <w:color w:val="000000" w:themeColor="text1"/>
                      <w:sz w:val="18"/>
                      <w:szCs w:val="18"/>
                      <w:u w:val="single"/>
                      <w:vertAlign w:val="superscript"/>
                    </w:rPr>
                    <w:t>3</w:t>
                  </w:r>
                </w:p>
              </w:tc>
              <w:tc>
                <w:tcPr>
                  <w:tcW w:w="555" w:type="dxa"/>
                  <w:vAlign w:val="center"/>
                </w:tcPr>
                <w:p w14:paraId="2C943CC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lang w:val="en-US" w:eastAsia="zh-CN"/>
                    </w:rPr>
                    <w:t>速率</w:t>
                  </w:r>
                </w:p>
                <w:p w14:paraId="026E042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kg/h</w:t>
                  </w:r>
                </w:p>
              </w:tc>
              <w:tc>
                <w:tcPr>
                  <w:tcW w:w="577" w:type="dxa"/>
                  <w:vAlign w:val="center"/>
                </w:tcPr>
                <w:p w14:paraId="09F4994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浓度</w:t>
                  </w:r>
                </w:p>
                <w:p w14:paraId="20DF29F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mg/m</w:t>
                  </w:r>
                  <w:r>
                    <w:rPr>
                      <w:rFonts w:hint="default" w:ascii="Times New Roman" w:hAnsi="Times New Roman" w:cs="Times New Roman"/>
                      <w:color w:val="000000" w:themeColor="text1"/>
                      <w:sz w:val="18"/>
                      <w:szCs w:val="18"/>
                      <w:u w:val="single"/>
                      <w:vertAlign w:val="superscript"/>
                    </w:rPr>
                    <w:t>3</w:t>
                  </w:r>
                </w:p>
              </w:tc>
            </w:tr>
            <w:tr w14:paraId="38ADF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4" w:type="dxa"/>
                  <w:vMerge w:val="restart"/>
                  <w:vAlign w:val="center"/>
                </w:tcPr>
                <w:p w14:paraId="57D3E0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污水处理站</w:t>
                  </w:r>
                </w:p>
              </w:tc>
              <w:tc>
                <w:tcPr>
                  <w:tcW w:w="450" w:type="dxa"/>
                  <w:vAlign w:val="center"/>
                </w:tcPr>
                <w:p w14:paraId="48BD12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NH</w:t>
                  </w:r>
                  <w:r>
                    <w:rPr>
                      <w:rFonts w:hint="default" w:ascii="Times New Roman" w:hAnsi="Times New Roman" w:cs="Times New Roman"/>
                      <w:color w:val="000000" w:themeColor="text1"/>
                      <w:sz w:val="18"/>
                      <w:szCs w:val="18"/>
                      <w:u w:val="single"/>
                      <w:vertAlign w:val="subscript"/>
                    </w:rPr>
                    <w:t>3</w:t>
                  </w:r>
                </w:p>
              </w:tc>
              <w:tc>
                <w:tcPr>
                  <w:tcW w:w="525" w:type="dxa"/>
                  <w:vAlign w:val="center"/>
                </w:tcPr>
                <w:p w14:paraId="1D0D5E5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lang w:val="en-US" w:eastAsia="zh-CN"/>
                    </w:rPr>
                    <w:t>0.0</w:t>
                  </w:r>
                  <w:r>
                    <w:rPr>
                      <w:rFonts w:hint="eastAsia" w:cs="Times New Roman"/>
                      <w:color w:val="000000" w:themeColor="text1"/>
                      <w:sz w:val="18"/>
                      <w:szCs w:val="18"/>
                      <w:u w:val="single"/>
                      <w:lang w:val="en-US" w:eastAsia="zh-CN"/>
                    </w:rPr>
                    <w:t>166</w:t>
                  </w:r>
                </w:p>
              </w:tc>
              <w:tc>
                <w:tcPr>
                  <w:tcW w:w="555" w:type="dxa"/>
                  <w:vAlign w:val="center"/>
                </w:tcPr>
                <w:p w14:paraId="4B2CDA7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eastAsia" w:ascii="Times New Roman" w:hAnsi="Times New Roman" w:cs="Times New Roman"/>
                      <w:color w:val="000000" w:themeColor="text1"/>
                      <w:sz w:val="18"/>
                      <w:szCs w:val="18"/>
                      <w:u w:val="single"/>
                      <w:lang w:val="en-US" w:eastAsia="zh-CN"/>
                    </w:rPr>
                    <w:t>0.00</w:t>
                  </w:r>
                  <w:r>
                    <w:rPr>
                      <w:rFonts w:hint="eastAsia" w:cs="Times New Roman"/>
                      <w:color w:val="000000" w:themeColor="text1"/>
                      <w:sz w:val="18"/>
                      <w:szCs w:val="18"/>
                      <w:u w:val="single"/>
                      <w:lang w:val="en-US" w:eastAsia="zh-CN"/>
                    </w:rPr>
                    <w:t>189</w:t>
                  </w:r>
                </w:p>
              </w:tc>
              <w:tc>
                <w:tcPr>
                  <w:tcW w:w="870" w:type="dxa"/>
                  <w:vMerge w:val="restart"/>
                  <w:vAlign w:val="center"/>
                </w:tcPr>
                <w:p w14:paraId="17FB25D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密闭收集+</w:t>
                  </w:r>
                  <w:r>
                    <w:rPr>
                      <w:rFonts w:hint="default" w:ascii="Times New Roman" w:hAnsi="Times New Roman" w:cs="Times New Roman"/>
                      <w:color w:val="000000" w:themeColor="text1"/>
                      <w:sz w:val="18"/>
                      <w:szCs w:val="18"/>
                      <w:u w:val="single"/>
                      <w:lang w:val="en-US" w:eastAsia="zh-CN"/>
                    </w:rPr>
                    <w:t>碱水喷淋</w:t>
                  </w:r>
                  <w:r>
                    <w:rPr>
                      <w:rFonts w:hint="default" w:ascii="Times New Roman" w:hAnsi="Times New Roman" w:cs="Times New Roman"/>
                      <w:color w:val="000000" w:themeColor="text1"/>
                      <w:sz w:val="18"/>
                      <w:szCs w:val="18"/>
                      <w:u w:val="single"/>
                    </w:rPr>
                    <w:t>+活性炭吸附</w:t>
                  </w:r>
                </w:p>
              </w:tc>
              <w:tc>
                <w:tcPr>
                  <w:tcW w:w="630" w:type="dxa"/>
                  <w:vAlign w:val="center"/>
                </w:tcPr>
                <w:p w14:paraId="2335174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80</w:t>
                  </w:r>
                </w:p>
              </w:tc>
              <w:tc>
                <w:tcPr>
                  <w:tcW w:w="405" w:type="dxa"/>
                  <w:vMerge w:val="restart"/>
                  <w:vAlign w:val="center"/>
                </w:tcPr>
                <w:p w14:paraId="6091BF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DA00</w:t>
                  </w:r>
                  <w:r>
                    <w:rPr>
                      <w:rFonts w:hint="default" w:ascii="Times New Roman" w:hAnsi="Times New Roman" w:cs="Times New Roman"/>
                      <w:color w:val="000000" w:themeColor="text1"/>
                      <w:sz w:val="18"/>
                      <w:szCs w:val="18"/>
                      <w:u w:val="single"/>
                      <w:lang w:val="en-US" w:eastAsia="zh-CN"/>
                    </w:rPr>
                    <w:t>1</w:t>
                  </w:r>
                </w:p>
              </w:tc>
              <w:tc>
                <w:tcPr>
                  <w:tcW w:w="630" w:type="dxa"/>
                  <w:vMerge w:val="restart"/>
                  <w:vAlign w:val="center"/>
                </w:tcPr>
                <w:p w14:paraId="1B44D0A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lang w:val="en-US" w:eastAsia="zh-CN"/>
                    </w:rPr>
                    <w:t>3000</w:t>
                  </w:r>
                </w:p>
              </w:tc>
              <w:tc>
                <w:tcPr>
                  <w:tcW w:w="450" w:type="dxa"/>
                  <w:vMerge w:val="restart"/>
                  <w:vAlign w:val="center"/>
                </w:tcPr>
                <w:p w14:paraId="1167367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0.</w:t>
                  </w:r>
                  <w:r>
                    <w:rPr>
                      <w:rFonts w:hint="default" w:ascii="Times New Roman" w:hAnsi="Times New Roman" w:cs="Times New Roman"/>
                      <w:color w:val="000000" w:themeColor="text1"/>
                      <w:sz w:val="18"/>
                      <w:szCs w:val="18"/>
                      <w:u w:val="single"/>
                      <w:lang w:val="en-US" w:eastAsia="zh-CN"/>
                    </w:rPr>
                    <w:t>3</w:t>
                  </w:r>
                </w:p>
              </w:tc>
              <w:tc>
                <w:tcPr>
                  <w:tcW w:w="510" w:type="dxa"/>
                  <w:vMerge w:val="restart"/>
                  <w:vAlign w:val="center"/>
                </w:tcPr>
                <w:p w14:paraId="4B48EC9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6</w:t>
                  </w:r>
                  <w:r>
                    <w:rPr>
                      <w:rFonts w:hint="default" w:ascii="Times New Roman" w:hAnsi="Times New Roman" w:cs="Times New Roman"/>
                      <w:color w:val="000000" w:themeColor="text1"/>
                      <w:sz w:val="18"/>
                      <w:szCs w:val="18"/>
                      <w:u w:val="single"/>
                      <w:lang w:val="en-US" w:eastAsia="zh-CN"/>
                    </w:rPr>
                    <w:t>3</w:t>
                  </w:r>
                </w:p>
              </w:tc>
              <w:tc>
                <w:tcPr>
                  <w:tcW w:w="600" w:type="dxa"/>
                  <w:vAlign w:val="center"/>
                </w:tcPr>
                <w:p w14:paraId="52D6931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lang w:val="en-US" w:eastAsia="zh-CN"/>
                    </w:rPr>
                  </w:pPr>
                  <w:r>
                    <w:rPr>
                      <w:rFonts w:hint="default" w:ascii="Times New Roman" w:hAnsi="Times New Roman" w:cs="Times New Roman"/>
                      <w:color w:val="000000" w:themeColor="text1"/>
                      <w:sz w:val="18"/>
                      <w:szCs w:val="18"/>
                      <w:highlight w:val="none"/>
                      <w:u w:val="single"/>
                      <w:lang w:eastAsia="zh-CN"/>
                    </w:rPr>
                    <w:t>0</w:t>
                  </w:r>
                  <w:r>
                    <w:rPr>
                      <w:rFonts w:hint="default" w:ascii="Times New Roman" w:hAnsi="Times New Roman" w:cs="Times New Roman"/>
                      <w:color w:val="000000" w:themeColor="text1"/>
                      <w:sz w:val="18"/>
                      <w:szCs w:val="18"/>
                      <w:highlight w:val="none"/>
                      <w:u w:val="single"/>
                      <w:lang w:val="en-US" w:eastAsia="zh-CN"/>
                    </w:rPr>
                    <w:t>.00</w:t>
                  </w:r>
                  <w:r>
                    <w:rPr>
                      <w:rFonts w:hint="eastAsia" w:ascii="Times New Roman" w:hAnsi="Times New Roman" w:cs="Times New Roman"/>
                      <w:color w:val="000000" w:themeColor="text1"/>
                      <w:sz w:val="18"/>
                      <w:szCs w:val="18"/>
                      <w:highlight w:val="none"/>
                      <w:u w:val="single"/>
                      <w:lang w:val="en-US" w:eastAsia="zh-CN"/>
                    </w:rPr>
                    <w:t>3</w:t>
                  </w:r>
                  <w:r>
                    <w:rPr>
                      <w:rFonts w:hint="eastAsia" w:cs="Times New Roman"/>
                      <w:color w:val="000000" w:themeColor="text1"/>
                      <w:sz w:val="18"/>
                      <w:szCs w:val="18"/>
                      <w:highlight w:val="none"/>
                      <w:u w:val="single"/>
                      <w:lang w:val="en-US" w:eastAsia="zh-CN"/>
                    </w:rPr>
                    <w:t>32</w:t>
                  </w:r>
                </w:p>
              </w:tc>
              <w:tc>
                <w:tcPr>
                  <w:tcW w:w="540" w:type="dxa"/>
                  <w:vAlign w:val="center"/>
                </w:tcPr>
                <w:p w14:paraId="039D8D5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lang w:val="en-US" w:eastAsia="zh-CN"/>
                    </w:rPr>
                  </w:pPr>
                  <w:r>
                    <w:rPr>
                      <w:rFonts w:hint="default" w:ascii="Times New Roman" w:hAnsi="Times New Roman" w:cs="Times New Roman"/>
                      <w:color w:val="000000" w:themeColor="text1"/>
                      <w:sz w:val="18"/>
                      <w:szCs w:val="18"/>
                      <w:highlight w:val="none"/>
                      <w:u w:val="single"/>
                    </w:rPr>
                    <w:t>0.00</w:t>
                  </w:r>
                  <w:r>
                    <w:rPr>
                      <w:rFonts w:hint="default" w:ascii="Times New Roman" w:hAnsi="Times New Roman" w:cs="Times New Roman"/>
                      <w:color w:val="000000" w:themeColor="text1"/>
                      <w:sz w:val="18"/>
                      <w:szCs w:val="18"/>
                      <w:highlight w:val="none"/>
                      <w:u w:val="single"/>
                      <w:lang w:val="en-US" w:eastAsia="zh-CN"/>
                    </w:rPr>
                    <w:t>0</w:t>
                  </w:r>
                  <w:r>
                    <w:rPr>
                      <w:rFonts w:hint="eastAsia" w:cs="Times New Roman"/>
                      <w:color w:val="000000" w:themeColor="text1"/>
                      <w:sz w:val="18"/>
                      <w:szCs w:val="18"/>
                      <w:highlight w:val="none"/>
                      <w:u w:val="single"/>
                      <w:lang w:val="en-US" w:eastAsia="zh-CN"/>
                    </w:rPr>
                    <w:t>38</w:t>
                  </w:r>
                </w:p>
              </w:tc>
              <w:tc>
                <w:tcPr>
                  <w:tcW w:w="600" w:type="dxa"/>
                  <w:vAlign w:val="center"/>
                </w:tcPr>
                <w:p w14:paraId="42821C5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lang w:val="en-US" w:eastAsia="zh-CN"/>
                    </w:rPr>
                  </w:pPr>
                  <w:r>
                    <w:rPr>
                      <w:rFonts w:hint="default" w:ascii="Times New Roman" w:hAnsi="Times New Roman" w:cs="Times New Roman"/>
                      <w:color w:val="000000" w:themeColor="text1"/>
                      <w:sz w:val="18"/>
                      <w:szCs w:val="18"/>
                      <w:highlight w:val="none"/>
                      <w:u w:val="single"/>
                      <w:lang w:val="en-US" w:eastAsia="zh-CN"/>
                    </w:rPr>
                    <w:t>0.</w:t>
                  </w:r>
                  <w:r>
                    <w:rPr>
                      <w:rFonts w:hint="eastAsia" w:ascii="Times New Roman" w:hAnsi="Times New Roman" w:cs="Times New Roman"/>
                      <w:color w:val="000000" w:themeColor="text1"/>
                      <w:sz w:val="18"/>
                      <w:szCs w:val="18"/>
                      <w:highlight w:val="none"/>
                      <w:u w:val="single"/>
                      <w:lang w:val="en-US" w:eastAsia="zh-CN"/>
                    </w:rPr>
                    <w:t>1</w:t>
                  </w:r>
                  <w:r>
                    <w:rPr>
                      <w:rFonts w:hint="eastAsia" w:cs="Times New Roman"/>
                      <w:color w:val="000000" w:themeColor="text1"/>
                      <w:sz w:val="18"/>
                      <w:szCs w:val="18"/>
                      <w:highlight w:val="none"/>
                      <w:u w:val="single"/>
                      <w:lang w:val="en-US" w:eastAsia="zh-CN"/>
                    </w:rPr>
                    <w:t>267</w:t>
                  </w:r>
                </w:p>
              </w:tc>
              <w:tc>
                <w:tcPr>
                  <w:tcW w:w="555" w:type="dxa"/>
                  <w:vAlign w:val="center"/>
                </w:tcPr>
                <w:p w14:paraId="47FA494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lang w:val="en-US" w:eastAsia="zh-CN"/>
                    </w:rPr>
                    <w:t>75</w:t>
                  </w:r>
                </w:p>
              </w:tc>
              <w:tc>
                <w:tcPr>
                  <w:tcW w:w="577" w:type="dxa"/>
                  <w:vAlign w:val="center"/>
                </w:tcPr>
                <w:p w14:paraId="160E406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w:t>
                  </w:r>
                </w:p>
              </w:tc>
            </w:tr>
            <w:tr w14:paraId="7AF5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4" w:type="dxa"/>
                  <w:vMerge w:val="continue"/>
                  <w:vAlign w:val="center"/>
                </w:tcPr>
                <w:p w14:paraId="336A24E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450" w:type="dxa"/>
                  <w:vAlign w:val="center"/>
                </w:tcPr>
                <w:p w14:paraId="46A547B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H</w:t>
                  </w:r>
                  <w:r>
                    <w:rPr>
                      <w:rFonts w:hint="default" w:ascii="Times New Roman" w:hAnsi="Times New Roman" w:cs="Times New Roman"/>
                      <w:color w:val="000000" w:themeColor="text1"/>
                      <w:sz w:val="18"/>
                      <w:szCs w:val="18"/>
                      <w:u w:val="single"/>
                      <w:vertAlign w:val="subscript"/>
                    </w:rPr>
                    <w:t>2</w:t>
                  </w:r>
                  <w:r>
                    <w:rPr>
                      <w:rFonts w:hint="default" w:ascii="Times New Roman" w:hAnsi="Times New Roman" w:cs="Times New Roman"/>
                      <w:color w:val="000000" w:themeColor="text1"/>
                      <w:sz w:val="18"/>
                      <w:szCs w:val="18"/>
                      <w:u w:val="single"/>
                    </w:rPr>
                    <w:t>S</w:t>
                  </w:r>
                </w:p>
              </w:tc>
              <w:tc>
                <w:tcPr>
                  <w:tcW w:w="525" w:type="dxa"/>
                  <w:vAlign w:val="center"/>
                </w:tcPr>
                <w:p w14:paraId="68F53D4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0.0</w:t>
                  </w:r>
                  <w:r>
                    <w:rPr>
                      <w:rFonts w:hint="default" w:ascii="Times New Roman" w:hAnsi="Times New Roman" w:cs="Times New Roman"/>
                      <w:color w:val="000000" w:themeColor="text1"/>
                      <w:sz w:val="18"/>
                      <w:szCs w:val="18"/>
                      <w:u w:val="single"/>
                      <w:lang w:val="en-US" w:eastAsia="zh-CN"/>
                    </w:rPr>
                    <w:t>00</w:t>
                  </w:r>
                  <w:r>
                    <w:rPr>
                      <w:rFonts w:hint="eastAsia" w:cs="Times New Roman"/>
                      <w:color w:val="000000" w:themeColor="text1"/>
                      <w:sz w:val="18"/>
                      <w:szCs w:val="18"/>
                      <w:u w:val="single"/>
                      <w:lang w:val="en-US" w:eastAsia="zh-CN"/>
                    </w:rPr>
                    <w:t>64</w:t>
                  </w:r>
                </w:p>
              </w:tc>
              <w:tc>
                <w:tcPr>
                  <w:tcW w:w="555" w:type="dxa"/>
                  <w:vAlign w:val="center"/>
                </w:tcPr>
                <w:p w14:paraId="56937EB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lang w:val="en-US" w:eastAsia="zh-CN"/>
                    </w:rPr>
                    <w:t>0.000</w:t>
                  </w:r>
                  <w:r>
                    <w:rPr>
                      <w:rFonts w:hint="eastAsia" w:cs="Times New Roman"/>
                      <w:color w:val="000000" w:themeColor="text1"/>
                      <w:sz w:val="18"/>
                      <w:szCs w:val="18"/>
                      <w:u w:val="single"/>
                      <w:lang w:val="en-US" w:eastAsia="zh-CN"/>
                    </w:rPr>
                    <w:t>07</w:t>
                  </w:r>
                </w:p>
              </w:tc>
              <w:tc>
                <w:tcPr>
                  <w:tcW w:w="870" w:type="dxa"/>
                  <w:vMerge w:val="continue"/>
                  <w:vAlign w:val="center"/>
                </w:tcPr>
                <w:p w14:paraId="1AA7A09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630" w:type="dxa"/>
                  <w:vAlign w:val="center"/>
                </w:tcPr>
                <w:p w14:paraId="40C6A0F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80</w:t>
                  </w:r>
                </w:p>
              </w:tc>
              <w:tc>
                <w:tcPr>
                  <w:tcW w:w="405" w:type="dxa"/>
                  <w:vMerge w:val="continue"/>
                  <w:vAlign w:val="center"/>
                </w:tcPr>
                <w:p w14:paraId="3F085DF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630" w:type="dxa"/>
                  <w:vMerge w:val="continue"/>
                  <w:vAlign w:val="center"/>
                </w:tcPr>
                <w:p w14:paraId="07A2E75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450" w:type="dxa"/>
                  <w:vMerge w:val="continue"/>
                  <w:vAlign w:val="center"/>
                </w:tcPr>
                <w:p w14:paraId="298E73F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510" w:type="dxa"/>
                  <w:vMerge w:val="continue"/>
                  <w:vAlign w:val="center"/>
                </w:tcPr>
                <w:p w14:paraId="0EA5237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p>
              </w:tc>
              <w:tc>
                <w:tcPr>
                  <w:tcW w:w="600" w:type="dxa"/>
                  <w:vAlign w:val="center"/>
                </w:tcPr>
                <w:p w14:paraId="68098ED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lang w:val="en-US" w:eastAsia="zh-CN"/>
                    </w:rPr>
                  </w:pPr>
                  <w:r>
                    <w:rPr>
                      <w:rFonts w:hint="default" w:ascii="Times New Roman" w:hAnsi="Times New Roman" w:cs="Times New Roman"/>
                      <w:color w:val="000000" w:themeColor="text1"/>
                      <w:sz w:val="18"/>
                      <w:szCs w:val="18"/>
                      <w:highlight w:val="none"/>
                      <w:u w:val="single"/>
                    </w:rPr>
                    <w:t>0.00</w:t>
                  </w:r>
                  <w:r>
                    <w:rPr>
                      <w:rFonts w:hint="default" w:ascii="Times New Roman" w:hAnsi="Times New Roman" w:cs="Times New Roman"/>
                      <w:color w:val="000000" w:themeColor="text1"/>
                      <w:sz w:val="18"/>
                      <w:szCs w:val="18"/>
                      <w:highlight w:val="none"/>
                      <w:u w:val="single"/>
                      <w:lang w:val="en-US" w:eastAsia="zh-CN"/>
                    </w:rPr>
                    <w:t>0</w:t>
                  </w:r>
                  <w:r>
                    <w:rPr>
                      <w:rFonts w:hint="eastAsia" w:ascii="Times New Roman" w:hAnsi="Times New Roman" w:cs="Times New Roman"/>
                      <w:color w:val="000000" w:themeColor="text1"/>
                      <w:sz w:val="18"/>
                      <w:szCs w:val="18"/>
                      <w:highlight w:val="none"/>
                      <w:u w:val="single"/>
                      <w:lang w:val="en-US" w:eastAsia="zh-CN"/>
                    </w:rPr>
                    <w:t>1</w:t>
                  </w:r>
                  <w:r>
                    <w:rPr>
                      <w:rFonts w:hint="eastAsia" w:cs="Times New Roman"/>
                      <w:color w:val="000000" w:themeColor="text1"/>
                      <w:sz w:val="18"/>
                      <w:szCs w:val="18"/>
                      <w:highlight w:val="none"/>
                      <w:u w:val="single"/>
                      <w:lang w:val="en-US" w:eastAsia="zh-CN"/>
                    </w:rPr>
                    <w:t>3</w:t>
                  </w:r>
                </w:p>
              </w:tc>
              <w:tc>
                <w:tcPr>
                  <w:tcW w:w="540" w:type="dxa"/>
                  <w:vAlign w:val="center"/>
                </w:tcPr>
                <w:p w14:paraId="5E1AF47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lang w:val="en-US" w:eastAsia="zh-CN"/>
                    </w:rPr>
                  </w:pPr>
                  <w:r>
                    <w:rPr>
                      <w:rFonts w:hint="default" w:ascii="Times New Roman" w:hAnsi="Times New Roman" w:cs="Times New Roman"/>
                      <w:color w:val="000000" w:themeColor="text1"/>
                      <w:sz w:val="18"/>
                      <w:szCs w:val="18"/>
                      <w:highlight w:val="none"/>
                      <w:u w:val="single"/>
                    </w:rPr>
                    <w:t>0.00</w:t>
                  </w:r>
                  <w:r>
                    <w:rPr>
                      <w:rFonts w:hint="default" w:ascii="Times New Roman" w:hAnsi="Times New Roman" w:cs="Times New Roman"/>
                      <w:color w:val="000000" w:themeColor="text1"/>
                      <w:sz w:val="18"/>
                      <w:szCs w:val="18"/>
                      <w:highlight w:val="none"/>
                      <w:u w:val="single"/>
                      <w:lang w:eastAsia="zh-CN"/>
                    </w:rPr>
                    <w:t>0</w:t>
                  </w:r>
                  <w:r>
                    <w:rPr>
                      <w:rFonts w:hint="default" w:ascii="Times New Roman" w:hAnsi="Times New Roman" w:cs="Times New Roman"/>
                      <w:color w:val="000000" w:themeColor="text1"/>
                      <w:sz w:val="18"/>
                      <w:szCs w:val="18"/>
                      <w:highlight w:val="none"/>
                      <w:u w:val="single"/>
                      <w:lang w:val="en-US" w:eastAsia="zh-CN"/>
                    </w:rPr>
                    <w:t>0</w:t>
                  </w:r>
                  <w:r>
                    <w:rPr>
                      <w:rFonts w:hint="eastAsia" w:cs="Times New Roman"/>
                      <w:color w:val="000000" w:themeColor="text1"/>
                      <w:sz w:val="18"/>
                      <w:szCs w:val="18"/>
                      <w:highlight w:val="none"/>
                      <w:u w:val="single"/>
                      <w:lang w:val="en-US" w:eastAsia="zh-CN"/>
                    </w:rPr>
                    <w:t>1</w:t>
                  </w:r>
                </w:p>
              </w:tc>
              <w:tc>
                <w:tcPr>
                  <w:tcW w:w="600" w:type="dxa"/>
                  <w:vAlign w:val="center"/>
                </w:tcPr>
                <w:p w14:paraId="7A248F35">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lang w:val="en-US" w:eastAsia="zh-CN"/>
                    </w:rPr>
                  </w:pPr>
                  <w:r>
                    <w:rPr>
                      <w:rFonts w:hint="default" w:ascii="Times New Roman" w:hAnsi="Times New Roman" w:cs="Times New Roman"/>
                      <w:color w:val="000000" w:themeColor="text1"/>
                      <w:sz w:val="18"/>
                      <w:szCs w:val="18"/>
                      <w:highlight w:val="none"/>
                      <w:u w:val="single"/>
                      <w:lang w:val="en-US" w:eastAsia="zh-CN"/>
                    </w:rPr>
                    <w:t>0.00</w:t>
                  </w:r>
                  <w:r>
                    <w:rPr>
                      <w:rFonts w:hint="eastAsia" w:cs="Times New Roman"/>
                      <w:color w:val="000000" w:themeColor="text1"/>
                      <w:sz w:val="18"/>
                      <w:szCs w:val="18"/>
                      <w:highlight w:val="none"/>
                      <w:u w:val="single"/>
                      <w:lang w:val="en-US" w:eastAsia="zh-CN"/>
                    </w:rPr>
                    <w:t>33</w:t>
                  </w:r>
                </w:p>
              </w:tc>
              <w:tc>
                <w:tcPr>
                  <w:tcW w:w="555" w:type="dxa"/>
                  <w:vAlign w:val="center"/>
                </w:tcPr>
                <w:p w14:paraId="6C485B7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lang w:val="en-US" w:eastAsia="zh-CN"/>
                    </w:rPr>
                    <w:t>5.2</w:t>
                  </w:r>
                </w:p>
              </w:tc>
              <w:tc>
                <w:tcPr>
                  <w:tcW w:w="577" w:type="dxa"/>
                  <w:vAlign w:val="center"/>
                </w:tcPr>
                <w:p w14:paraId="1B530B1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lang w:val="en-US" w:eastAsia="zh-CN"/>
                    </w:rPr>
                  </w:pPr>
                  <w:r>
                    <w:rPr>
                      <w:rFonts w:hint="default" w:ascii="Times New Roman" w:hAnsi="Times New Roman" w:cs="Times New Roman"/>
                      <w:color w:val="000000" w:themeColor="text1"/>
                      <w:sz w:val="18"/>
                      <w:szCs w:val="18"/>
                      <w:u w:val="single"/>
                    </w:rPr>
                    <w:t>——</w:t>
                  </w:r>
                </w:p>
              </w:tc>
            </w:tr>
          </w:tbl>
          <w:p w14:paraId="4FC5C202">
            <w:pPr>
              <w:adjustRightInd w:val="0"/>
              <w:snapToGrid w:val="0"/>
              <w:spacing w:line="360" w:lineRule="auto"/>
              <w:jc w:val="center"/>
              <w:rPr>
                <w:rFonts w:hint="default" w:ascii="Times New Roman" w:hAnsi="Times New Roman" w:eastAsia="宋体" w:cs="Times New Roman"/>
                <w:b/>
                <w:bCs/>
                <w:color w:val="000000" w:themeColor="text1"/>
                <w:sz w:val="21"/>
                <w:szCs w:val="21"/>
                <w:u w:val="single"/>
                <w:lang w:val="en-US" w:eastAsia="zh-CN"/>
              </w:rPr>
            </w:pPr>
            <w:r>
              <w:rPr>
                <w:rFonts w:hint="default" w:ascii="Times New Roman" w:hAnsi="Times New Roman" w:cs="Times New Roman"/>
                <w:b/>
                <w:bCs/>
                <w:color w:val="000000" w:themeColor="text1"/>
                <w:sz w:val="21"/>
                <w:szCs w:val="21"/>
                <w:u w:val="single"/>
                <w:lang w:val="en-US" w:eastAsia="zh-CN"/>
              </w:rPr>
              <w:t>表4-2 项目恶臭废气无组织产排汇总表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211"/>
              <w:gridCol w:w="1211"/>
              <w:gridCol w:w="1212"/>
              <w:gridCol w:w="1275"/>
              <w:gridCol w:w="1149"/>
              <w:gridCol w:w="1212"/>
            </w:tblGrid>
            <w:tr w14:paraId="7ED54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restart"/>
                  <w:vAlign w:val="center"/>
                </w:tcPr>
                <w:p w14:paraId="57FF684B">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污染源</w:t>
                  </w:r>
                </w:p>
              </w:tc>
              <w:tc>
                <w:tcPr>
                  <w:tcW w:w="1211" w:type="dxa"/>
                  <w:vMerge w:val="restart"/>
                  <w:vAlign w:val="center"/>
                </w:tcPr>
                <w:p w14:paraId="06E715A6">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工序</w:t>
                  </w:r>
                </w:p>
              </w:tc>
              <w:tc>
                <w:tcPr>
                  <w:tcW w:w="1211" w:type="dxa"/>
                  <w:vMerge w:val="restart"/>
                  <w:vAlign w:val="center"/>
                </w:tcPr>
                <w:p w14:paraId="6396A580">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污染物名称</w:t>
                  </w:r>
                </w:p>
              </w:tc>
              <w:tc>
                <w:tcPr>
                  <w:tcW w:w="1212" w:type="dxa"/>
                  <w:vMerge w:val="restart"/>
                  <w:vAlign w:val="center"/>
                </w:tcPr>
                <w:p w14:paraId="5F188145">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排放量（t/a）</w:t>
                  </w:r>
                </w:p>
              </w:tc>
              <w:tc>
                <w:tcPr>
                  <w:tcW w:w="3636" w:type="dxa"/>
                  <w:gridSpan w:val="3"/>
                  <w:vAlign w:val="center"/>
                </w:tcPr>
                <w:p w14:paraId="5BBB7201">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排放参数</w:t>
                  </w:r>
                </w:p>
              </w:tc>
            </w:tr>
            <w:tr w14:paraId="5CDA0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3A665350">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p>
              </w:tc>
              <w:tc>
                <w:tcPr>
                  <w:tcW w:w="1211" w:type="dxa"/>
                  <w:vMerge w:val="continue"/>
                  <w:vAlign w:val="center"/>
                </w:tcPr>
                <w:p w14:paraId="2E4A6154">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p>
              </w:tc>
              <w:tc>
                <w:tcPr>
                  <w:tcW w:w="1211" w:type="dxa"/>
                  <w:vMerge w:val="continue"/>
                  <w:vAlign w:val="center"/>
                </w:tcPr>
                <w:p w14:paraId="3AA932D7">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p>
              </w:tc>
              <w:tc>
                <w:tcPr>
                  <w:tcW w:w="1212" w:type="dxa"/>
                  <w:vMerge w:val="continue"/>
                  <w:vAlign w:val="center"/>
                </w:tcPr>
                <w:p w14:paraId="08C1096A">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p>
              </w:tc>
              <w:tc>
                <w:tcPr>
                  <w:tcW w:w="1275" w:type="dxa"/>
                  <w:vAlign w:val="center"/>
                </w:tcPr>
                <w:p w14:paraId="1835996B">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长度（m）</w:t>
                  </w:r>
                </w:p>
              </w:tc>
              <w:tc>
                <w:tcPr>
                  <w:tcW w:w="1149" w:type="dxa"/>
                  <w:vAlign w:val="center"/>
                </w:tcPr>
                <w:p w14:paraId="4DB2E5FD">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宽度（m）</w:t>
                  </w:r>
                </w:p>
              </w:tc>
              <w:tc>
                <w:tcPr>
                  <w:tcW w:w="1212" w:type="dxa"/>
                  <w:vAlign w:val="center"/>
                </w:tcPr>
                <w:p w14:paraId="65E5F204">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高度（m）</w:t>
                  </w:r>
                </w:p>
              </w:tc>
            </w:tr>
            <w:tr w14:paraId="2B664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restart"/>
                  <w:vAlign w:val="center"/>
                </w:tcPr>
                <w:p w14:paraId="2369CCFE">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污水处理站</w:t>
                  </w:r>
                </w:p>
              </w:tc>
              <w:tc>
                <w:tcPr>
                  <w:tcW w:w="1211" w:type="dxa"/>
                  <w:vMerge w:val="restart"/>
                  <w:vAlign w:val="center"/>
                </w:tcPr>
                <w:p w14:paraId="33E47425">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污水处理</w:t>
                  </w:r>
                </w:p>
              </w:tc>
              <w:tc>
                <w:tcPr>
                  <w:tcW w:w="1211" w:type="dxa"/>
                  <w:vAlign w:val="center"/>
                </w:tcPr>
                <w:p w14:paraId="32E890C4">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NH</w:t>
                  </w:r>
                  <w:r>
                    <w:rPr>
                      <w:rFonts w:hint="default" w:ascii="Times New Roman" w:hAnsi="Times New Roman" w:cs="Times New Roman"/>
                      <w:color w:val="000000" w:themeColor="text1"/>
                      <w:sz w:val="21"/>
                      <w:szCs w:val="21"/>
                      <w:u w:val="single"/>
                      <w:vertAlign w:val="subscript"/>
                      <w:lang w:val="en-US" w:eastAsia="zh-CN"/>
                    </w:rPr>
                    <w:t>3</w:t>
                  </w:r>
                </w:p>
              </w:tc>
              <w:tc>
                <w:tcPr>
                  <w:tcW w:w="1212" w:type="dxa"/>
                  <w:vAlign w:val="center"/>
                </w:tcPr>
                <w:p w14:paraId="7AD23CCD">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0.00</w:t>
                  </w:r>
                  <w:r>
                    <w:rPr>
                      <w:rFonts w:hint="eastAsia" w:cs="Times New Roman"/>
                      <w:color w:val="000000" w:themeColor="text1"/>
                      <w:sz w:val="21"/>
                      <w:szCs w:val="21"/>
                      <w:u w:val="single"/>
                      <w:lang w:val="en-US" w:eastAsia="zh-CN"/>
                    </w:rPr>
                    <w:t>087</w:t>
                  </w:r>
                </w:p>
              </w:tc>
              <w:tc>
                <w:tcPr>
                  <w:tcW w:w="1275" w:type="dxa"/>
                  <w:vMerge w:val="restart"/>
                  <w:vAlign w:val="center"/>
                </w:tcPr>
                <w:p w14:paraId="2A9841CC">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10</w:t>
                  </w:r>
                </w:p>
              </w:tc>
              <w:tc>
                <w:tcPr>
                  <w:tcW w:w="1149" w:type="dxa"/>
                  <w:vMerge w:val="restart"/>
                  <w:vAlign w:val="center"/>
                </w:tcPr>
                <w:p w14:paraId="61CA6784">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4</w:t>
                  </w:r>
                </w:p>
              </w:tc>
              <w:tc>
                <w:tcPr>
                  <w:tcW w:w="1212" w:type="dxa"/>
                  <w:vMerge w:val="restart"/>
                  <w:vAlign w:val="center"/>
                </w:tcPr>
                <w:p w14:paraId="7A73CE94">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eastAsia="zh-CN"/>
                    </w:rPr>
                  </w:pPr>
                  <w:r>
                    <w:rPr>
                      <w:rFonts w:hint="default" w:ascii="Times New Roman" w:hAnsi="Times New Roman" w:cs="Times New Roman"/>
                      <w:color w:val="000000" w:themeColor="text1"/>
                      <w:sz w:val="21"/>
                      <w:szCs w:val="21"/>
                      <w:u w:val="single"/>
                      <w:lang w:val="en-US" w:eastAsia="zh-CN"/>
                    </w:rPr>
                    <w:t>3.0</w:t>
                  </w:r>
                </w:p>
              </w:tc>
            </w:tr>
            <w:tr w14:paraId="2234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1" w:type="dxa"/>
                  <w:vMerge w:val="continue"/>
                  <w:vAlign w:val="center"/>
                </w:tcPr>
                <w:p w14:paraId="11941B57">
                  <w:pPr>
                    <w:pStyle w:val="47"/>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420" w:leftChars="0" w:hanging="420" w:hangingChars="200"/>
                    <w:jc w:val="center"/>
                    <w:textAlignment w:val="auto"/>
                    <w:rPr>
                      <w:rFonts w:hint="default" w:ascii="Times New Roman" w:hAnsi="Times New Roman" w:eastAsia="宋体" w:cs="Times New Roman"/>
                      <w:color w:val="000000" w:themeColor="text1"/>
                      <w:sz w:val="21"/>
                      <w:szCs w:val="21"/>
                      <w:vertAlign w:val="baseline"/>
                    </w:rPr>
                  </w:pPr>
                </w:p>
              </w:tc>
              <w:tc>
                <w:tcPr>
                  <w:tcW w:w="1211" w:type="dxa"/>
                  <w:vMerge w:val="continue"/>
                  <w:vAlign w:val="center"/>
                </w:tcPr>
                <w:p w14:paraId="780525CB">
                  <w:pPr>
                    <w:pStyle w:val="47"/>
                    <w:keepNext w:val="0"/>
                    <w:keepLines w:val="0"/>
                    <w:pageBreakBefore w:val="0"/>
                    <w:widowControl w:val="0"/>
                    <w:kinsoku/>
                    <w:wordWrap/>
                    <w:overflowPunct/>
                    <w:topLinePunct w:val="0"/>
                    <w:autoSpaceDE/>
                    <w:autoSpaceDN/>
                    <w:bidi w:val="0"/>
                    <w:adjustRightInd w:val="0"/>
                    <w:snapToGrid w:val="0"/>
                    <w:spacing w:before="60" w:beforeLines="0" w:after="60" w:afterLines="0" w:line="240" w:lineRule="auto"/>
                    <w:ind w:left="420" w:leftChars="0" w:hanging="420" w:hangingChars="200"/>
                    <w:jc w:val="center"/>
                    <w:textAlignment w:val="auto"/>
                    <w:rPr>
                      <w:rFonts w:hint="default" w:ascii="Times New Roman" w:hAnsi="Times New Roman" w:eastAsia="宋体" w:cs="Times New Roman"/>
                      <w:color w:val="000000" w:themeColor="text1"/>
                      <w:sz w:val="21"/>
                      <w:szCs w:val="21"/>
                      <w:vertAlign w:val="baseline"/>
                    </w:rPr>
                  </w:pPr>
                </w:p>
              </w:tc>
              <w:tc>
                <w:tcPr>
                  <w:tcW w:w="1211" w:type="dxa"/>
                  <w:vAlign w:val="center"/>
                </w:tcPr>
                <w:p w14:paraId="480DD4FB">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rPr>
                  </w:pPr>
                  <w:r>
                    <w:rPr>
                      <w:rFonts w:hint="default" w:ascii="Times New Roman" w:hAnsi="Times New Roman" w:cs="Times New Roman"/>
                      <w:color w:val="000000" w:themeColor="text1"/>
                      <w:sz w:val="21"/>
                      <w:szCs w:val="21"/>
                      <w:u w:val="single"/>
                    </w:rPr>
                    <w:t>H</w:t>
                  </w:r>
                  <w:r>
                    <w:rPr>
                      <w:rFonts w:hint="default" w:ascii="Times New Roman" w:hAnsi="Times New Roman" w:cs="Times New Roman"/>
                      <w:color w:val="000000" w:themeColor="text1"/>
                      <w:sz w:val="21"/>
                      <w:szCs w:val="21"/>
                      <w:u w:val="single"/>
                      <w:vertAlign w:val="subscript"/>
                    </w:rPr>
                    <w:t>2</w:t>
                  </w:r>
                  <w:r>
                    <w:rPr>
                      <w:rFonts w:hint="default" w:ascii="Times New Roman" w:hAnsi="Times New Roman" w:cs="Times New Roman"/>
                      <w:color w:val="000000" w:themeColor="text1"/>
                      <w:sz w:val="21"/>
                      <w:szCs w:val="21"/>
                      <w:u w:val="single"/>
                    </w:rPr>
                    <w:t>S</w:t>
                  </w:r>
                </w:p>
              </w:tc>
              <w:tc>
                <w:tcPr>
                  <w:tcW w:w="1212" w:type="dxa"/>
                  <w:vAlign w:val="center"/>
                </w:tcPr>
                <w:p w14:paraId="0A51B3F1">
                  <w:pPr>
                    <w:keepNext w:val="0"/>
                    <w:keepLines w:val="0"/>
                    <w:pageBreakBefore w:val="0"/>
                    <w:widowControl w:val="0"/>
                    <w:kinsoku/>
                    <w:wordWrap/>
                    <w:overflowPunct/>
                    <w:topLinePunct w:val="0"/>
                    <w:autoSpaceDE/>
                    <w:autoSpaceDN/>
                    <w:bidi w:val="0"/>
                    <w:adjustRightInd/>
                    <w:snapToGrid/>
                    <w:spacing w:before="60" w:after="60"/>
                    <w:ind w:left="0"/>
                    <w:jc w:val="center"/>
                    <w:textAlignment w:val="auto"/>
                    <w:rPr>
                      <w:rFonts w:hint="default" w:ascii="Times New Roman" w:hAnsi="Times New Roman" w:cs="Times New Roman"/>
                      <w:color w:val="000000" w:themeColor="text1"/>
                      <w:sz w:val="21"/>
                      <w:szCs w:val="21"/>
                      <w:u w:val="single"/>
                      <w:lang w:val="en-US"/>
                    </w:rPr>
                  </w:pPr>
                  <w:r>
                    <w:rPr>
                      <w:rFonts w:hint="default" w:ascii="Times New Roman" w:hAnsi="Times New Roman" w:cs="Times New Roman"/>
                      <w:color w:val="000000" w:themeColor="text1"/>
                      <w:sz w:val="21"/>
                      <w:szCs w:val="21"/>
                      <w:u w:val="single"/>
                      <w:lang w:val="en-US" w:eastAsia="zh-CN"/>
                    </w:rPr>
                    <w:t>0.0000</w:t>
                  </w:r>
                  <w:r>
                    <w:rPr>
                      <w:rFonts w:hint="eastAsia" w:cs="Times New Roman"/>
                      <w:color w:val="000000" w:themeColor="text1"/>
                      <w:sz w:val="21"/>
                      <w:szCs w:val="21"/>
                      <w:u w:val="single"/>
                      <w:lang w:val="en-US" w:eastAsia="zh-CN"/>
                    </w:rPr>
                    <w:t>3</w:t>
                  </w:r>
                </w:p>
              </w:tc>
              <w:tc>
                <w:tcPr>
                  <w:tcW w:w="1275" w:type="dxa"/>
                  <w:vMerge w:val="continue"/>
                  <w:vAlign w:val="top"/>
                </w:tcPr>
                <w:p w14:paraId="4F46B8B2">
                  <w:pPr>
                    <w:keepNext w:val="0"/>
                    <w:keepLines w:val="0"/>
                    <w:pageBreakBefore w:val="0"/>
                    <w:widowControl w:val="0"/>
                    <w:kinsoku/>
                    <w:wordWrap/>
                    <w:overflowPunct/>
                    <w:topLinePunct w:val="0"/>
                    <w:autoSpaceDE/>
                    <w:autoSpaceDN/>
                    <w:bidi w:val="0"/>
                    <w:spacing w:before="60" w:after="60"/>
                    <w:ind w:left="0"/>
                    <w:textAlignment w:val="auto"/>
                    <w:rPr>
                      <w:rFonts w:hint="default" w:ascii="Times New Roman" w:hAnsi="Times New Roman" w:eastAsia="宋体" w:cs="Times New Roman"/>
                      <w:color w:val="000000" w:themeColor="text1"/>
                      <w:sz w:val="21"/>
                      <w:szCs w:val="21"/>
                      <w:vertAlign w:val="baseline"/>
                    </w:rPr>
                  </w:pPr>
                </w:p>
              </w:tc>
              <w:tc>
                <w:tcPr>
                  <w:tcW w:w="1149" w:type="dxa"/>
                  <w:vMerge w:val="continue"/>
                  <w:vAlign w:val="top"/>
                </w:tcPr>
                <w:p w14:paraId="25A2FC9C">
                  <w:pPr>
                    <w:keepNext w:val="0"/>
                    <w:keepLines w:val="0"/>
                    <w:pageBreakBefore w:val="0"/>
                    <w:widowControl w:val="0"/>
                    <w:kinsoku/>
                    <w:wordWrap/>
                    <w:overflowPunct/>
                    <w:topLinePunct w:val="0"/>
                    <w:autoSpaceDE/>
                    <w:autoSpaceDN/>
                    <w:bidi w:val="0"/>
                    <w:spacing w:before="60" w:after="60"/>
                    <w:ind w:left="0"/>
                    <w:textAlignment w:val="auto"/>
                    <w:rPr>
                      <w:rFonts w:hint="default" w:ascii="Times New Roman" w:hAnsi="Times New Roman" w:eastAsia="宋体" w:cs="Times New Roman"/>
                      <w:color w:val="000000" w:themeColor="text1"/>
                      <w:sz w:val="21"/>
                      <w:szCs w:val="21"/>
                      <w:vertAlign w:val="baseline"/>
                    </w:rPr>
                  </w:pPr>
                </w:p>
              </w:tc>
              <w:tc>
                <w:tcPr>
                  <w:tcW w:w="1212" w:type="dxa"/>
                  <w:vMerge w:val="continue"/>
                  <w:vAlign w:val="top"/>
                </w:tcPr>
                <w:p w14:paraId="5F915DDC">
                  <w:pPr>
                    <w:keepNext w:val="0"/>
                    <w:keepLines w:val="0"/>
                    <w:pageBreakBefore w:val="0"/>
                    <w:widowControl w:val="0"/>
                    <w:kinsoku/>
                    <w:wordWrap/>
                    <w:overflowPunct/>
                    <w:topLinePunct w:val="0"/>
                    <w:autoSpaceDE/>
                    <w:autoSpaceDN/>
                    <w:bidi w:val="0"/>
                    <w:spacing w:before="60" w:after="60"/>
                    <w:ind w:left="0"/>
                    <w:textAlignment w:val="auto"/>
                    <w:rPr>
                      <w:rFonts w:hint="default" w:ascii="Times New Roman" w:hAnsi="Times New Roman" w:eastAsia="宋体" w:cs="Times New Roman"/>
                      <w:color w:val="000000" w:themeColor="text1"/>
                      <w:sz w:val="21"/>
                      <w:szCs w:val="21"/>
                      <w:vertAlign w:val="baseline"/>
                    </w:rPr>
                  </w:pPr>
                </w:p>
              </w:tc>
            </w:tr>
          </w:tbl>
          <w:p w14:paraId="77C48E02">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u w:val="single"/>
                <w:lang w:val="en-US" w:eastAsia="zh-CN"/>
              </w:rPr>
            </w:pPr>
            <w:r>
              <w:rPr>
                <w:rFonts w:hint="default" w:ascii="Times New Roman" w:hAnsi="Times New Roman" w:cs="Times New Roman"/>
                <w:b/>
                <w:bCs/>
                <w:color w:val="000000" w:themeColor="text1"/>
                <w:sz w:val="24"/>
                <w:szCs w:val="24"/>
                <w:u w:val="single"/>
                <w:lang w:eastAsia="zh-CN"/>
              </w:rPr>
              <w:t>（</w:t>
            </w:r>
            <w:r>
              <w:rPr>
                <w:rFonts w:hint="default" w:ascii="Times New Roman" w:hAnsi="Times New Roman" w:cs="Times New Roman"/>
                <w:b/>
                <w:bCs/>
                <w:color w:val="000000" w:themeColor="text1"/>
                <w:sz w:val="24"/>
                <w:szCs w:val="24"/>
                <w:u w:val="single"/>
                <w:lang w:val="en-US" w:eastAsia="zh-CN"/>
              </w:rPr>
              <w:t>2</w:t>
            </w:r>
            <w:r>
              <w:rPr>
                <w:rFonts w:hint="default" w:ascii="Times New Roman" w:hAnsi="Times New Roman" w:cs="Times New Roman"/>
                <w:b/>
                <w:bCs/>
                <w:color w:val="000000" w:themeColor="text1"/>
                <w:sz w:val="24"/>
                <w:szCs w:val="24"/>
                <w:u w:val="single"/>
                <w:lang w:eastAsia="zh-CN"/>
              </w:rPr>
              <w:t>）</w:t>
            </w:r>
            <w:r>
              <w:rPr>
                <w:rFonts w:hint="default" w:ascii="Times New Roman" w:hAnsi="Times New Roman" w:cs="Times New Roman"/>
                <w:b/>
                <w:bCs/>
                <w:color w:val="000000" w:themeColor="text1"/>
                <w:sz w:val="24"/>
                <w:szCs w:val="24"/>
                <w:u w:val="single"/>
                <w:lang w:val="en-US" w:eastAsia="zh-CN"/>
              </w:rPr>
              <w:t>天然气锅炉废气</w:t>
            </w:r>
          </w:p>
          <w:p w14:paraId="4E750B74">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u w:val="single"/>
                <w:lang w:val="en-US" w:eastAsia="zh-CN"/>
              </w:rPr>
            </w:pPr>
            <w:r>
              <w:rPr>
                <w:rFonts w:hint="default" w:ascii="Times New Roman" w:hAnsi="Times New Roman" w:cs="Times New Roman"/>
                <w:color w:val="000000" w:themeColor="text1"/>
                <w:sz w:val="24"/>
                <w:szCs w:val="24"/>
                <w:u w:val="single"/>
                <w:lang w:val="en-US" w:eastAsia="zh-CN"/>
              </w:rPr>
              <w:t>项目利用原有</w:t>
            </w:r>
            <w:r>
              <w:rPr>
                <w:rFonts w:hint="default" w:ascii="Times New Roman" w:hAnsi="Times New Roman" w:cs="Times New Roman"/>
                <w:color w:val="000000" w:themeColor="text1"/>
                <w:sz w:val="24"/>
                <w:szCs w:val="24"/>
                <w:highlight w:val="none"/>
                <w:u w:val="single"/>
                <w:lang w:val="en-US" w:eastAsia="zh-CN"/>
              </w:rPr>
              <w:t>的</w:t>
            </w:r>
            <w:r>
              <w:rPr>
                <w:rFonts w:hint="default" w:ascii="Times New Roman" w:hAnsi="Times New Roman" w:eastAsia="宋体" w:cs="Times New Roman"/>
                <w:color w:val="000000" w:themeColor="text1"/>
                <w:sz w:val="24"/>
                <w:szCs w:val="24"/>
                <w:highlight w:val="none"/>
                <w:u w:val="single"/>
              </w:rPr>
              <w:t>1台2</w:t>
            </w:r>
            <w:r>
              <w:rPr>
                <w:rFonts w:hint="default" w:ascii="Times New Roman" w:hAnsi="Times New Roman" w:cs="Times New Roman"/>
                <w:color w:val="000000" w:themeColor="text1"/>
                <w:sz w:val="24"/>
                <w:szCs w:val="24"/>
                <w:highlight w:val="none"/>
                <w:u w:val="single"/>
                <w:lang w:val="en-US" w:eastAsia="zh-CN"/>
              </w:rPr>
              <w:t>t/h</w:t>
            </w:r>
            <w:r>
              <w:rPr>
                <w:rFonts w:hint="default" w:ascii="Times New Roman" w:hAnsi="Times New Roman" w:eastAsia="宋体" w:cs="Times New Roman"/>
                <w:color w:val="000000" w:themeColor="text1"/>
                <w:sz w:val="24"/>
                <w:szCs w:val="24"/>
                <w:highlight w:val="none"/>
                <w:u w:val="single"/>
              </w:rPr>
              <w:t>的燃气锅炉用于医院冬季热水的供应，</w:t>
            </w:r>
            <w:r>
              <w:rPr>
                <w:rFonts w:hint="default" w:ascii="Times New Roman" w:hAnsi="Times New Roman" w:cs="Times New Roman"/>
                <w:color w:val="000000" w:themeColor="text1"/>
                <w:sz w:val="24"/>
                <w:szCs w:val="24"/>
                <w:highlight w:val="none"/>
                <w:u w:val="single"/>
                <w:lang w:val="en-US" w:eastAsia="zh-CN"/>
              </w:rPr>
              <w:t>根据医院提供的资料，</w:t>
            </w:r>
            <w:r>
              <w:rPr>
                <w:rFonts w:hint="default" w:ascii="Times New Roman" w:hAnsi="Times New Roman" w:eastAsia="宋体" w:cs="Times New Roman"/>
                <w:color w:val="000000" w:themeColor="text1"/>
                <w:sz w:val="24"/>
                <w:szCs w:val="24"/>
                <w:highlight w:val="none"/>
                <w:u w:val="single"/>
              </w:rPr>
              <w:t>平均每天运行约</w:t>
            </w:r>
            <w:r>
              <w:rPr>
                <w:rFonts w:hint="default" w:ascii="Times New Roman" w:hAnsi="Times New Roman" w:cs="Times New Roman"/>
                <w:color w:val="000000" w:themeColor="text1"/>
                <w:sz w:val="24"/>
                <w:szCs w:val="24"/>
                <w:highlight w:val="none"/>
                <w:u w:val="single"/>
                <w:lang w:val="en-US" w:eastAsia="zh-CN"/>
              </w:rPr>
              <w:t>4.5</w:t>
            </w:r>
            <w:r>
              <w:rPr>
                <w:rFonts w:hint="default" w:ascii="Times New Roman" w:hAnsi="Times New Roman" w:eastAsia="宋体" w:cs="Times New Roman"/>
                <w:color w:val="000000" w:themeColor="text1"/>
                <w:sz w:val="24"/>
                <w:szCs w:val="24"/>
                <w:highlight w:val="none"/>
                <w:u w:val="single"/>
              </w:rPr>
              <w:t>小时，年运行时间100天，</w:t>
            </w:r>
            <w:r>
              <w:rPr>
                <w:rFonts w:hint="default" w:ascii="Times New Roman" w:hAnsi="Times New Roman" w:cs="Times New Roman"/>
                <w:color w:val="000000" w:themeColor="text1"/>
                <w:sz w:val="24"/>
                <w:szCs w:val="24"/>
                <w:highlight w:val="none"/>
                <w:u w:val="single"/>
                <w:lang w:val="en-US" w:eastAsia="zh-CN"/>
              </w:rPr>
              <w:t>燃气锅炉每小时用气量约130Nm</w:t>
            </w:r>
            <w:r>
              <w:rPr>
                <w:rFonts w:hint="default" w:ascii="Times New Roman" w:hAnsi="Times New Roman" w:cs="Times New Roman"/>
                <w:color w:val="000000" w:themeColor="text1"/>
                <w:sz w:val="24"/>
                <w:szCs w:val="24"/>
                <w:highlight w:val="none"/>
                <w:u w:val="single"/>
                <w:vertAlign w:val="superscript"/>
                <w:lang w:val="en-US" w:eastAsia="zh-CN"/>
              </w:rPr>
              <w:t>3</w:t>
            </w:r>
            <w:r>
              <w:rPr>
                <w:rFonts w:hint="default" w:ascii="Times New Roman" w:hAnsi="Times New Roman" w:cs="Times New Roman"/>
                <w:color w:val="000000" w:themeColor="text1"/>
                <w:sz w:val="24"/>
                <w:szCs w:val="24"/>
                <w:highlight w:val="none"/>
                <w:u w:val="single"/>
                <w:lang w:val="en-US" w:eastAsia="zh-CN"/>
              </w:rPr>
              <w:t>/h，则本项目天然气年用量</w:t>
            </w:r>
            <w:r>
              <w:rPr>
                <w:rFonts w:hint="default" w:ascii="Times New Roman" w:hAnsi="Times New Roman" w:eastAsia="宋体" w:cs="Times New Roman"/>
                <w:color w:val="000000" w:themeColor="text1"/>
                <w:sz w:val="24"/>
                <w:szCs w:val="24"/>
                <w:highlight w:val="none"/>
                <w:u w:val="single"/>
              </w:rPr>
              <w:t>约为</w:t>
            </w:r>
            <w:r>
              <w:rPr>
                <w:rFonts w:hint="default" w:ascii="Times New Roman" w:hAnsi="Times New Roman" w:cs="Times New Roman"/>
                <w:color w:val="000000" w:themeColor="text1"/>
                <w:sz w:val="24"/>
                <w:szCs w:val="24"/>
                <w:highlight w:val="none"/>
                <w:u w:val="single"/>
                <w:lang w:val="en-US" w:eastAsia="zh-CN"/>
              </w:rPr>
              <w:t>5.85</w:t>
            </w:r>
            <w:r>
              <w:rPr>
                <w:rFonts w:hint="default" w:ascii="Times New Roman" w:hAnsi="Times New Roman" w:eastAsia="宋体" w:cs="Times New Roman"/>
                <w:color w:val="000000" w:themeColor="text1"/>
                <w:sz w:val="24"/>
                <w:szCs w:val="24"/>
                <w:highlight w:val="none"/>
                <w:u w:val="single"/>
              </w:rPr>
              <w:t>万</w:t>
            </w:r>
            <w:r>
              <w:rPr>
                <w:rFonts w:hint="default" w:ascii="Times New Roman" w:hAnsi="Times New Roman" w:cs="Times New Roman"/>
                <w:color w:val="000000" w:themeColor="text1"/>
                <w:sz w:val="24"/>
                <w:szCs w:val="24"/>
                <w:highlight w:val="none"/>
                <w:u w:val="single"/>
                <w:lang w:val="en-US" w:eastAsia="zh-CN"/>
              </w:rPr>
              <w:t>N</w:t>
            </w:r>
            <w:r>
              <w:rPr>
                <w:rFonts w:hint="default" w:ascii="Times New Roman" w:hAnsi="Times New Roman" w:eastAsia="宋体" w:cs="Times New Roman"/>
                <w:color w:val="000000" w:themeColor="text1"/>
                <w:sz w:val="24"/>
                <w:szCs w:val="24"/>
                <w:highlight w:val="none"/>
                <w:u w:val="single"/>
              </w:rPr>
              <w:t>m</w:t>
            </w:r>
            <w:r>
              <w:rPr>
                <w:rFonts w:hint="default" w:ascii="Times New Roman" w:hAnsi="Times New Roman" w:eastAsia="宋体" w:cs="Times New Roman"/>
                <w:color w:val="000000" w:themeColor="text1"/>
                <w:sz w:val="24"/>
                <w:szCs w:val="24"/>
                <w:highlight w:val="none"/>
                <w:u w:val="single"/>
                <w:vertAlign w:val="superscript"/>
              </w:rPr>
              <w:t>3</w:t>
            </w:r>
            <w:r>
              <w:rPr>
                <w:rFonts w:hint="default" w:ascii="Times New Roman" w:hAnsi="Times New Roman" w:cs="Times New Roman"/>
                <w:color w:val="000000" w:themeColor="text1"/>
                <w:sz w:val="24"/>
                <w:szCs w:val="24"/>
                <w:highlight w:val="none"/>
                <w:u w:val="single"/>
                <w:lang w:val="en-US" w:eastAsia="zh-CN"/>
              </w:rPr>
              <w:t>，天然气为清洁能源，燃烧产生的污染物主要有颗粒物、SO</w:t>
            </w:r>
            <w:r>
              <w:rPr>
                <w:rFonts w:hint="default" w:ascii="Times New Roman" w:hAnsi="Times New Roman" w:cs="Times New Roman"/>
                <w:color w:val="000000" w:themeColor="text1"/>
                <w:sz w:val="24"/>
                <w:szCs w:val="24"/>
                <w:highlight w:val="none"/>
                <w:u w:val="single"/>
                <w:vertAlign w:val="subscript"/>
                <w:lang w:val="en-US" w:eastAsia="zh-CN"/>
              </w:rPr>
              <w:t>2</w:t>
            </w:r>
            <w:r>
              <w:rPr>
                <w:rFonts w:hint="default" w:ascii="Times New Roman" w:hAnsi="Times New Roman" w:cs="Times New Roman"/>
                <w:color w:val="000000" w:themeColor="text1"/>
                <w:sz w:val="24"/>
                <w:szCs w:val="24"/>
                <w:highlight w:val="none"/>
                <w:u w:val="single"/>
                <w:lang w:val="en-US" w:eastAsia="zh-CN"/>
              </w:rPr>
              <w:t>及NO</w:t>
            </w:r>
            <w:r>
              <w:rPr>
                <w:rFonts w:hint="default" w:ascii="Times New Roman" w:hAnsi="Times New Roman" w:cs="Times New Roman"/>
                <w:color w:val="000000" w:themeColor="text1"/>
                <w:sz w:val="24"/>
                <w:szCs w:val="24"/>
                <w:highlight w:val="none"/>
                <w:u w:val="single"/>
                <w:vertAlign w:val="subscript"/>
                <w:lang w:val="en-US" w:eastAsia="zh-CN"/>
              </w:rPr>
              <w:t>X</w:t>
            </w:r>
            <w:r>
              <w:rPr>
                <w:rFonts w:hint="default" w:ascii="Times New Roman" w:hAnsi="Times New Roman" w:cs="Times New Roman"/>
                <w:color w:val="000000" w:themeColor="text1"/>
                <w:sz w:val="24"/>
                <w:szCs w:val="24"/>
                <w:highlight w:val="none"/>
                <w:u w:val="single"/>
                <w:lang w:val="en-US" w:eastAsia="zh-CN"/>
              </w:rPr>
              <w:t>。本项目锅炉大气污染物排放量参照《排放源统计调查产排污核算方法和系数手册》</w:t>
            </w:r>
            <w:r>
              <w:rPr>
                <w:rFonts w:hint="eastAsia" w:cs="Times New Roman"/>
                <w:color w:val="000000" w:themeColor="text1"/>
                <w:sz w:val="24"/>
                <w:szCs w:val="24"/>
                <w:highlight w:val="none"/>
                <w:u w:val="single"/>
                <w:lang w:val="en-US" w:eastAsia="zh-CN"/>
              </w:rPr>
              <w:t>）（2021年6月11日印发）</w:t>
            </w:r>
            <w:r>
              <w:rPr>
                <w:rFonts w:hint="default" w:ascii="Times New Roman" w:hAnsi="Times New Roman" w:cs="Times New Roman"/>
                <w:color w:val="000000" w:themeColor="text1"/>
                <w:sz w:val="24"/>
                <w:szCs w:val="24"/>
                <w:highlight w:val="none"/>
                <w:u w:val="single"/>
                <w:lang w:val="en-US" w:eastAsia="zh-CN"/>
              </w:rPr>
              <w:t>中“4430 工业锅炉（热力生产和供应行业）产污系数表-燃气工业锅炉”产污系数核算锅炉废气污染源源强，其中颗粒物根据《纳入排污许可管理的火电等17个行业污染物实际排放量计算方法（含排污系数、物料衡算方法）（试行）》</w:t>
            </w:r>
            <w:r>
              <w:rPr>
                <w:rFonts w:hint="eastAsia" w:cs="Times New Roman"/>
                <w:color w:val="000000" w:themeColor="text1"/>
                <w:sz w:val="24"/>
                <w:szCs w:val="24"/>
                <w:highlight w:val="none"/>
                <w:u w:val="single"/>
                <w:lang w:val="en-US" w:eastAsia="zh-CN"/>
              </w:rPr>
              <w:t>附录A</w:t>
            </w:r>
            <w:r>
              <w:rPr>
                <w:rFonts w:hint="default" w:ascii="Times New Roman" w:hAnsi="Times New Roman" w:cs="Times New Roman"/>
                <w:color w:val="000000" w:themeColor="text1"/>
                <w:sz w:val="24"/>
                <w:szCs w:val="24"/>
                <w:highlight w:val="none"/>
                <w:u w:val="single"/>
                <w:lang w:val="en-US" w:eastAsia="zh-CN"/>
              </w:rPr>
              <w:t>中“天然气锅炉颗粒物产排污系数为</w:t>
            </w:r>
            <w:r>
              <w:rPr>
                <w:rFonts w:hint="default" w:ascii="Times New Roman" w:hAnsi="Times New Roman" w:cs="Times New Roman"/>
                <w:color w:val="000000" w:themeColor="text1"/>
                <w:sz w:val="24"/>
                <w:szCs w:val="24"/>
                <w:highlight w:val="none"/>
                <w:u w:val="single"/>
                <w:shd w:val="clear"/>
                <w:lang w:val="en-US" w:eastAsia="zh-CN"/>
              </w:rPr>
              <w:t>103.9mg/m</w:t>
            </w:r>
            <w:r>
              <w:rPr>
                <w:rFonts w:hint="default" w:ascii="Times New Roman" w:hAnsi="Times New Roman" w:cs="Times New Roman"/>
                <w:color w:val="000000" w:themeColor="text1"/>
                <w:sz w:val="24"/>
                <w:szCs w:val="24"/>
                <w:highlight w:val="none"/>
                <w:u w:val="single"/>
                <w:shd w:val="clear"/>
                <w:vertAlign w:val="superscript"/>
                <w:lang w:val="en-US" w:eastAsia="zh-CN"/>
              </w:rPr>
              <w:t>3</w:t>
            </w:r>
            <w:r>
              <w:rPr>
                <w:rFonts w:hint="default" w:ascii="Times New Roman" w:hAnsi="Times New Roman" w:cs="Times New Roman"/>
                <w:color w:val="000000" w:themeColor="text1"/>
                <w:sz w:val="24"/>
                <w:szCs w:val="24"/>
                <w:highlight w:val="none"/>
                <w:u w:val="single"/>
                <w:shd w:val="clear"/>
                <w:lang w:val="en-US" w:eastAsia="zh-CN"/>
              </w:rPr>
              <w:t>-天然气（1.03</w:t>
            </w:r>
            <w:r>
              <w:rPr>
                <w:rFonts w:hint="eastAsia" w:cs="Times New Roman"/>
                <w:color w:val="000000" w:themeColor="text1"/>
                <w:sz w:val="24"/>
                <w:szCs w:val="24"/>
                <w:highlight w:val="none"/>
                <w:u w:val="single"/>
                <w:shd w:val="clear"/>
                <w:lang w:val="en-US" w:eastAsia="zh-CN"/>
              </w:rPr>
              <w:t>9</w:t>
            </w:r>
            <w:r>
              <w:rPr>
                <w:rFonts w:hint="default" w:ascii="Times New Roman" w:hAnsi="Times New Roman" w:cs="Times New Roman"/>
                <w:color w:val="000000" w:themeColor="text1"/>
                <w:sz w:val="24"/>
                <w:szCs w:val="24"/>
                <w:highlight w:val="none"/>
                <w:u w:val="single"/>
                <w:shd w:val="clear"/>
                <w:lang w:val="en-US" w:eastAsia="zh-CN"/>
              </w:rPr>
              <w:t>kg/万m</w:t>
            </w:r>
            <w:r>
              <w:rPr>
                <w:rFonts w:hint="default" w:ascii="Times New Roman" w:hAnsi="Times New Roman" w:cs="Times New Roman"/>
                <w:color w:val="000000" w:themeColor="text1"/>
                <w:sz w:val="24"/>
                <w:szCs w:val="24"/>
                <w:highlight w:val="none"/>
                <w:u w:val="single"/>
                <w:shd w:val="clear"/>
                <w:vertAlign w:val="superscript"/>
                <w:lang w:val="en-US" w:eastAsia="zh-CN"/>
              </w:rPr>
              <w:t>3</w:t>
            </w:r>
            <w:r>
              <w:rPr>
                <w:rFonts w:hint="default" w:ascii="Times New Roman" w:hAnsi="Times New Roman" w:cs="Times New Roman"/>
                <w:color w:val="000000" w:themeColor="text1"/>
                <w:sz w:val="24"/>
                <w:szCs w:val="24"/>
                <w:highlight w:val="none"/>
                <w:u w:val="single"/>
                <w:lang w:val="en-US" w:eastAsia="zh-CN"/>
              </w:rPr>
              <w:t>）”进行核算。</w:t>
            </w:r>
          </w:p>
          <w:p w14:paraId="24F8E600">
            <w:pPr>
              <w:adjustRightInd w:val="0"/>
              <w:snapToGrid w:val="0"/>
              <w:spacing w:line="360" w:lineRule="auto"/>
              <w:jc w:val="center"/>
              <w:rPr>
                <w:rFonts w:hint="default" w:ascii="Times New Roman" w:hAnsi="Times New Roman" w:cs="Times New Roman"/>
                <w:b/>
                <w:bCs/>
                <w:color w:val="000000" w:themeColor="text1"/>
                <w:sz w:val="21"/>
                <w:szCs w:val="21"/>
                <w:highlight w:val="none"/>
                <w:u w:val="single"/>
                <w:lang w:val="en-US" w:eastAsia="zh-CN"/>
              </w:rPr>
            </w:pPr>
            <w:r>
              <w:rPr>
                <w:rFonts w:hint="default" w:ascii="Times New Roman" w:hAnsi="Times New Roman" w:cs="Times New Roman"/>
                <w:b/>
                <w:bCs/>
                <w:color w:val="000000" w:themeColor="text1"/>
                <w:sz w:val="21"/>
                <w:szCs w:val="21"/>
                <w:highlight w:val="none"/>
                <w:u w:val="single"/>
                <w:lang w:val="en-US" w:eastAsia="zh-CN"/>
              </w:rPr>
              <w:t>表4-3 燃气锅炉废气产污系数</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4"/>
              <w:gridCol w:w="1470"/>
              <w:gridCol w:w="1800"/>
              <w:gridCol w:w="2085"/>
              <w:gridCol w:w="1792"/>
            </w:tblGrid>
            <w:tr w14:paraId="30262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Align w:val="center"/>
                </w:tcPr>
                <w:p w14:paraId="6F45509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原料名称</w:t>
                  </w:r>
                </w:p>
              </w:tc>
              <w:tc>
                <w:tcPr>
                  <w:tcW w:w="1470" w:type="dxa"/>
                  <w:vAlign w:val="center"/>
                </w:tcPr>
                <w:p w14:paraId="7AD8076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用途</w:t>
                  </w:r>
                </w:p>
              </w:tc>
              <w:tc>
                <w:tcPr>
                  <w:tcW w:w="1800" w:type="dxa"/>
                  <w:vAlign w:val="center"/>
                </w:tcPr>
                <w:p w14:paraId="1097EDE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污染物指标</w:t>
                  </w:r>
                </w:p>
              </w:tc>
              <w:tc>
                <w:tcPr>
                  <w:tcW w:w="2085" w:type="dxa"/>
                  <w:vAlign w:val="center"/>
                </w:tcPr>
                <w:p w14:paraId="3A99A96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单位</w:t>
                  </w:r>
                </w:p>
              </w:tc>
              <w:tc>
                <w:tcPr>
                  <w:tcW w:w="1792" w:type="dxa"/>
                  <w:vAlign w:val="center"/>
                </w:tcPr>
                <w:p w14:paraId="78E8ABE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产污系数</w:t>
                  </w:r>
                </w:p>
              </w:tc>
            </w:tr>
            <w:tr w14:paraId="4A3B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restart"/>
                  <w:vAlign w:val="center"/>
                </w:tcPr>
                <w:p w14:paraId="196EE08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天然气</w:t>
                  </w:r>
                </w:p>
              </w:tc>
              <w:tc>
                <w:tcPr>
                  <w:tcW w:w="1470" w:type="dxa"/>
                  <w:vMerge w:val="restart"/>
                  <w:vAlign w:val="center"/>
                </w:tcPr>
                <w:p w14:paraId="1F35B48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锅炉燃料</w:t>
                  </w:r>
                </w:p>
              </w:tc>
              <w:tc>
                <w:tcPr>
                  <w:tcW w:w="1800" w:type="dxa"/>
                  <w:vAlign w:val="center"/>
                </w:tcPr>
                <w:p w14:paraId="69431C3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工业废气量</w:t>
                  </w:r>
                </w:p>
              </w:tc>
              <w:tc>
                <w:tcPr>
                  <w:tcW w:w="2085" w:type="dxa"/>
                  <w:vAlign w:val="center"/>
                </w:tcPr>
                <w:p w14:paraId="552C3F8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Nm</w:t>
                  </w:r>
                  <w:r>
                    <w:rPr>
                      <w:rFonts w:hint="default" w:ascii="Times New Roman" w:hAnsi="Times New Roman" w:cs="Times New Roman"/>
                      <w:color w:val="000000" w:themeColor="text1"/>
                      <w:sz w:val="21"/>
                      <w:szCs w:val="21"/>
                      <w:highlight w:val="none"/>
                      <w:u w:val="single"/>
                      <w:vertAlign w:val="superscript"/>
                      <w:lang w:val="en-US" w:eastAsia="zh-CN"/>
                    </w:rPr>
                    <w:t>3</w:t>
                  </w:r>
                  <w:r>
                    <w:rPr>
                      <w:rFonts w:hint="default" w:ascii="Times New Roman" w:hAnsi="Times New Roman" w:cs="Times New Roman"/>
                      <w:color w:val="000000" w:themeColor="text1"/>
                      <w:sz w:val="21"/>
                      <w:szCs w:val="21"/>
                      <w:highlight w:val="none"/>
                      <w:u w:val="single"/>
                      <w:vertAlign w:val="baseline"/>
                      <w:lang w:val="en-US" w:eastAsia="zh-CN"/>
                    </w:rPr>
                    <w:t>/万Nm</w:t>
                  </w:r>
                  <w:r>
                    <w:rPr>
                      <w:rFonts w:hint="default" w:ascii="Times New Roman" w:hAnsi="Times New Roman" w:cs="Times New Roman"/>
                      <w:color w:val="000000" w:themeColor="text1"/>
                      <w:sz w:val="21"/>
                      <w:szCs w:val="21"/>
                      <w:highlight w:val="none"/>
                      <w:u w:val="single"/>
                      <w:vertAlign w:val="superscript"/>
                      <w:lang w:val="en-US" w:eastAsia="zh-CN"/>
                    </w:rPr>
                    <w:t>3</w:t>
                  </w:r>
                  <w:r>
                    <w:rPr>
                      <w:rFonts w:hint="default" w:ascii="Times New Roman" w:hAnsi="Times New Roman" w:cs="Times New Roman"/>
                      <w:color w:val="000000" w:themeColor="text1"/>
                      <w:sz w:val="21"/>
                      <w:szCs w:val="21"/>
                      <w:highlight w:val="none"/>
                      <w:u w:val="single"/>
                      <w:vertAlign w:val="baseline"/>
                      <w:lang w:val="en-US" w:eastAsia="zh-CN"/>
                    </w:rPr>
                    <w:t>天然气</w:t>
                  </w:r>
                </w:p>
              </w:tc>
              <w:tc>
                <w:tcPr>
                  <w:tcW w:w="1792" w:type="dxa"/>
                  <w:vAlign w:val="center"/>
                </w:tcPr>
                <w:p w14:paraId="4DAB358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107753</w:t>
                  </w:r>
                </w:p>
              </w:tc>
            </w:tr>
            <w:tr w14:paraId="19C6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455FF8A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p>
              </w:tc>
              <w:tc>
                <w:tcPr>
                  <w:tcW w:w="1470" w:type="dxa"/>
                  <w:vMerge w:val="continue"/>
                  <w:vAlign w:val="center"/>
                </w:tcPr>
                <w:p w14:paraId="66F0C74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p>
              </w:tc>
              <w:tc>
                <w:tcPr>
                  <w:tcW w:w="1800" w:type="dxa"/>
                  <w:vAlign w:val="center"/>
                </w:tcPr>
                <w:p w14:paraId="401CB4E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SO</w:t>
                  </w:r>
                  <w:r>
                    <w:rPr>
                      <w:rFonts w:hint="default" w:ascii="Times New Roman" w:hAnsi="Times New Roman" w:cs="Times New Roman"/>
                      <w:color w:val="000000" w:themeColor="text1"/>
                      <w:sz w:val="21"/>
                      <w:szCs w:val="21"/>
                      <w:highlight w:val="none"/>
                      <w:u w:val="single"/>
                      <w:vertAlign w:val="subscript"/>
                      <w:lang w:val="en-US" w:eastAsia="zh-CN"/>
                    </w:rPr>
                    <w:t>2</w:t>
                  </w:r>
                </w:p>
              </w:tc>
              <w:tc>
                <w:tcPr>
                  <w:tcW w:w="2085" w:type="dxa"/>
                  <w:vAlign w:val="center"/>
                </w:tcPr>
                <w:p w14:paraId="25FE235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kg/万立方米-原料</w:t>
                  </w:r>
                </w:p>
              </w:tc>
              <w:tc>
                <w:tcPr>
                  <w:tcW w:w="1792" w:type="dxa"/>
                  <w:vAlign w:val="center"/>
                </w:tcPr>
                <w:p w14:paraId="62B6772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0.02S</w:t>
                  </w:r>
                </w:p>
              </w:tc>
            </w:tr>
            <w:tr w14:paraId="45473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28CA97A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p>
              </w:tc>
              <w:tc>
                <w:tcPr>
                  <w:tcW w:w="1470" w:type="dxa"/>
                  <w:vMerge w:val="continue"/>
                  <w:vAlign w:val="center"/>
                </w:tcPr>
                <w:p w14:paraId="33A5594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p>
              </w:tc>
              <w:tc>
                <w:tcPr>
                  <w:tcW w:w="1800" w:type="dxa"/>
                  <w:vAlign w:val="center"/>
                </w:tcPr>
                <w:p w14:paraId="32FFEA6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NO</w:t>
                  </w:r>
                  <w:r>
                    <w:rPr>
                      <w:rFonts w:hint="default" w:ascii="Times New Roman" w:hAnsi="Times New Roman" w:cs="Times New Roman"/>
                      <w:color w:val="000000" w:themeColor="text1"/>
                      <w:sz w:val="21"/>
                      <w:szCs w:val="21"/>
                      <w:highlight w:val="none"/>
                      <w:u w:val="single"/>
                      <w:vertAlign w:val="subscript"/>
                      <w:lang w:val="en-US" w:eastAsia="zh-CN"/>
                    </w:rPr>
                    <w:t>X</w:t>
                  </w:r>
                </w:p>
              </w:tc>
              <w:tc>
                <w:tcPr>
                  <w:tcW w:w="2085" w:type="dxa"/>
                  <w:vAlign w:val="center"/>
                </w:tcPr>
                <w:p w14:paraId="56B17BB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kg/万立方米-原料</w:t>
                  </w:r>
                </w:p>
              </w:tc>
              <w:tc>
                <w:tcPr>
                  <w:tcW w:w="1792" w:type="dxa"/>
                  <w:vAlign w:val="center"/>
                </w:tcPr>
                <w:p w14:paraId="06E726F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eastAsia" w:cs="Times New Roman"/>
                      <w:color w:val="000000" w:themeColor="text1"/>
                      <w:sz w:val="21"/>
                      <w:szCs w:val="21"/>
                      <w:highlight w:val="none"/>
                      <w:u w:val="single"/>
                      <w:vertAlign w:val="baseline"/>
                      <w:lang w:val="en-US" w:eastAsia="zh-CN"/>
                    </w:rPr>
                    <w:t>15.87</w:t>
                  </w:r>
                </w:p>
              </w:tc>
            </w:tr>
            <w:tr w14:paraId="4F1F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4" w:type="dxa"/>
                  <w:vMerge w:val="continue"/>
                  <w:vAlign w:val="center"/>
                </w:tcPr>
                <w:p w14:paraId="7F44A20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p>
              </w:tc>
              <w:tc>
                <w:tcPr>
                  <w:tcW w:w="1470" w:type="dxa"/>
                  <w:vMerge w:val="continue"/>
                  <w:vAlign w:val="center"/>
                </w:tcPr>
                <w:p w14:paraId="4833EBD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p>
              </w:tc>
              <w:tc>
                <w:tcPr>
                  <w:tcW w:w="1800" w:type="dxa"/>
                  <w:vAlign w:val="center"/>
                </w:tcPr>
                <w:p w14:paraId="6149D0B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颗粒物</w:t>
                  </w:r>
                </w:p>
              </w:tc>
              <w:tc>
                <w:tcPr>
                  <w:tcW w:w="2085" w:type="dxa"/>
                  <w:vAlign w:val="center"/>
                </w:tcPr>
                <w:p w14:paraId="285C125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default" w:ascii="Times New Roman" w:hAnsi="Times New Roman" w:cs="Times New Roman"/>
                      <w:color w:val="000000" w:themeColor="text1"/>
                      <w:sz w:val="21"/>
                      <w:szCs w:val="21"/>
                      <w:highlight w:val="none"/>
                      <w:u w:val="single"/>
                      <w:vertAlign w:val="baseline"/>
                      <w:lang w:val="en-US" w:eastAsia="zh-CN"/>
                    </w:rPr>
                    <w:t>kg/万立方米-原料</w:t>
                  </w:r>
                </w:p>
              </w:tc>
              <w:tc>
                <w:tcPr>
                  <w:tcW w:w="1792" w:type="dxa"/>
                  <w:vAlign w:val="center"/>
                </w:tcPr>
                <w:p w14:paraId="2D25C12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highlight w:val="none"/>
                      <w:u w:val="single"/>
                      <w:vertAlign w:val="baseline"/>
                      <w:lang w:val="en-US" w:eastAsia="zh-CN"/>
                    </w:rPr>
                  </w:pPr>
                  <w:r>
                    <w:rPr>
                      <w:rFonts w:hint="eastAsia" w:cs="Times New Roman"/>
                      <w:color w:val="000000" w:themeColor="text1"/>
                      <w:sz w:val="21"/>
                      <w:szCs w:val="21"/>
                      <w:highlight w:val="none"/>
                      <w:u w:val="single"/>
                      <w:vertAlign w:val="baseline"/>
                      <w:lang w:val="en-US" w:eastAsia="zh-CN"/>
                    </w:rPr>
                    <w:t>1.039</w:t>
                  </w:r>
                </w:p>
              </w:tc>
            </w:tr>
          </w:tbl>
          <w:p w14:paraId="539BADC2">
            <w:pPr>
              <w:adjustRightInd w:val="0"/>
              <w:snapToGrid w:val="0"/>
              <w:spacing w:line="240" w:lineRule="auto"/>
              <w:jc w:val="center"/>
              <w:rPr>
                <w:rFonts w:hint="default" w:ascii="Times New Roman" w:hAnsi="Times New Roman" w:cs="Times New Roman"/>
                <w:b/>
                <w:bCs/>
                <w:color w:val="000000" w:themeColor="text1"/>
                <w:sz w:val="21"/>
                <w:szCs w:val="21"/>
                <w:highlight w:val="none"/>
                <w:u w:val="single"/>
                <w:vertAlign w:val="baseline"/>
                <w:lang w:val="en-US" w:eastAsia="zh-CN"/>
              </w:rPr>
            </w:pPr>
            <w:r>
              <w:rPr>
                <w:rFonts w:hint="default" w:ascii="Times New Roman" w:hAnsi="Times New Roman" w:cs="Times New Roman"/>
                <w:b/>
                <w:bCs/>
                <w:color w:val="000000" w:themeColor="text1"/>
                <w:sz w:val="21"/>
                <w:szCs w:val="21"/>
                <w:highlight w:val="none"/>
                <w:u w:val="single"/>
                <w:lang w:val="en-US" w:eastAsia="zh-CN"/>
              </w:rPr>
              <w:t>注：S为燃气硫分含量，本项目使用市政天然气管网供应的天然气，</w:t>
            </w:r>
            <w:r>
              <w:rPr>
                <w:rFonts w:hint="eastAsia" w:cs="Times New Roman"/>
                <w:b/>
                <w:bCs/>
                <w:color w:val="000000" w:themeColor="text1"/>
                <w:sz w:val="21"/>
                <w:szCs w:val="21"/>
                <w:highlight w:val="none"/>
                <w:u w:val="single"/>
                <w:lang w:val="en-US" w:eastAsia="zh-CN"/>
              </w:rPr>
              <w:t>根据《燃气工程项目规范》（GB55009-2021）中“表3.0.3 天然气的质量指标”规定，总硫（以硫计）≤100</w:t>
            </w:r>
            <w:r>
              <w:rPr>
                <w:rFonts w:hint="default" w:ascii="Times New Roman" w:hAnsi="Times New Roman" w:cs="Times New Roman"/>
                <w:b/>
                <w:bCs/>
                <w:color w:val="000000" w:themeColor="text1"/>
                <w:sz w:val="21"/>
                <w:szCs w:val="21"/>
                <w:highlight w:val="none"/>
                <w:u w:val="single"/>
                <w:lang w:val="en-US" w:eastAsia="zh-CN"/>
              </w:rPr>
              <w:t>mg/m</w:t>
            </w:r>
            <w:r>
              <w:rPr>
                <w:rFonts w:hint="default" w:ascii="Times New Roman" w:hAnsi="Times New Roman" w:cs="Times New Roman"/>
                <w:b/>
                <w:bCs/>
                <w:color w:val="000000" w:themeColor="text1"/>
                <w:sz w:val="21"/>
                <w:szCs w:val="21"/>
                <w:highlight w:val="none"/>
                <w:u w:val="single"/>
                <w:vertAlign w:val="superscript"/>
                <w:lang w:val="en-US" w:eastAsia="zh-CN"/>
              </w:rPr>
              <w:t>3</w:t>
            </w:r>
            <w:r>
              <w:rPr>
                <w:rFonts w:hint="default" w:ascii="Times New Roman" w:hAnsi="Times New Roman" w:cs="Times New Roman"/>
                <w:b/>
                <w:bCs/>
                <w:color w:val="000000" w:themeColor="text1"/>
                <w:sz w:val="21"/>
                <w:szCs w:val="21"/>
                <w:highlight w:val="none"/>
                <w:u w:val="single"/>
                <w:lang w:val="en-US" w:eastAsia="zh-CN"/>
              </w:rPr>
              <w:t>，</w:t>
            </w:r>
            <w:r>
              <w:rPr>
                <w:rFonts w:hint="eastAsia" w:cs="Times New Roman"/>
                <w:b/>
                <w:bCs/>
                <w:color w:val="000000" w:themeColor="text1"/>
                <w:sz w:val="21"/>
                <w:szCs w:val="21"/>
                <w:highlight w:val="none"/>
                <w:u w:val="single"/>
                <w:lang w:val="en-US" w:eastAsia="zh-CN"/>
              </w:rPr>
              <w:t>本项目按100</w:t>
            </w:r>
            <w:r>
              <w:rPr>
                <w:rFonts w:hint="default" w:ascii="Times New Roman" w:hAnsi="Times New Roman" w:cs="Times New Roman"/>
                <w:b/>
                <w:bCs/>
                <w:color w:val="000000" w:themeColor="text1"/>
                <w:sz w:val="21"/>
                <w:szCs w:val="21"/>
                <w:highlight w:val="none"/>
                <w:u w:val="single"/>
                <w:lang w:val="en-US" w:eastAsia="zh-CN"/>
              </w:rPr>
              <w:t>mg/m</w:t>
            </w:r>
            <w:r>
              <w:rPr>
                <w:rFonts w:hint="default" w:ascii="Times New Roman" w:hAnsi="Times New Roman" w:cs="Times New Roman"/>
                <w:b/>
                <w:bCs/>
                <w:color w:val="000000" w:themeColor="text1"/>
                <w:sz w:val="21"/>
                <w:szCs w:val="21"/>
                <w:highlight w:val="none"/>
                <w:u w:val="single"/>
                <w:vertAlign w:val="superscript"/>
                <w:lang w:val="en-US" w:eastAsia="zh-CN"/>
              </w:rPr>
              <w:t>3</w:t>
            </w:r>
            <w:r>
              <w:rPr>
                <w:rFonts w:hint="eastAsia" w:cs="Times New Roman"/>
                <w:b/>
                <w:bCs/>
                <w:color w:val="000000" w:themeColor="text1"/>
                <w:sz w:val="21"/>
                <w:szCs w:val="21"/>
                <w:highlight w:val="none"/>
                <w:u w:val="single"/>
                <w:vertAlign w:val="baseline"/>
                <w:lang w:val="en-US" w:eastAsia="zh-CN"/>
              </w:rPr>
              <w:t>计</w:t>
            </w:r>
          </w:p>
          <w:p w14:paraId="24335F14">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u w:val="single"/>
                <w:lang w:val="en-US" w:eastAsia="zh-CN"/>
              </w:rPr>
            </w:pPr>
            <w:r>
              <w:rPr>
                <w:rFonts w:hint="default" w:ascii="Times New Roman" w:hAnsi="Times New Roman" w:cs="Times New Roman"/>
                <w:color w:val="000000" w:themeColor="text1"/>
                <w:sz w:val="24"/>
                <w:szCs w:val="24"/>
                <w:highlight w:val="none"/>
                <w:u w:val="single"/>
                <w:lang w:val="en-US" w:eastAsia="zh-CN"/>
              </w:rPr>
              <w:t>锅炉废气中污染物产生情况详见下表。</w:t>
            </w:r>
          </w:p>
          <w:p w14:paraId="5EC860B4">
            <w:pPr>
              <w:adjustRightInd w:val="0"/>
              <w:snapToGrid w:val="0"/>
              <w:spacing w:line="360" w:lineRule="auto"/>
              <w:jc w:val="center"/>
              <w:rPr>
                <w:rFonts w:hint="default" w:ascii="Times New Roman" w:hAnsi="Times New Roman" w:cs="Times New Roman"/>
                <w:b/>
                <w:bCs/>
                <w:color w:val="000000" w:themeColor="text1"/>
                <w:sz w:val="21"/>
                <w:szCs w:val="21"/>
                <w:highlight w:val="none"/>
                <w:u w:val="single"/>
                <w:lang w:val="en-US" w:eastAsia="zh-CN"/>
              </w:rPr>
            </w:pPr>
            <w:r>
              <w:rPr>
                <w:rFonts w:hint="default" w:ascii="Times New Roman" w:hAnsi="Times New Roman" w:cs="Times New Roman"/>
                <w:b/>
                <w:bCs/>
                <w:color w:val="000000" w:themeColor="text1"/>
                <w:sz w:val="21"/>
                <w:szCs w:val="21"/>
                <w:highlight w:val="none"/>
                <w:u w:val="single"/>
                <w:lang w:val="en-US" w:eastAsia="zh-CN"/>
              </w:rPr>
              <w:t>表4-4 锅炉废气污染物排放情况一览表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5"/>
              <w:gridCol w:w="630"/>
              <w:gridCol w:w="660"/>
              <w:gridCol w:w="630"/>
              <w:gridCol w:w="585"/>
              <w:gridCol w:w="585"/>
              <w:gridCol w:w="585"/>
              <w:gridCol w:w="600"/>
              <w:gridCol w:w="825"/>
              <w:gridCol w:w="720"/>
              <w:gridCol w:w="735"/>
              <w:gridCol w:w="581"/>
            </w:tblGrid>
            <w:tr w14:paraId="2808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580" w:type="dxa"/>
                  <w:vMerge w:val="restart"/>
                  <w:vAlign w:val="center"/>
                </w:tcPr>
                <w:p w14:paraId="373B4BC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污染源</w:t>
                  </w:r>
                </w:p>
              </w:tc>
              <w:tc>
                <w:tcPr>
                  <w:tcW w:w="765" w:type="dxa"/>
                  <w:vMerge w:val="restart"/>
                  <w:vAlign w:val="center"/>
                </w:tcPr>
                <w:p w14:paraId="6F525EE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污染物名称</w:t>
                  </w:r>
                </w:p>
              </w:tc>
              <w:tc>
                <w:tcPr>
                  <w:tcW w:w="630" w:type="dxa"/>
                  <w:vMerge w:val="restart"/>
                  <w:vAlign w:val="center"/>
                </w:tcPr>
                <w:p w14:paraId="2D21DA9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天然气用量</w:t>
                  </w:r>
                </w:p>
              </w:tc>
              <w:tc>
                <w:tcPr>
                  <w:tcW w:w="660" w:type="dxa"/>
                  <w:vMerge w:val="restart"/>
                  <w:vAlign w:val="center"/>
                </w:tcPr>
                <w:p w14:paraId="1197D7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工业废气量（Nm</w:t>
                  </w:r>
                  <w:r>
                    <w:rPr>
                      <w:rFonts w:hint="default" w:ascii="Times New Roman" w:hAnsi="Times New Roman" w:cs="Times New Roman"/>
                      <w:color w:val="000000" w:themeColor="text1"/>
                      <w:sz w:val="18"/>
                      <w:szCs w:val="18"/>
                      <w:highlight w:val="none"/>
                      <w:u w:val="single"/>
                      <w:vertAlign w:val="superscript"/>
                      <w:lang w:val="en-US" w:eastAsia="zh-CN"/>
                    </w:rPr>
                    <w:t>3</w:t>
                  </w:r>
                  <w:r>
                    <w:rPr>
                      <w:rFonts w:hint="default" w:ascii="Times New Roman" w:hAnsi="Times New Roman" w:cs="Times New Roman"/>
                      <w:color w:val="000000" w:themeColor="text1"/>
                      <w:sz w:val="18"/>
                      <w:szCs w:val="18"/>
                      <w:highlight w:val="none"/>
                      <w:u w:val="single"/>
                      <w:vertAlign w:val="baseline"/>
                      <w:lang w:val="en-US" w:eastAsia="zh-CN"/>
                    </w:rPr>
                    <w:t>/a）</w:t>
                  </w:r>
                </w:p>
              </w:tc>
              <w:tc>
                <w:tcPr>
                  <w:tcW w:w="630" w:type="dxa"/>
                  <w:vMerge w:val="restart"/>
                  <w:vAlign w:val="center"/>
                </w:tcPr>
                <w:p w14:paraId="30FACD7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治理措施</w:t>
                  </w:r>
                </w:p>
              </w:tc>
              <w:tc>
                <w:tcPr>
                  <w:tcW w:w="2355" w:type="dxa"/>
                  <w:gridSpan w:val="4"/>
                  <w:vAlign w:val="center"/>
                </w:tcPr>
                <w:p w14:paraId="1D31A9B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排气筒参数</w:t>
                  </w:r>
                </w:p>
              </w:tc>
              <w:tc>
                <w:tcPr>
                  <w:tcW w:w="825" w:type="dxa"/>
                  <w:vMerge w:val="restart"/>
                  <w:vAlign w:val="center"/>
                </w:tcPr>
                <w:p w14:paraId="30AF227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年排放量（t/a）</w:t>
                  </w:r>
                </w:p>
              </w:tc>
              <w:tc>
                <w:tcPr>
                  <w:tcW w:w="720" w:type="dxa"/>
                  <w:vMerge w:val="restart"/>
                  <w:vAlign w:val="center"/>
                </w:tcPr>
                <w:p w14:paraId="66A16F0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排放速率（kg/h）</w:t>
                  </w:r>
                </w:p>
              </w:tc>
              <w:tc>
                <w:tcPr>
                  <w:tcW w:w="735" w:type="dxa"/>
                  <w:vMerge w:val="restart"/>
                  <w:vAlign w:val="center"/>
                </w:tcPr>
                <w:p w14:paraId="77E6EF0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排放浓度（mg/m</w:t>
                  </w:r>
                  <w:r>
                    <w:rPr>
                      <w:rFonts w:hint="default" w:ascii="Times New Roman" w:hAnsi="Times New Roman" w:cs="Times New Roman"/>
                      <w:color w:val="000000" w:themeColor="text1"/>
                      <w:sz w:val="18"/>
                      <w:szCs w:val="18"/>
                      <w:highlight w:val="none"/>
                      <w:u w:val="single"/>
                      <w:vertAlign w:val="superscript"/>
                      <w:lang w:val="en-US" w:eastAsia="zh-CN"/>
                    </w:rPr>
                    <w:t>3</w:t>
                  </w:r>
                  <w:r>
                    <w:rPr>
                      <w:rFonts w:hint="default" w:ascii="Times New Roman" w:hAnsi="Times New Roman" w:cs="Times New Roman"/>
                      <w:color w:val="000000" w:themeColor="text1"/>
                      <w:sz w:val="18"/>
                      <w:szCs w:val="18"/>
                      <w:highlight w:val="none"/>
                      <w:u w:val="single"/>
                      <w:vertAlign w:val="baseline"/>
                      <w:lang w:val="en-US" w:eastAsia="zh-CN"/>
                    </w:rPr>
                    <w:t>）</w:t>
                  </w:r>
                </w:p>
              </w:tc>
              <w:tc>
                <w:tcPr>
                  <w:tcW w:w="581" w:type="dxa"/>
                  <w:vMerge w:val="restart"/>
                  <w:vAlign w:val="center"/>
                </w:tcPr>
                <w:p w14:paraId="5510AAA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排放标准（mg/m</w:t>
                  </w:r>
                  <w:r>
                    <w:rPr>
                      <w:rFonts w:hint="default" w:ascii="Times New Roman" w:hAnsi="Times New Roman" w:cs="Times New Roman"/>
                      <w:color w:val="000000" w:themeColor="text1"/>
                      <w:sz w:val="18"/>
                      <w:szCs w:val="18"/>
                      <w:highlight w:val="none"/>
                      <w:u w:val="single"/>
                      <w:vertAlign w:val="superscript"/>
                      <w:lang w:val="en-US" w:eastAsia="zh-CN"/>
                    </w:rPr>
                    <w:t>3</w:t>
                  </w:r>
                  <w:r>
                    <w:rPr>
                      <w:rFonts w:hint="default" w:ascii="Times New Roman" w:hAnsi="Times New Roman" w:cs="Times New Roman"/>
                      <w:color w:val="000000" w:themeColor="text1"/>
                      <w:sz w:val="18"/>
                      <w:szCs w:val="18"/>
                      <w:highlight w:val="none"/>
                      <w:u w:val="single"/>
                      <w:vertAlign w:val="baseline"/>
                      <w:lang w:val="en-US" w:eastAsia="zh-CN"/>
                    </w:rPr>
                    <w:t>）</w:t>
                  </w:r>
                </w:p>
              </w:tc>
            </w:tr>
            <w:tr w14:paraId="19D8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580" w:type="dxa"/>
                  <w:vMerge w:val="continue"/>
                  <w:vAlign w:val="center"/>
                </w:tcPr>
                <w:p w14:paraId="54D6FF8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765" w:type="dxa"/>
                  <w:vMerge w:val="continue"/>
                  <w:vAlign w:val="center"/>
                </w:tcPr>
                <w:p w14:paraId="70D054D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30" w:type="dxa"/>
                  <w:vMerge w:val="continue"/>
                  <w:vAlign w:val="center"/>
                </w:tcPr>
                <w:p w14:paraId="1A94F66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60" w:type="dxa"/>
                  <w:vMerge w:val="continue"/>
                  <w:vAlign w:val="center"/>
                </w:tcPr>
                <w:p w14:paraId="27C78EE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30" w:type="dxa"/>
                  <w:vMerge w:val="continue"/>
                  <w:vAlign w:val="center"/>
                </w:tcPr>
                <w:p w14:paraId="5E04B6F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5" w:type="dxa"/>
                  <w:vAlign w:val="center"/>
                </w:tcPr>
                <w:p w14:paraId="4675089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u w:val="single"/>
                    </w:rPr>
                    <w:t>编号</w:t>
                  </w:r>
                </w:p>
              </w:tc>
              <w:tc>
                <w:tcPr>
                  <w:tcW w:w="585" w:type="dxa"/>
                  <w:vAlign w:val="center"/>
                </w:tcPr>
                <w:p w14:paraId="7EE7B03D">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风量</w:t>
                  </w:r>
                </w:p>
                <w:p w14:paraId="526391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u w:val="single"/>
                    </w:rPr>
                    <w:t>m</w:t>
                  </w:r>
                  <w:r>
                    <w:rPr>
                      <w:rFonts w:hint="default" w:ascii="Times New Roman" w:hAnsi="Times New Roman" w:cs="Times New Roman"/>
                      <w:color w:val="000000" w:themeColor="text1"/>
                      <w:sz w:val="18"/>
                      <w:szCs w:val="18"/>
                      <w:u w:val="single"/>
                      <w:vertAlign w:val="superscript"/>
                    </w:rPr>
                    <w:t>3</w:t>
                  </w:r>
                  <w:r>
                    <w:rPr>
                      <w:rFonts w:hint="default" w:ascii="Times New Roman" w:hAnsi="Times New Roman" w:cs="Times New Roman"/>
                      <w:color w:val="000000" w:themeColor="text1"/>
                      <w:sz w:val="18"/>
                      <w:szCs w:val="18"/>
                      <w:u w:val="single"/>
                    </w:rPr>
                    <w:t>/h</w:t>
                  </w:r>
                </w:p>
              </w:tc>
              <w:tc>
                <w:tcPr>
                  <w:tcW w:w="585" w:type="dxa"/>
                  <w:vAlign w:val="center"/>
                </w:tcPr>
                <w:p w14:paraId="6A6F7DF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内径</w:t>
                  </w:r>
                </w:p>
                <w:p w14:paraId="174A48C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u w:val="single"/>
                    </w:rPr>
                    <w:t>m</w:t>
                  </w:r>
                </w:p>
              </w:tc>
              <w:tc>
                <w:tcPr>
                  <w:tcW w:w="600" w:type="dxa"/>
                  <w:vAlign w:val="center"/>
                </w:tcPr>
                <w:p w14:paraId="74A185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u w:val="single"/>
                    </w:rPr>
                  </w:pPr>
                  <w:r>
                    <w:rPr>
                      <w:rFonts w:hint="default" w:ascii="Times New Roman" w:hAnsi="Times New Roman" w:cs="Times New Roman"/>
                      <w:color w:val="000000" w:themeColor="text1"/>
                      <w:sz w:val="18"/>
                      <w:szCs w:val="18"/>
                      <w:u w:val="single"/>
                    </w:rPr>
                    <w:t>高度</w:t>
                  </w:r>
                </w:p>
                <w:p w14:paraId="6A82F1A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u w:val="single"/>
                    </w:rPr>
                    <w:t>m</w:t>
                  </w:r>
                </w:p>
              </w:tc>
              <w:tc>
                <w:tcPr>
                  <w:tcW w:w="825" w:type="dxa"/>
                  <w:vMerge w:val="continue"/>
                  <w:vAlign w:val="center"/>
                </w:tcPr>
                <w:p w14:paraId="14E921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720" w:type="dxa"/>
                  <w:vMerge w:val="continue"/>
                  <w:vAlign w:val="center"/>
                </w:tcPr>
                <w:p w14:paraId="617D04E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735" w:type="dxa"/>
                  <w:vMerge w:val="continue"/>
                  <w:vAlign w:val="center"/>
                </w:tcPr>
                <w:p w14:paraId="7E46718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1" w:type="dxa"/>
                  <w:vMerge w:val="continue"/>
                  <w:vAlign w:val="center"/>
                </w:tcPr>
                <w:p w14:paraId="38D302C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r>
            <w:tr w14:paraId="1C65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Merge w:val="restart"/>
                  <w:vAlign w:val="center"/>
                </w:tcPr>
                <w:p w14:paraId="1143A48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锅炉排气筒</w:t>
                  </w:r>
                </w:p>
              </w:tc>
              <w:tc>
                <w:tcPr>
                  <w:tcW w:w="765" w:type="dxa"/>
                  <w:vAlign w:val="center"/>
                </w:tcPr>
                <w:p w14:paraId="317282B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SO</w:t>
                  </w:r>
                  <w:r>
                    <w:rPr>
                      <w:rFonts w:hint="default" w:ascii="Times New Roman" w:hAnsi="Times New Roman" w:cs="Times New Roman"/>
                      <w:color w:val="000000" w:themeColor="text1"/>
                      <w:sz w:val="18"/>
                      <w:szCs w:val="18"/>
                      <w:highlight w:val="none"/>
                      <w:u w:val="single"/>
                      <w:vertAlign w:val="subscript"/>
                      <w:lang w:val="en-US" w:eastAsia="zh-CN"/>
                    </w:rPr>
                    <w:t>2</w:t>
                  </w:r>
                </w:p>
              </w:tc>
              <w:tc>
                <w:tcPr>
                  <w:tcW w:w="630" w:type="dxa"/>
                  <w:vMerge w:val="restart"/>
                  <w:vAlign w:val="center"/>
                </w:tcPr>
                <w:p w14:paraId="39E588E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5.85万Nm</w:t>
                  </w:r>
                  <w:r>
                    <w:rPr>
                      <w:rFonts w:hint="default" w:ascii="Times New Roman" w:hAnsi="Times New Roman" w:cs="Times New Roman"/>
                      <w:color w:val="000000" w:themeColor="text1"/>
                      <w:sz w:val="18"/>
                      <w:szCs w:val="18"/>
                      <w:highlight w:val="none"/>
                      <w:u w:val="single"/>
                      <w:vertAlign w:val="superscript"/>
                      <w:lang w:val="en-US" w:eastAsia="zh-CN"/>
                    </w:rPr>
                    <w:t>3</w:t>
                  </w:r>
                  <w:r>
                    <w:rPr>
                      <w:rFonts w:hint="default" w:ascii="Times New Roman" w:hAnsi="Times New Roman" w:cs="Times New Roman"/>
                      <w:color w:val="000000" w:themeColor="text1"/>
                      <w:sz w:val="18"/>
                      <w:szCs w:val="18"/>
                      <w:highlight w:val="none"/>
                      <w:u w:val="single"/>
                      <w:vertAlign w:val="baseline"/>
                      <w:lang w:val="en-US" w:eastAsia="zh-CN"/>
                    </w:rPr>
                    <w:t>/a</w:t>
                  </w:r>
                </w:p>
              </w:tc>
              <w:tc>
                <w:tcPr>
                  <w:tcW w:w="660" w:type="dxa"/>
                  <w:vMerge w:val="restart"/>
                  <w:vAlign w:val="center"/>
                </w:tcPr>
                <w:p w14:paraId="1607CFF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630355</w:t>
                  </w:r>
                </w:p>
              </w:tc>
              <w:tc>
                <w:tcPr>
                  <w:tcW w:w="630" w:type="dxa"/>
                  <w:vMerge w:val="restart"/>
                  <w:vAlign w:val="center"/>
                </w:tcPr>
                <w:p w14:paraId="2D11351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低氮燃烧技术</w:t>
                  </w:r>
                </w:p>
              </w:tc>
              <w:tc>
                <w:tcPr>
                  <w:tcW w:w="585" w:type="dxa"/>
                  <w:vMerge w:val="restart"/>
                  <w:vAlign w:val="center"/>
                </w:tcPr>
                <w:p w14:paraId="3848E0F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DA002</w:t>
                  </w:r>
                </w:p>
              </w:tc>
              <w:tc>
                <w:tcPr>
                  <w:tcW w:w="585" w:type="dxa"/>
                  <w:vMerge w:val="restart"/>
                  <w:vAlign w:val="center"/>
                </w:tcPr>
                <w:p w14:paraId="251ADF0F">
                  <w:pPr>
                    <w:keepNext w:val="0"/>
                    <w:keepLines w:val="0"/>
                    <w:pageBreakBefore w:val="0"/>
                    <w:widowControl w:val="0"/>
                    <w:kinsoku/>
                    <w:wordWrap/>
                    <w:overflowPunct/>
                    <w:topLinePunct w:val="0"/>
                    <w:autoSpaceDE/>
                    <w:autoSpaceDN/>
                    <w:bidi w:val="0"/>
                    <w:adjustRightInd w:val="0"/>
                    <w:snapToGrid w:val="0"/>
                    <w:spacing w:before="60" w:after="60" w:line="240" w:lineRule="auto"/>
                    <w:jc w:val="both"/>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140</w:t>
                  </w:r>
                  <w:r>
                    <w:rPr>
                      <w:rFonts w:hint="eastAsia" w:cs="Times New Roman"/>
                      <w:color w:val="000000" w:themeColor="text1"/>
                      <w:sz w:val="18"/>
                      <w:szCs w:val="18"/>
                      <w:highlight w:val="none"/>
                      <w:u w:val="single"/>
                      <w:vertAlign w:val="baseline"/>
                      <w:lang w:val="en-US" w:eastAsia="zh-CN"/>
                    </w:rPr>
                    <w:t>1</w:t>
                  </w:r>
                </w:p>
              </w:tc>
              <w:tc>
                <w:tcPr>
                  <w:tcW w:w="585" w:type="dxa"/>
                  <w:vMerge w:val="restart"/>
                  <w:vAlign w:val="center"/>
                </w:tcPr>
                <w:p w14:paraId="780DB10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0.3</w:t>
                  </w:r>
                </w:p>
              </w:tc>
              <w:tc>
                <w:tcPr>
                  <w:tcW w:w="600" w:type="dxa"/>
                  <w:vMerge w:val="restart"/>
                  <w:vAlign w:val="center"/>
                </w:tcPr>
                <w:p w14:paraId="7F14995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8</w:t>
                  </w:r>
                </w:p>
              </w:tc>
              <w:tc>
                <w:tcPr>
                  <w:tcW w:w="825" w:type="dxa"/>
                  <w:vAlign w:val="center"/>
                </w:tcPr>
                <w:p w14:paraId="5080A05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0.0</w:t>
                  </w:r>
                  <w:r>
                    <w:rPr>
                      <w:rFonts w:hint="eastAsia" w:cs="Times New Roman"/>
                      <w:color w:val="000000" w:themeColor="text1"/>
                      <w:sz w:val="18"/>
                      <w:szCs w:val="18"/>
                      <w:highlight w:val="none"/>
                      <w:u w:val="single"/>
                      <w:vertAlign w:val="baseline"/>
                      <w:lang w:val="en-US" w:eastAsia="zh-CN"/>
                    </w:rPr>
                    <w:t>117</w:t>
                  </w:r>
                </w:p>
              </w:tc>
              <w:tc>
                <w:tcPr>
                  <w:tcW w:w="720" w:type="dxa"/>
                  <w:vAlign w:val="center"/>
                </w:tcPr>
                <w:p w14:paraId="5E22407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0.0</w:t>
                  </w:r>
                  <w:r>
                    <w:rPr>
                      <w:rFonts w:hint="eastAsia" w:cs="Times New Roman"/>
                      <w:color w:val="000000" w:themeColor="text1"/>
                      <w:sz w:val="18"/>
                      <w:szCs w:val="18"/>
                      <w:highlight w:val="none"/>
                      <w:u w:val="single"/>
                      <w:vertAlign w:val="baseline"/>
                      <w:lang w:val="en-US" w:eastAsia="zh-CN"/>
                    </w:rPr>
                    <w:t>260</w:t>
                  </w:r>
                </w:p>
              </w:tc>
              <w:tc>
                <w:tcPr>
                  <w:tcW w:w="735" w:type="dxa"/>
                  <w:vAlign w:val="center"/>
                </w:tcPr>
                <w:p w14:paraId="7DC2CEB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18.56</w:t>
                  </w:r>
                </w:p>
              </w:tc>
              <w:tc>
                <w:tcPr>
                  <w:tcW w:w="581" w:type="dxa"/>
                  <w:vAlign w:val="center"/>
                </w:tcPr>
                <w:p w14:paraId="0881E24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50</w:t>
                  </w:r>
                </w:p>
              </w:tc>
            </w:tr>
            <w:tr w14:paraId="5286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580" w:type="dxa"/>
                  <w:vMerge w:val="continue"/>
                  <w:vAlign w:val="center"/>
                </w:tcPr>
                <w:p w14:paraId="6CA0D61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765" w:type="dxa"/>
                  <w:vAlign w:val="center"/>
                </w:tcPr>
                <w:p w14:paraId="142DE71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NO</w:t>
                  </w:r>
                  <w:r>
                    <w:rPr>
                      <w:rFonts w:hint="default" w:ascii="Times New Roman" w:hAnsi="Times New Roman" w:cs="Times New Roman"/>
                      <w:color w:val="000000" w:themeColor="text1"/>
                      <w:sz w:val="18"/>
                      <w:szCs w:val="18"/>
                      <w:highlight w:val="none"/>
                      <w:u w:val="single"/>
                      <w:vertAlign w:val="subscript"/>
                      <w:lang w:val="en-US" w:eastAsia="zh-CN"/>
                    </w:rPr>
                    <w:t>X</w:t>
                  </w:r>
                </w:p>
              </w:tc>
              <w:tc>
                <w:tcPr>
                  <w:tcW w:w="630" w:type="dxa"/>
                  <w:vMerge w:val="continue"/>
                  <w:vAlign w:val="center"/>
                </w:tcPr>
                <w:p w14:paraId="7AAC672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60" w:type="dxa"/>
                  <w:vMerge w:val="continue"/>
                  <w:vAlign w:val="center"/>
                </w:tcPr>
                <w:p w14:paraId="324AF17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30" w:type="dxa"/>
                  <w:vMerge w:val="continue"/>
                  <w:vAlign w:val="center"/>
                </w:tcPr>
                <w:p w14:paraId="65AC4AA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5" w:type="dxa"/>
                  <w:vMerge w:val="continue"/>
                  <w:vAlign w:val="center"/>
                </w:tcPr>
                <w:p w14:paraId="6CC47FA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5" w:type="dxa"/>
                  <w:vMerge w:val="continue"/>
                  <w:vAlign w:val="center"/>
                </w:tcPr>
                <w:p w14:paraId="49632A2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5" w:type="dxa"/>
                  <w:vMerge w:val="continue"/>
                  <w:vAlign w:val="center"/>
                </w:tcPr>
                <w:p w14:paraId="248D003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00" w:type="dxa"/>
                  <w:vMerge w:val="continue"/>
                  <w:vAlign w:val="center"/>
                </w:tcPr>
                <w:p w14:paraId="2A30666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825" w:type="dxa"/>
                  <w:vAlign w:val="center"/>
                </w:tcPr>
                <w:p w14:paraId="32E3C79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0.0</w:t>
                  </w:r>
                  <w:r>
                    <w:rPr>
                      <w:rFonts w:hint="eastAsia" w:cs="Times New Roman"/>
                      <w:color w:val="000000" w:themeColor="text1"/>
                      <w:sz w:val="18"/>
                      <w:szCs w:val="18"/>
                      <w:highlight w:val="none"/>
                      <w:u w:val="single"/>
                      <w:vertAlign w:val="baseline"/>
                      <w:lang w:val="en-US" w:eastAsia="zh-CN"/>
                    </w:rPr>
                    <w:t>928</w:t>
                  </w:r>
                </w:p>
              </w:tc>
              <w:tc>
                <w:tcPr>
                  <w:tcW w:w="720" w:type="dxa"/>
                  <w:vAlign w:val="center"/>
                </w:tcPr>
                <w:p w14:paraId="6976D66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0.</w:t>
                  </w:r>
                  <w:r>
                    <w:rPr>
                      <w:rFonts w:hint="eastAsia" w:cs="Times New Roman"/>
                      <w:color w:val="000000" w:themeColor="text1"/>
                      <w:sz w:val="18"/>
                      <w:szCs w:val="18"/>
                      <w:highlight w:val="none"/>
                      <w:u w:val="single"/>
                      <w:vertAlign w:val="baseline"/>
                      <w:lang w:val="en-US" w:eastAsia="zh-CN"/>
                    </w:rPr>
                    <w:t>2062</w:t>
                  </w:r>
                </w:p>
              </w:tc>
              <w:tc>
                <w:tcPr>
                  <w:tcW w:w="735" w:type="dxa"/>
                  <w:vAlign w:val="center"/>
                </w:tcPr>
                <w:p w14:paraId="7F5B35C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eastAsia" w:cs="Times New Roman"/>
                      <w:color w:val="000000" w:themeColor="text1"/>
                      <w:sz w:val="18"/>
                      <w:szCs w:val="18"/>
                      <w:highlight w:val="none"/>
                      <w:u w:val="single"/>
                      <w:vertAlign w:val="baseline"/>
                      <w:lang w:val="en-US" w:eastAsia="zh-CN"/>
                    </w:rPr>
                    <w:t>147.18</w:t>
                  </w:r>
                </w:p>
              </w:tc>
              <w:tc>
                <w:tcPr>
                  <w:tcW w:w="581" w:type="dxa"/>
                  <w:vAlign w:val="center"/>
                </w:tcPr>
                <w:p w14:paraId="6BF5782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150</w:t>
                  </w:r>
                </w:p>
              </w:tc>
            </w:tr>
            <w:tr w14:paraId="23B7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0" w:type="dxa"/>
                  <w:vMerge w:val="continue"/>
                  <w:vAlign w:val="center"/>
                </w:tcPr>
                <w:p w14:paraId="20BAC3F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765" w:type="dxa"/>
                  <w:vAlign w:val="center"/>
                </w:tcPr>
                <w:p w14:paraId="2A31CD1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颗粒物</w:t>
                  </w:r>
                </w:p>
              </w:tc>
              <w:tc>
                <w:tcPr>
                  <w:tcW w:w="630" w:type="dxa"/>
                  <w:vMerge w:val="continue"/>
                  <w:vAlign w:val="center"/>
                </w:tcPr>
                <w:p w14:paraId="62EFA14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60" w:type="dxa"/>
                  <w:vMerge w:val="continue"/>
                  <w:vAlign w:val="center"/>
                </w:tcPr>
                <w:p w14:paraId="348E479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30" w:type="dxa"/>
                  <w:vMerge w:val="continue"/>
                  <w:vAlign w:val="center"/>
                </w:tcPr>
                <w:p w14:paraId="402A405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5" w:type="dxa"/>
                  <w:vMerge w:val="continue"/>
                  <w:vAlign w:val="center"/>
                </w:tcPr>
                <w:p w14:paraId="4B2F7FE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5" w:type="dxa"/>
                  <w:vMerge w:val="continue"/>
                  <w:vAlign w:val="center"/>
                </w:tcPr>
                <w:p w14:paraId="3A18D04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585" w:type="dxa"/>
                  <w:vMerge w:val="continue"/>
                  <w:vAlign w:val="center"/>
                </w:tcPr>
                <w:p w14:paraId="73E02B3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600" w:type="dxa"/>
                  <w:vMerge w:val="continue"/>
                  <w:vAlign w:val="center"/>
                </w:tcPr>
                <w:p w14:paraId="4164C2B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p>
              </w:tc>
              <w:tc>
                <w:tcPr>
                  <w:tcW w:w="825" w:type="dxa"/>
                  <w:vAlign w:val="center"/>
                </w:tcPr>
                <w:p w14:paraId="15B3E58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0.0060</w:t>
                  </w:r>
                  <w:r>
                    <w:rPr>
                      <w:rFonts w:hint="eastAsia" w:cs="Times New Roman"/>
                      <w:color w:val="000000" w:themeColor="text1"/>
                      <w:sz w:val="18"/>
                      <w:szCs w:val="18"/>
                      <w:highlight w:val="none"/>
                      <w:u w:val="single"/>
                      <w:vertAlign w:val="baseline"/>
                      <w:lang w:val="en-US" w:eastAsia="zh-CN"/>
                    </w:rPr>
                    <w:t>8</w:t>
                  </w:r>
                </w:p>
              </w:tc>
              <w:tc>
                <w:tcPr>
                  <w:tcW w:w="720" w:type="dxa"/>
                  <w:vAlign w:val="center"/>
                </w:tcPr>
                <w:p w14:paraId="4CFCDBF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0.013</w:t>
                  </w:r>
                  <w:r>
                    <w:rPr>
                      <w:rFonts w:hint="eastAsia" w:cs="Times New Roman"/>
                      <w:color w:val="000000" w:themeColor="text1"/>
                      <w:sz w:val="18"/>
                      <w:szCs w:val="18"/>
                      <w:highlight w:val="none"/>
                      <w:u w:val="single"/>
                      <w:vertAlign w:val="baseline"/>
                      <w:lang w:val="en-US" w:eastAsia="zh-CN"/>
                    </w:rPr>
                    <w:t>5</w:t>
                  </w:r>
                </w:p>
              </w:tc>
              <w:tc>
                <w:tcPr>
                  <w:tcW w:w="735" w:type="dxa"/>
                  <w:vAlign w:val="center"/>
                </w:tcPr>
                <w:p w14:paraId="68F4314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9.</w:t>
                  </w:r>
                  <w:r>
                    <w:rPr>
                      <w:rFonts w:hint="eastAsia" w:cs="Times New Roman"/>
                      <w:color w:val="000000" w:themeColor="text1"/>
                      <w:sz w:val="18"/>
                      <w:szCs w:val="18"/>
                      <w:highlight w:val="none"/>
                      <w:u w:val="single"/>
                      <w:vertAlign w:val="baseline"/>
                      <w:lang w:val="en-US" w:eastAsia="zh-CN"/>
                    </w:rPr>
                    <w:t>64</w:t>
                  </w:r>
                </w:p>
              </w:tc>
              <w:tc>
                <w:tcPr>
                  <w:tcW w:w="581" w:type="dxa"/>
                  <w:vAlign w:val="center"/>
                </w:tcPr>
                <w:p w14:paraId="16114EA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18"/>
                      <w:szCs w:val="18"/>
                      <w:highlight w:val="none"/>
                      <w:u w:val="single"/>
                      <w:vertAlign w:val="baseline"/>
                      <w:lang w:val="en-US" w:eastAsia="zh-CN"/>
                    </w:rPr>
                  </w:pPr>
                  <w:r>
                    <w:rPr>
                      <w:rFonts w:hint="default" w:ascii="Times New Roman" w:hAnsi="Times New Roman" w:cs="Times New Roman"/>
                      <w:color w:val="000000" w:themeColor="text1"/>
                      <w:sz w:val="18"/>
                      <w:szCs w:val="18"/>
                      <w:highlight w:val="none"/>
                      <w:u w:val="single"/>
                      <w:vertAlign w:val="baseline"/>
                      <w:lang w:val="en-US" w:eastAsia="zh-CN"/>
                    </w:rPr>
                    <w:t>20</w:t>
                  </w:r>
                </w:p>
              </w:tc>
            </w:tr>
          </w:tbl>
          <w:p w14:paraId="50D01744">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u w:val="single"/>
                <w:lang w:val="en-US"/>
              </w:rPr>
            </w:pPr>
            <w:r>
              <w:rPr>
                <w:rFonts w:hint="default" w:ascii="Times New Roman" w:hAnsi="Times New Roman" w:cs="Times New Roman"/>
                <w:color w:val="000000" w:themeColor="text1"/>
                <w:sz w:val="24"/>
                <w:szCs w:val="24"/>
                <w:highlight w:val="none"/>
                <w:u w:val="single"/>
                <w:lang w:val="en-US" w:eastAsia="zh-CN"/>
              </w:rPr>
              <w:t>由上表可知，锅炉废气污染物SO</w:t>
            </w:r>
            <w:r>
              <w:rPr>
                <w:rFonts w:hint="default" w:ascii="Times New Roman" w:hAnsi="Times New Roman" w:cs="Times New Roman"/>
                <w:color w:val="000000" w:themeColor="text1"/>
                <w:sz w:val="24"/>
                <w:szCs w:val="24"/>
                <w:highlight w:val="none"/>
                <w:u w:val="single"/>
                <w:vertAlign w:val="subscript"/>
                <w:lang w:val="en-US" w:eastAsia="zh-CN"/>
              </w:rPr>
              <w:t>2</w:t>
            </w:r>
            <w:r>
              <w:rPr>
                <w:rFonts w:hint="default" w:ascii="Times New Roman" w:hAnsi="Times New Roman" w:cs="Times New Roman"/>
                <w:color w:val="000000" w:themeColor="text1"/>
                <w:sz w:val="24"/>
                <w:szCs w:val="24"/>
                <w:highlight w:val="none"/>
                <w:u w:val="single"/>
                <w:lang w:val="en-US" w:eastAsia="zh-CN"/>
              </w:rPr>
              <w:t>、NOx和颗粒物排放浓度均满足G13271-2014表3特别排放限值。</w:t>
            </w:r>
          </w:p>
          <w:p w14:paraId="0830481B">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w:t>
            </w:r>
            <w:r>
              <w:rPr>
                <w:rFonts w:hint="default" w:ascii="Times New Roman" w:hAnsi="Times New Roman" w:cs="Times New Roman"/>
                <w:b/>
                <w:bCs/>
                <w:color w:val="000000" w:themeColor="text1"/>
                <w:sz w:val="24"/>
                <w:szCs w:val="24"/>
                <w:lang w:val="en-US" w:eastAsia="zh-CN"/>
              </w:rPr>
              <w:t>3</w:t>
            </w:r>
            <w:r>
              <w:rPr>
                <w:rFonts w:hint="default" w:ascii="Times New Roman" w:hAnsi="Times New Roman" w:eastAsia="宋体" w:cs="Times New Roman"/>
                <w:b/>
                <w:bCs/>
                <w:color w:val="000000" w:themeColor="text1"/>
                <w:sz w:val="24"/>
                <w:szCs w:val="24"/>
              </w:rPr>
              <w:t>）油烟废气</w:t>
            </w:r>
          </w:p>
          <w:p w14:paraId="541DC77C">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食堂烹饪过程会有油烟产生，本项目</w:t>
            </w:r>
            <w:r>
              <w:rPr>
                <w:rFonts w:hint="default" w:ascii="Times New Roman" w:hAnsi="Times New Roman" w:cs="Times New Roman"/>
                <w:color w:val="000000" w:themeColor="text1"/>
                <w:sz w:val="24"/>
                <w:szCs w:val="24"/>
                <w:lang w:val="en-US" w:eastAsia="zh-CN"/>
              </w:rPr>
              <w:t>利用原有的</w:t>
            </w:r>
            <w:r>
              <w:rPr>
                <w:rFonts w:hint="default" w:ascii="Times New Roman" w:hAnsi="Times New Roman" w:eastAsia="宋体" w:cs="Times New Roman"/>
                <w:color w:val="000000" w:themeColor="text1"/>
                <w:sz w:val="24"/>
                <w:szCs w:val="24"/>
              </w:rPr>
              <w:t>油烟净化器处理食堂油烟，油烟处理后于屋顶排放。根据类比有关资料显示，平衡膳食推荐每人每天食用食油量为20g。根据建设单位提供资料，本项目</w:t>
            </w:r>
            <w:r>
              <w:rPr>
                <w:rFonts w:hint="eastAsia" w:cs="Times New Roman"/>
                <w:color w:val="000000" w:themeColor="text1"/>
                <w:sz w:val="24"/>
                <w:szCs w:val="24"/>
                <w:lang w:val="en-US" w:eastAsia="zh-CN"/>
              </w:rPr>
              <w:t>空间较紧凑，食堂面积较小，</w:t>
            </w:r>
            <w:r>
              <w:rPr>
                <w:rFonts w:hint="default" w:ascii="Times New Roman" w:hAnsi="Times New Roman" w:cs="Times New Roman"/>
                <w:color w:val="000000" w:themeColor="text1"/>
                <w:sz w:val="24"/>
                <w:szCs w:val="24"/>
                <w:lang w:val="en-US" w:eastAsia="zh-CN"/>
              </w:rPr>
              <w:t>食堂</w:t>
            </w:r>
            <w:r>
              <w:rPr>
                <w:rFonts w:hint="default" w:ascii="Times New Roman" w:hAnsi="Times New Roman" w:eastAsia="宋体" w:cs="Times New Roman"/>
                <w:color w:val="000000" w:themeColor="text1"/>
                <w:sz w:val="24"/>
                <w:szCs w:val="24"/>
              </w:rPr>
              <w:t>全天设计供应500人次/日饭菜，基准灶头数为</w:t>
            </w:r>
            <w:r>
              <w:rPr>
                <w:rFonts w:hint="default" w:ascii="Times New Roman" w:hAnsi="Times New Roman" w:cs="Times New Roman"/>
                <w:color w:val="000000" w:themeColor="text1"/>
                <w:sz w:val="24"/>
                <w:szCs w:val="24"/>
                <w:lang w:val="en-US" w:eastAsia="zh-CN"/>
              </w:rPr>
              <w:t>5</w:t>
            </w:r>
            <w:r>
              <w:rPr>
                <w:rFonts w:hint="default" w:ascii="Times New Roman" w:hAnsi="Times New Roman" w:eastAsia="宋体" w:cs="Times New Roman"/>
                <w:color w:val="000000" w:themeColor="text1"/>
                <w:sz w:val="24"/>
                <w:szCs w:val="24"/>
              </w:rPr>
              <w:t>个，规模属于</w:t>
            </w:r>
            <w:r>
              <w:rPr>
                <w:rFonts w:hint="default" w:ascii="Times New Roman" w:hAnsi="Times New Roman" w:cs="Times New Roman"/>
                <w:color w:val="000000" w:themeColor="text1"/>
                <w:sz w:val="24"/>
                <w:szCs w:val="24"/>
                <w:lang w:val="en-US" w:eastAsia="zh-CN"/>
              </w:rPr>
              <w:t>中</w:t>
            </w:r>
            <w:r>
              <w:rPr>
                <w:rFonts w:hint="default" w:ascii="Times New Roman" w:hAnsi="Times New Roman" w:eastAsia="宋体" w:cs="Times New Roman"/>
                <w:color w:val="000000" w:themeColor="text1"/>
                <w:sz w:val="24"/>
                <w:szCs w:val="24"/>
              </w:rPr>
              <w:t>型食堂，日工作时间5小时。人均食用油用量</w:t>
            </w:r>
            <w:r>
              <w:rPr>
                <w:rFonts w:hint="default" w:ascii="Times New Roman" w:hAnsi="Times New Roman" w:cs="Times New Roman"/>
                <w:color w:val="000000" w:themeColor="text1"/>
                <w:sz w:val="24"/>
                <w:szCs w:val="24"/>
                <w:lang w:val="en-US" w:eastAsia="zh-CN"/>
              </w:rPr>
              <w:t>按2</w:t>
            </w:r>
            <w:r>
              <w:rPr>
                <w:rFonts w:hint="default" w:ascii="Times New Roman" w:hAnsi="Times New Roman" w:eastAsia="宋体" w:cs="Times New Roman"/>
                <w:color w:val="000000" w:themeColor="text1"/>
                <w:sz w:val="24"/>
                <w:szCs w:val="24"/>
              </w:rPr>
              <w:t>0g/人·d</w:t>
            </w:r>
            <w:r>
              <w:rPr>
                <w:rFonts w:hint="default" w:ascii="Times New Roman" w:hAnsi="Times New Roman" w:cs="Times New Roman"/>
                <w:color w:val="000000" w:themeColor="text1"/>
                <w:sz w:val="24"/>
                <w:szCs w:val="24"/>
                <w:lang w:val="en-US" w:eastAsia="zh-CN"/>
              </w:rPr>
              <w:t>计</w:t>
            </w:r>
            <w:r>
              <w:rPr>
                <w:rFonts w:hint="default" w:ascii="Times New Roman" w:hAnsi="Times New Roman" w:eastAsia="宋体" w:cs="Times New Roman"/>
                <w:color w:val="000000" w:themeColor="text1"/>
                <w:sz w:val="24"/>
                <w:szCs w:val="24"/>
              </w:rPr>
              <w:t>，油烟</w:t>
            </w:r>
            <w:r>
              <w:rPr>
                <w:rFonts w:hint="default" w:ascii="Times New Roman" w:hAnsi="Times New Roman" w:cs="Times New Roman"/>
                <w:color w:val="000000" w:themeColor="text1"/>
                <w:sz w:val="24"/>
                <w:szCs w:val="24"/>
                <w:lang w:val="en-US" w:eastAsia="zh-CN"/>
              </w:rPr>
              <w:t>平均</w:t>
            </w:r>
            <w:r>
              <w:rPr>
                <w:rFonts w:hint="default" w:ascii="Times New Roman" w:hAnsi="Times New Roman" w:eastAsia="宋体" w:cs="Times New Roman"/>
                <w:color w:val="000000" w:themeColor="text1"/>
                <w:sz w:val="24"/>
                <w:szCs w:val="24"/>
              </w:rPr>
              <w:t>挥发量占总耗油量的3%，则医院食堂油烟日产生量为</w:t>
            </w:r>
            <w:r>
              <w:rPr>
                <w:rFonts w:hint="default" w:ascii="Times New Roman" w:hAnsi="Times New Roman" w:cs="Times New Roman"/>
                <w:color w:val="000000" w:themeColor="text1"/>
                <w:sz w:val="24"/>
                <w:szCs w:val="24"/>
                <w:lang w:val="en-US" w:eastAsia="zh-CN"/>
              </w:rPr>
              <w:t>0.3</w:t>
            </w:r>
            <w:r>
              <w:rPr>
                <w:rFonts w:hint="default" w:ascii="Times New Roman" w:hAnsi="Times New Roman" w:eastAsia="宋体" w:cs="Times New Roman"/>
                <w:color w:val="000000" w:themeColor="text1"/>
                <w:sz w:val="24"/>
                <w:szCs w:val="24"/>
              </w:rPr>
              <w:t>kg，年产生量为</w:t>
            </w:r>
            <w:r>
              <w:rPr>
                <w:rFonts w:hint="default" w:ascii="Times New Roman" w:hAnsi="Times New Roman" w:cs="Times New Roman"/>
                <w:color w:val="000000" w:themeColor="text1"/>
                <w:sz w:val="24"/>
                <w:szCs w:val="24"/>
                <w:lang w:val="en-US" w:eastAsia="zh-CN"/>
              </w:rPr>
              <w:t>109.5</w:t>
            </w:r>
            <w:r>
              <w:rPr>
                <w:rFonts w:hint="default" w:ascii="Times New Roman" w:hAnsi="Times New Roman" w:eastAsia="宋体" w:cs="Times New Roman"/>
                <w:color w:val="000000" w:themeColor="text1"/>
                <w:sz w:val="24"/>
                <w:szCs w:val="24"/>
              </w:rPr>
              <w:t>kg。项目在各灶台上方设置抽风排气罩，收集的含油烟废气通过专用排烟</w:t>
            </w:r>
            <w:r>
              <w:rPr>
                <w:rFonts w:hint="default" w:ascii="Times New Roman" w:hAnsi="Times New Roman" w:cs="Times New Roman"/>
                <w:color w:val="000000" w:themeColor="text1"/>
                <w:sz w:val="24"/>
                <w:szCs w:val="24"/>
                <w:lang w:val="en-US" w:eastAsia="zh-CN"/>
              </w:rPr>
              <w:t>引至办公楼楼顶的</w:t>
            </w:r>
            <w:r>
              <w:rPr>
                <w:rFonts w:hint="default" w:ascii="Times New Roman" w:hAnsi="Times New Roman" w:eastAsia="宋体" w:cs="Times New Roman"/>
                <w:color w:val="000000" w:themeColor="text1"/>
                <w:sz w:val="24"/>
                <w:szCs w:val="24"/>
              </w:rPr>
              <w:t>油烟净化器处理，净化后</w:t>
            </w:r>
            <w:r>
              <w:rPr>
                <w:rFonts w:hint="default" w:ascii="Times New Roman" w:hAnsi="Times New Roman" w:cs="Times New Roman"/>
                <w:color w:val="000000" w:themeColor="text1"/>
                <w:sz w:val="24"/>
                <w:szCs w:val="24"/>
                <w:lang w:val="en-US" w:eastAsia="zh-CN"/>
              </w:rPr>
              <w:t>在</w:t>
            </w:r>
            <w:r>
              <w:rPr>
                <w:rFonts w:hint="default" w:ascii="Times New Roman" w:hAnsi="Times New Roman" w:eastAsia="宋体" w:cs="Times New Roman"/>
                <w:color w:val="000000" w:themeColor="text1"/>
                <w:sz w:val="24"/>
                <w:szCs w:val="24"/>
              </w:rPr>
              <w:t>屋顶高空排放，引风机设计风量为</w:t>
            </w:r>
            <w:r>
              <w:rPr>
                <w:rFonts w:hint="default" w:ascii="Times New Roman" w:hAnsi="Times New Roman" w:cs="Times New Roman"/>
                <w:color w:val="000000" w:themeColor="text1"/>
                <w:sz w:val="24"/>
                <w:szCs w:val="24"/>
                <w:lang w:val="en-US" w:eastAsia="zh-CN"/>
              </w:rPr>
              <w:t>15000</w:t>
            </w:r>
            <w:r>
              <w:rPr>
                <w:rFonts w:hint="default" w:ascii="Times New Roman" w:hAnsi="Times New Roman" w:eastAsia="宋体" w:cs="Times New Roman"/>
                <w:color w:val="000000" w:themeColor="text1"/>
                <w:sz w:val="24"/>
                <w:szCs w:val="24"/>
              </w:rPr>
              <w:t>m</w:t>
            </w:r>
            <w:r>
              <w:rPr>
                <w:rFonts w:hint="default" w:ascii="Times New Roman" w:hAnsi="Times New Roman" w:eastAsia="宋体" w:cs="Times New Roman"/>
                <w:color w:val="000000" w:themeColor="text1"/>
                <w:sz w:val="24"/>
                <w:szCs w:val="24"/>
                <w:vertAlign w:val="superscript"/>
              </w:rPr>
              <w:t>3</w:t>
            </w:r>
            <w:r>
              <w:rPr>
                <w:rFonts w:hint="default" w:ascii="Times New Roman" w:hAnsi="Times New Roman" w:eastAsia="宋体" w:cs="Times New Roman"/>
                <w:color w:val="000000" w:themeColor="text1"/>
                <w:sz w:val="24"/>
                <w:szCs w:val="24"/>
              </w:rPr>
              <w:t>/h，则油烟产生浓度为</w:t>
            </w:r>
            <w:r>
              <w:rPr>
                <w:rFonts w:hint="default" w:ascii="Times New Roman" w:hAnsi="Times New Roman" w:cs="Times New Roman"/>
                <w:color w:val="000000" w:themeColor="text1"/>
                <w:sz w:val="24"/>
                <w:szCs w:val="24"/>
                <w:lang w:val="en-US" w:eastAsia="zh-CN"/>
              </w:rPr>
              <w:t>4</w:t>
            </w:r>
            <w:r>
              <w:rPr>
                <w:rFonts w:hint="default" w:ascii="Times New Roman" w:hAnsi="Times New Roman" w:eastAsia="宋体" w:cs="Times New Roman"/>
                <w:color w:val="000000" w:themeColor="text1"/>
                <w:sz w:val="24"/>
                <w:szCs w:val="24"/>
              </w:rPr>
              <w:t>mg/m</w:t>
            </w:r>
            <w:r>
              <w:rPr>
                <w:rFonts w:hint="default" w:ascii="Times New Roman" w:hAnsi="Times New Roman" w:eastAsia="宋体" w:cs="Times New Roman"/>
                <w:color w:val="000000" w:themeColor="text1"/>
                <w:sz w:val="24"/>
                <w:szCs w:val="24"/>
                <w:vertAlign w:val="superscript"/>
              </w:rPr>
              <w:t>3</w:t>
            </w:r>
            <w:r>
              <w:rPr>
                <w:rFonts w:hint="default" w:ascii="Times New Roman" w:hAnsi="Times New Roman" w:eastAsia="宋体" w:cs="Times New Roman"/>
                <w:color w:val="000000" w:themeColor="text1"/>
                <w:sz w:val="24"/>
                <w:szCs w:val="24"/>
              </w:rPr>
              <w:t>，油烟净化器净化效率在</w:t>
            </w:r>
            <w:r>
              <w:rPr>
                <w:rFonts w:hint="default" w:ascii="Times New Roman" w:hAnsi="Times New Roman" w:cs="Times New Roman"/>
                <w:color w:val="000000" w:themeColor="text1"/>
                <w:sz w:val="24"/>
                <w:szCs w:val="24"/>
                <w:lang w:val="en-US" w:eastAsia="zh-CN"/>
              </w:rPr>
              <w:t>7</w:t>
            </w:r>
            <w:r>
              <w:rPr>
                <w:rFonts w:hint="default" w:ascii="Times New Roman" w:hAnsi="Times New Roman" w:eastAsia="宋体" w:cs="Times New Roman"/>
                <w:color w:val="000000" w:themeColor="text1"/>
                <w:sz w:val="24"/>
                <w:szCs w:val="24"/>
              </w:rPr>
              <w:t>5%以上，处理后油烟</w:t>
            </w:r>
            <w:r>
              <w:rPr>
                <w:rFonts w:hint="default" w:ascii="Times New Roman" w:hAnsi="Times New Roman" w:cs="Times New Roman"/>
                <w:color w:val="000000" w:themeColor="text1"/>
                <w:sz w:val="24"/>
                <w:szCs w:val="24"/>
                <w:lang w:val="en-US" w:eastAsia="zh-CN"/>
              </w:rPr>
              <w:t>排放量为27.4kg/a，排放速率为0.015kg/h，</w:t>
            </w:r>
            <w:r>
              <w:rPr>
                <w:rFonts w:hint="default" w:ascii="Times New Roman" w:hAnsi="Times New Roman" w:eastAsia="宋体" w:cs="Times New Roman"/>
                <w:color w:val="000000" w:themeColor="text1"/>
                <w:sz w:val="24"/>
                <w:szCs w:val="24"/>
              </w:rPr>
              <w:t>排放浓度为1mg/m</w:t>
            </w:r>
            <w:r>
              <w:rPr>
                <w:rFonts w:hint="default" w:ascii="Times New Roman" w:hAnsi="Times New Roman" w:eastAsia="宋体" w:cs="Times New Roman"/>
                <w:color w:val="000000" w:themeColor="text1"/>
                <w:sz w:val="24"/>
                <w:szCs w:val="24"/>
                <w:vertAlign w:val="superscript"/>
              </w:rPr>
              <w:t>3</w:t>
            </w:r>
            <w:r>
              <w:rPr>
                <w:rFonts w:hint="default" w:ascii="Times New Roman" w:hAnsi="Times New Roman" w:eastAsia="宋体" w:cs="Times New Roman"/>
                <w:color w:val="000000" w:themeColor="text1"/>
                <w:sz w:val="24"/>
                <w:szCs w:val="24"/>
              </w:rPr>
              <w:t>，小于2.0mg/m</w:t>
            </w:r>
            <w:r>
              <w:rPr>
                <w:rFonts w:hint="default" w:ascii="Times New Roman" w:hAnsi="Times New Roman" w:eastAsia="宋体" w:cs="Times New Roman"/>
                <w:color w:val="000000" w:themeColor="text1"/>
                <w:sz w:val="24"/>
                <w:szCs w:val="24"/>
                <w:vertAlign w:val="superscript"/>
              </w:rPr>
              <w:t>3</w:t>
            </w:r>
            <w:r>
              <w:rPr>
                <w:rFonts w:hint="default" w:ascii="Times New Roman" w:hAnsi="Times New Roman" w:eastAsia="宋体" w:cs="Times New Roman"/>
                <w:color w:val="000000" w:themeColor="text1"/>
                <w:sz w:val="24"/>
                <w:szCs w:val="24"/>
              </w:rPr>
              <w:t>，可满足《饮食业油烟排放标准(试行)》(GB18483-2001)</w:t>
            </w:r>
            <w:r>
              <w:rPr>
                <w:rFonts w:hint="default" w:ascii="Times New Roman" w:hAnsi="Times New Roman" w:cs="Times New Roman"/>
                <w:color w:val="000000" w:themeColor="text1"/>
                <w:sz w:val="24"/>
                <w:szCs w:val="24"/>
                <w:lang w:val="en-US" w:eastAsia="zh-CN"/>
              </w:rPr>
              <w:t>中</w:t>
            </w:r>
            <w:r>
              <w:rPr>
                <w:rFonts w:hint="default" w:ascii="Times New Roman" w:hAnsi="Times New Roman" w:eastAsia="宋体" w:cs="Times New Roman"/>
                <w:color w:val="000000" w:themeColor="text1"/>
                <w:sz w:val="24"/>
                <w:szCs w:val="24"/>
              </w:rPr>
              <w:t xml:space="preserve">型规模排放限值要求，不会对环境空气产生明显影响。 </w:t>
            </w:r>
          </w:p>
          <w:p w14:paraId="11EE752D">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由上述可知，本项目食堂油烟年产生废气量较小，不会对周边产生影响。</w:t>
            </w:r>
          </w:p>
          <w:p w14:paraId="4FB8E558">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w:t>
            </w:r>
            <w:r>
              <w:rPr>
                <w:rFonts w:hint="default" w:ascii="Times New Roman" w:hAnsi="Times New Roman" w:cs="Times New Roman"/>
                <w:b/>
                <w:bCs/>
                <w:color w:val="000000" w:themeColor="text1"/>
                <w:sz w:val="24"/>
                <w:szCs w:val="24"/>
                <w:lang w:val="en-US" w:eastAsia="zh-CN"/>
              </w:rPr>
              <w:t>4</w:t>
            </w:r>
            <w:r>
              <w:rPr>
                <w:rFonts w:hint="default" w:ascii="Times New Roman" w:hAnsi="Times New Roman" w:eastAsia="宋体" w:cs="Times New Roman"/>
                <w:b/>
                <w:bCs/>
                <w:color w:val="000000" w:themeColor="text1"/>
                <w:sz w:val="24"/>
                <w:szCs w:val="24"/>
              </w:rPr>
              <w:t>）备用柴油发电机废气</w:t>
            </w:r>
          </w:p>
          <w:p w14:paraId="5CE09D89">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为确保电力稳定供给，本项目</w:t>
            </w:r>
            <w:r>
              <w:rPr>
                <w:rFonts w:hint="default" w:ascii="Times New Roman" w:hAnsi="Times New Roman" w:eastAsia="宋体" w:cs="Times New Roman"/>
                <w:color w:val="000000" w:themeColor="text1"/>
                <w:sz w:val="24"/>
                <w:szCs w:val="24"/>
                <w:lang w:val="en-US" w:eastAsia="zh-CN"/>
              </w:rPr>
              <w:t>使用</w:t>
            </w:r>
            <w:r>
              <w:rPr>
                <w:rFonts w:hint="default" w:ascii="Times New Roman" w:hAnsi="Times New Roman" w:eastAsia="宋体" w:cs="Times New Roman"/>
                <w:color w:val="000000" w:themeColor="text1"/>
                <w:sz w:val="24"/>
                <w:szCs w:val="24"/>
              </w:rPr>
              <w:t>一台</w:t>
            </w:r>
            <w:r>
              <w:rPr>
                <w:rFonts w:hint="default" w:ascii="Times New Roman" w:hAnsi="Times New Roman" w:eastAsia="宋体" w:cs="Times New Roman"/>
                <w:color w:val="000000" w:themeColor="text1"/>
                <w:sz w:val="24"/>
                <w:szCs w:val="24"/>
                <w:lang w:val="en-US" w:eastAsia="zh-CN"/>
              </w:rPr>
              <w:t>原</w:t>
            </w:r>
            <w:r>
              <w:rPr>
                <w:rFonts w:hint="default" w:ascii="Times New Roman" w:hAnsi="Times New Roman" w:cs="Times New Roman"/>
                <w:color w:val="000000" w:themeColor="text1"/>
                <w:sz w:val="24"/>
                <w:szCs w:val="24"/>
                <w:lang w:val="en-US" w:eastAsia="zh-CN"/>
              </w:rPr>
              <w:t>有的250</w:t>
            </w:r>
            <w:r>
              <w:rPr>
                <w:rFonts w:hint="default" w:ascii="Times New Roman" w:hAnsi="Times New Roman" w:eastAsia="宋体" w:cs="Times New Roman"/>
                <w:color w:val="000000" w:themeColor="text1"/>
                <w:sz w:val="24"/>
                <w:szCs w:val="24"/>
              </w:rPr>
              <w:t>kW柴油发电机，发电机组平时不运行，仅在停电时供给电梯及照明，</w:t>
            </w:r>
            <w:r>
              <w:rPr>
                <w:rFonts w:hint="default" w:ascii="Times New Roman" w:hAnsi="Times New Roman" w:cs="Times New Roman"/>
                <w:color w:val="000000" w:themeColor="text1"/>
                <w:sz w:val="24"/>
                <w:szCs w:val="24"/>
                <w:lang w:val="en-US" w:eastAsia="zh-CN"/>
              </w:rPr>
              <w:t>我国供电情况稳定，</w:t>
            </w:r>
            <w:r>
              <w:rPr>
                <w:rFonts w:hint="default" w:ascii="Times New Roman" w:hAnsi="Times New Roman" w:eastAsia="宋体" w:cs="Times New Roman"/>
                <w:color w:val="000000" w:themeColor="text1"/>
                <w:sz w:val="24"/>
                <w:szCs w:val="24"/>
              </w:rPr>
              <w:t>每年使用4-6次，每次约2h</w:t>
            </w:r>
            <w:r>
              <w:rPr>
                <w:rFonts w:hint="default" w:ascii="Times New Roman" w:hAnsi="Times New Roman" w:cs="Times New Roman"/>
                <w:color w:val="000000" w:themeColor="text1"/>
                <w:sz w:val="24"/>
                <w:szCs w:val="24"/>
                <w:lang w:eastAsia="zh-CN"/>
              </w:rPr>
              <w:t>，</w:t>
            </w:r>
            <w:r>
              <w:rPr>
                <w:rFonts w:hint="default" w:ascii="Times New Roman" w:hAnsi="Times New Roman" w:eastAsia="宋体" w:cs="Times New Roman"/>
                <w:color w:val="000000" w:themeColor="text1"/>
                <w:sz w:val="24"/>
                <w:szCs w:val="24"/>
              </w:rPr>
              <w:t>发电机运营时间约1</w:t>
            </w:r>
            <w:r>
              <w:rPr>
                <w:rFonts w:hint="default" w:ascii="Times New Roman" w:hAnsi="Times New Roman" w:cs="Times New Roman"/>
                <w:color w:val="000000" w:themeColor="text1"/>
                <w:sz w:val="24"/>
                <w:szCs w:val="24"/>
                <w:lang w:val="en-US" w:eastAsia="zh-CN"/>
              </w:rPr>
              <w:t>0</w:t>
            </w:r>
            <w:r>
              <w:rPr>
                <w:rFonts w:hint="default" w:ascii="Times New Roman" w:hAnsi="Times New Roman" w:eastAsia="宋体" w:cs="Times New Roman"/>
                <w:color w:val="000000" w:themeColor="text1"/>
                <w:sz w:val="24"/>
                <w:szCs w:val="24"/>
              </w:rPr>
              <w:t>h/a，</w:t>
            </w:r>
            <w:r>
              <w:rPr>
                <w:rFonts w:hint="default" w:ascii="Times New Roman" w:hAnsi="Times New Roman" w:cs="Times New Roman"/>
                <w:color w:val="000000" w:themeColor="text1"/>
                <w:sz w:val="24"/>
                <w:szCs w:val="24"/>
                <w:lang w:val="en-US" w:eastAsia="zh-CN"/>
              </w:rPr>
              <w:t>类比同类项目，250KW柴油</w:t>
            </w:r>
            <w:r>
              <w:rPr>
                <w:rFonts w:hint="default" w:ascii="Times New Roman" w:hAnsi="Times New Roman" w:eastAsia="宋体" w:cs="Times New Roman"/>
                <w:color w:val="000000" w:themeColor="text1"/>
                <w:sz w:val="24"/>
                <w:szCs w:val="24"/>
                <w:highlight w:val="none"/>
              </w:rPr>
              <w:t>发电机组耗油量</w:t>
            </w:r>
            <w:r>
              <w:rPr>
                <w:rFonts w:hint="default" w:ascii="Times New Roman" w:hAnsi="Times New Roman" w:cs="Times New Roman"/>
                <w:color w:val="000000" w:themeColor="text1"/>
                <w:sz w:val="24"/>
                <w:szCs w:val="24"/>
                <w:highlight w:val="none"/>
                <w:lang w:val="en-US" w:eastAsia="zh-CN"/>
              </w:rPr>
              <w:t>约</w:t>
            </w:r>
            <w:r>
              <w:rPr>
                <w:rFonts w:hint="default" w:ascii="Times New Roman" w:hAnsi="Times New Roman" w:eastAsia="宋体" w:cs="Times New Roman"/>
                <w:color w:val="000000" w:themeColor="text1"/>
                <w:sz w:val="24"/>
                <w:szCs w:val="24"/>
                <w:highlight w:val="none"/>
              </w:rPr>
              <w:t>为</w:t>
            </w:r>
            <w:r>
              <w:rPr>
                <w:rFonts w:hint="default" w:ascii="Times New Roman" w:hAnsi="Times New Roman" w:cs="Times New Roman"/>
                <w:color w:val="000000" w:themeColor="text1"/>
                <w:sz w:val="24"/>
                <w:szCs w:val="24"/>
                <w:lang w:val="en-US" w:eastAsia="zh-CN"/>
              </w:rPr>
              <w:t>每小时50L</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柴油密度0.835g/mL，则本项目柴油发电机耗油量约为600L/a，0.501t/a</w:t>
            </w:r>
            <w:r>
              <w:rPr>
                <w:rFonts w:hint="default" w:ascii="Times New Roman" w:hAnsi="Times New Roman" w:eastAsia="宋体" w:cs="Times New Roman"/>
                <w:color w:val="000000" w:themeColor="text1"/>
                <w:sz w:val="24"/>
                <w:szCs w:val="24"/>
              </w:rPr>
              <w:t>。</w:t>
            </w:r>
          </w:p>
          <w:p w14:paraId="6CA06701">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参照北京</w:t>
            </w:r>
            <w:r>
              <w:rPr>
                <w:rFonts w:hint="default" w:ascii="Times New Roman" w:hAnsi="Times New Roman" w:eastAsia="宋体" w:cs="Times New Roman"/>
                <w:color w:val="000000" w:themeColor="text1"/>
                <w:sz w:val="24"/>
                <w:szCs w:val="24"/>
                <w:highlight w:val="none"/>
              </w:rPr>
              <w:t>市环境保护科学研究院世行课题组编制的《北京环境总体规划研究》中确定的排放系数，即燃烧1t柴油 NOx的排放量为2.94kg，SO</w:t>
            </w:r>
            <w:r>
              <w:rPr>
                <w:rFonts w:hint="default" w:ascii="Times New Roman" w:hAnsi="Times New Roman" w:eastAsia="宋体" w:cs="Times New Roman"/>
                <w:color w:val="000000" w:themeColor="text1"/>
                <w:sz w:val="24"/>
                <w:szCs w:val="24"/>
                <w:highlight w:val="none"/>
                <w:vertAlign w:val="subscript"/>
              </w:rPr>
              <w:t xml:space="preserve">2 </w:t>
            </w:r>
            <w:r>
              <w:rPr>
                <w:rFonts w:hint="default" w:ascii="Times New Roman" w:hAnsi="Times New Roman" w:eastAsia="宋体" w:cs="Times New Roman"/>
                <w:color w:val="000000" w:themeColor="text1"/>
                <w:sz w:val="24"/>
                <w:szCs w:val="24"/>
                <w:highlight w:val="none"/>
              </w:rPr>
              <w:t>的排放量为 4.57kg，</w:t>
            </w:r>
            <w:r>
              <w:rPr>
                <w:rFonts w:hint="eastAsia" w:cs="Times New Roman"/>
                <w:color w:val="000000" w:themeColor="text1"/>
                <w:sz w:val="24"/>
                <w:szCs w:val="24"/>
                <w:highlight w:val="none"/>
                <w:lang w:val="en-US" w:eastAsia="zh-CN"/>
              </w:rPr>
              <w:t>颗粒物</w:t>
            </w:r>
            <w:r>
              <w:rPr>
                <w:rFonts w:hint="default" w:ascii="Times New Roman" w:hAnsi="Times New Roman" w:eastAsia="宋体" w:cs="Times New Roman"/>
                <w:color w:val="000000" w:themeColor="text1"/>
                <w:sz w:val="24"/>
                <w:szCs w:val="24"/>
                <w:highlight w:val="none"/>
              </w:rPr>
              <w:t>的排放量为0.81kg，计算得到NOx的排放量为</w:t>
            </w:r>
            <w:r>
              <w:rPr>
                <w:rFonts w:hint="default" w:ascii="Times New Roman" w:hAnsi="Times New Roman" w:cs="Times New Roman"/>
                <w:color w:val="000000" w:themeColor="text1"/>
                <w:sz w:val="24"/>
                <w:szCs w:val="24"/>
                <w:highlight w:val="none"/>
                <w:lang w:val="en-US" w:eastAsia="zh-CN"/>
              </w:rPr>
              <w:t>1.473</w:t>
            </w:r>
            <w:r>
              <w:rPr>
                <w:rFonts w:hint="default" w:ascii="Times New Roman" w:hAnsi="Times New Roman" w:eastAsia="宋体" w:cs="Times New Roman"/>
                <w:color w:val="000000" w:themeColor="text1"/>
                <w:sz w:val="24"/>
                <w:szCs w:val="24"/>
                <w:highlight w:val="none"/>
              </w:rPr>
              <w:t>kg/a，SO</w:t>
            </w:r>
            <w:r>
              <w:rPr>
                <w:rFonts w:hint="default" w:ascii="Times New Roman" w:hAnsi="Times New Roman" w:eastAsia="宋体" w:cs="Times New Roman"/>
                <w:color w:val="000000" w:themeColor="text1"/>
                <w:sz w:val="24"/>
                <w:szCs w:val="24"/>
                <w:highlight w:val="none"/>
                <w:vertAlign w:val="subscript"/>
              </w:rPr>
              <w:t>2</w:t>
            </w:r>
            <w:r>
              <w:rPr>
                <w:rFonts w:hint="default" w:ascii="Times New Roman" w:hAnsi="Times New Roman" w:eastAsia="宋体" w:cs="Times New Roman"/>
                <w:color w:val="000000" w:themeColor="text1"/>
                <w:sz w:val="24"/>
                <w:szCs w:val="24"/>
                <w:highlight w:val="none"/>
              </w:rPr>
              <w:t>的排放量为</w:t>
            </w:r>
            <w:r>
              <w:rPr>
                <w:rFonts w:hint="default" w:ascii="Times New Roman" w:hAnsi="Times New Roman" w:cs="Times New Roman"/>
                <w:color w:val="000000" w:themeColor="text1"/>
                <w:sz w:val="24"/>
                <w:szCs w:val="24"/>
                <w:highlight w:val="none"/>
                <w:lang w:val="en-US" w:eastAsia="zh-CN"/>
              </w:rPr>
              <w:t>2.289</w:t>
            </w:r>
            <w:r>
              <w:rPr>
                <w:rFonts w:hint="default" w:ascii="Times New Roman" w:hAnsi="Times New Roman" w:eastAsia="宋体" w:cs="Times New Roman"/>
                <w:color w:val="000000" w:themeColor="text1"/>
                <w:sz w:val="24"/>
                <w:szCs w:val="24"/>
                <w:highlight w:val="none"/>
              </w:rPr>
              <w:t>kg/a，</w:t>
            </w:r>
            <w:r>
              <w:rPr>
                <w:rFonts w:hint="eastAsia" w:cs="Times New Roman"/>
                <w:color w:val="000000" w:themeColor="text1"/>
                <w:sz w:val="24"/>
                <w:szCs w:val="24"/>
                <w:highlight w:val="none"/>
                <w:lang w:val="en-US" w:eastAsia="zh-CN"/>
              </w:rPr>
              <w:t>颗粒物</w:t>
            </w:r>
            <w:r>
              <w:rPr>
                <w:rFonts w:hint="default" w:ascii="Times New Roman" w:hAnsi="Times New Roman" w:eastAsia="宋体" w:cs="Times New Roman"/>
                <w:color w:val="000000" w:themeColor="text1"/>
                <w:sz w:val="24"/>
                <w:szCs w:val="24"/>
                <w:highlight w:val="none"/>
              </w:rPr>
              <w:t>的排放量为</w:t>
            </w:r>
            <w:r>
              <w:rPr>
                <w:rFonts w:hint="default" w:ascii="Times New Roman" w:hAnsi="Times New Roman" w:cs="Times New Roman"/>
                <w:color w:val="000000" w:themeColor="text1"/>
                <w:sz w:val="24"/>
                <w:szCs w:val="24"/>
                <w:highlight w:val="none"/>
                <w:lang w:val="en-US" w:eastAsia="zh-CN"/>
              </w:rPr>
              <w:t>0.406</w:t>
            </w:r>
            <w:r>
              <w:rPr>
                <w:rFonts w:hint="default" w:ascii="Times New Roman" w:hAnsi="Times New Roman" w:eastAsia="宋体" w:cs="Times New Roman"/>
                <w:color w:val="000000" w:themeColor="text1"/>
                <w:sz w:val="24"/>
                <w:szCs w:val="24"/>
                <w:highlight w:val="none"/>
              </w:rPr>
              <w:t>kg</w:t>
            </w:r>
            <w:r>
              <w:rPr>
                <w:rFonts w:hint="default" w:ascii="Times New Roman" w:hAnsi="Times New Roman" w:eastAsia="宋体" w:cs="Times New Roman"/>
                <w:color w:val="000000" w:themeColor="text1"/>
                <w:sz w:val="24"/>
                <w:szCs w:val="24"/>
                <w:highlight w:val="none"/>
                <w:lang w:val="en-US" w:eastAsia="zh-CN"/>
              </w:rPr>
              <w:t>/a</w:t>
            </w:r>
            <w:r>
              <w:rPr>
                <w:rFonts w:hint="default" w:ascii="Times New Roman" w:hAnsi="Times New Roman" w:eastAsia="宋体" w:cs="Times New Roman"/>
                <w:color w:val="000000" w:themeColor="text1"/>
                <w:sz w:val="24"/>
                <w:szCs w:val="24"/>
              </w:rPr>
              <w:t xml:space="preserve">。 </w:t>
            </w:r>
          </w:p>
          <w:p w14:paraId="46F55254">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lang w:eastAsia="zh-CN"/>
              </w:rPr>
            </w:pPr>
            <w:r>
              <w:rPr>
                <w:rFonts w:hint="default" w:ascii="Times New Roman" w:hAnsi="Times New Roman" w:eastAsia="宋体" w:cs="Times New Roman"/>
                <w:color w:val="000000" w:themeColor="text1"/>
                <w:sz w:val="24"/>
                <w:szCs w:val="24"/>
              </w:rPr>
              <w:t>由上述可知，本项目柴油发电机年产生废气量较小，不会对周边产生影响</w:t>
            </w:r>
            <w:r>
              <w:rPr>
                <w:rFonts w:hint="default" w:ascii="Times New Roman" w:hAnsi="Times New Roman" w:cs="Times New Roman"/>
                <w:color w:val="000000" w:themeColor="text1"/>
                <w:sz w:val="24"/>
                <w:szCs w:val="24"/>
                <w:lang w:eastAsia="zh-CN"/>
              </w:rPr>
              <w:t>。</w:t>
            </w:r>
          </w:p>
          <w:p w14:paraId="0036A147">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rPr>
            </w:pPr>
            <w:r>
              <w:rPr>
                <w:rFonts w:hint="default" w:ascii="Times New Roman" w:hAnsi="Times New Roman" w:cs="Times New Roman"/>
                <w:b/>
                <w:bCs/>
                <w:color w:val="000000" w:themeColor="text1"/>
                <w:sz w:val="24"/>
                <w:szCs w:val="24"/>
                <w:lang w:eastAsia="zh-CN"/>
              </w:rPr>
              <w:t>（</w:t>
            </w:r>
            <w:r>
              <w:rPr>
                <w:rFonts w:hint="default" w:ascii="Times New Roman" w:hAnsi="Times New Roman" w:cs="Times New Roman"/>
                <w:b/>
                <w:bCs/>
                <w:color w:val="000000" w:themeColor="text1"/>
                <w:sz w:val="24"/>
                <w:szCs w:val="24"/>
                <w:lang w:val="en-US" w:eastAsia="zh-CN"/>
              </w:rPr>
              <w:t>5</w:t>
            </w:r>
            <w:r>
              <w:rPr>
                <w:rFonts w:hint="default" w:ascii="Times New Roman" w:hAnsi="Times New Roman" w:cs="Times New Roman"/>
                <w:b/>
                <w:bCs/>
                <w:color w:val="000000" w:themeColor="text1"/>
                <w:sz w:val="24"/>
                <w:szCs w:val="24"/>
                <w:lang w:eastAsia="zh-CN"/>
              </w:rPr>
              <w:t>）</w:t>
            </w:r>
            <w:r>
              <w:rPr>
                <w:rFonts w:hint="default" w:ascii="Times New Roman" w:hAnsi="Times New Roman" w:cs="Times New Roman"/>
                <w:b/>
                <w:bCs/>
                <w:color w:val="000000" w:themeColor="text1"/>
                <w:sz w:val="24"/>
                <w:szCs w:val="24"/>
                <w:lang w:val="en-US" w:eastAsia="zh-CN"/>
              </w:rPr>
              <w:t>汽车尾气</w:t>
            </w:r>
          </w:p>
          <w:p w14:paraId="7AFFEF10">
            <w:pPr>
              <w:adjustRightInd w:val="0"/>
              <w:snapToGrid w:val="0"/>
              <w:spacing w:line="360" w:lineRule="auto"/>
              <w:ind w:firstLine="480" w:firstLineChars="200"/>
              <w:rPr>
                <w:rFonts w:hint="default" w:ascii="Times New Roman" w:hAnsi="Times New Roman" w:cs="Times New Roman"/>
                <w:color w:val="000000" w:themeColor="text1"/>
                <w:sz w:val="24"/>
                <w:szCs w:val="24"/>
                <w:lang w:val="en-US" w:eastAsia="zh-CN"/>
              </w:rPr>
            </w:pPr>
            <w:r>
              <w:rPr>
                <w:rFonts w:hint="default" w:ascii="Times New Roman" w:hAnsi="Times New Roman" w:eastAsia="宋体" w:cs="Times New Roman"/>
                <w:color w:val="000000" w:themeColor="text1"/>
                <w:sz w:val="24"/>
                <w:szCs w:val="24"/>
              </w:rPr>
              <w:t>汽车尾气主要是指汽车进出停车场时，汽车怠速及慢速(≤5km/hr)状态下的尾气排放，包括排气管尾气、曲轴箱漏气及油箱和化油箱等燃料系统的泄漏等。</w:t>
            </w:r>
            <w:r>
              <w:rPr>
                <w:rFonts w:hint="default" w:ascii="Times New Roman" w:hAnsi="Times New Roman" w:cs="Times New Roman"/>
                <w:color w:val="000000" w:themeColor="text1"/>
                <w:sz w:val="24"/>
                <w:szCs w:val="24"/>
                <w:lang w:val="en-US" w:eastAsia="zh-CN"/>
              </w:rPr>
              <w:t>汽</w:t>
            </w:r>
            <w:r>
              <w:rPr>
                <w:rFonts w:hint="default" w:ascii="Times New Roman" w:hAnsi="Times New Roman" w:eastAsia="宋体" w:cs="Times New Roman"/>
                <w:color w:val="000000" w:themeColor="text1"/>
                <w:sz w:val="24"/>
                <w:szCs w:val="24"/>
              </w:rPr>
              <w:t>车废气中主要污染因子为CO、HC、NOx、醛类、SO</w:t>
            </w:r>
            <w:r>
              <w:rPr>
                <w:rFonts w:hint="default" w:ascii="Times New Roman" w:hAnsi="Times New Roman" w:eastAsia="宋体" w:cs="Times New Roman"/>
                <w:color w:val="000000" w:themeColor="text1"/>
                <w:sz w:val="24"/>
                <w:szCs w:val="24"/>
                <w:vertAlign w:val="subscript"/>
              </w:rPr>
              <w:t>2</w:t>
            </w:r>
            <w:r>
              <w:rPr>
                <w:rFonts w:hint="default" w:ascii="Times New Roman" w:hAnsi="Times New Roman" w:eastAsia="宋体" w:cs="Times New Roman"/>
                <w:color w:val="000000" w:themeColor="text1"/>
                <w:sz w:val="24"/>
                <w:szCs w:val="24"/>
              </w:rPr>
              <w:t>等</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目前我国新能源汽车占比率较高，汽车尾气排放量日渐减少，且尾气自然消散快，对周边影响很小。</w:t>
            </w:r>
          </w:p>
          <w:p w14:paraId="5EE4294B">
            <w:pPr>
              <w:adjustRightInd w:val="0"/>
              <w:snapToGrid w:val="0"/>
              <w:spacing w:line="360" w:lineRule="auto"/>
              <w:ind w:firstLine="482" w:firstLineChars="200"/>
              <w:rPr>
                <w:rFonts w:hint="default" w:ascii="Times New Roman" w:hAnsi="Times New Roman" w:cs="Times New Roman"/>
                <w:b/>
                <w:bCs/>
                <w:color w:val="000000" w:themeColor="text1"/>
                <w:sz w:val="24"/>
                <w:szCs w:val="24"/>
                <w:lang w:val="en-US" w:eastAsia="zh-CN"/>
              </w:rPr>
            </w:pPr>
            <w:r>
              <w:rPr>
                <w:rFonts w:hint="eastAsia" w:cs="Times New Roman"/>
                <w:b/>
                <w:bCs/>
                <w:color w:val="000000" w:themeColor="text1"/>
                <w:sz w:val="24"/>
                <w:szCs w:val="24"/>
                <w:lang w:val="en-US" w:eastAsia="zh-CN"/>
              </w:rPr>
              <w:t>（6）危废间臭气</w:t>
            </w:r>
          </w:p>
          <w:p w14:paraId="2F8DB2DE">
            <w:pPr>
              <w:adjustRightInd w:val="0"/>
              <w:snapToGrid w:val="0"/>
              <w:spacing w:line="360" w:lineRule="auto"/>
              <w:ind w:firstLine="480" w:firstLineChars="200"/>
              <w:rPr>
                <w:rFonts w:hint="default" w:ascii="Times New Roman" w:hAnsi="Times New Roman" w:cs="Times New Roman"/>
                <w:color w:val="000000" w:themeColor="text1"/>
                <w:sz w:val="24"/>
                <w:szCs w:val="24"/>
                <w:lang w:val="en-US" w:eastAsia="zh-CN"/>
              </w:rPr>
            </w:pPr>
            <w:r>
              <w:rPr>
                <w:rFonts w:hint="default" w:ascii="Times New Roman" w:hAnsi="Times New Roman" w:cs="Times New Roman"/>
                <w:color w:val="000000" w:themeColor="text1"/>
                <w:sz w:val="24"/>
                <w:szCs w:val="24"/>
                <w:lang w:val="en-US" w:eastAsia="zh-CN"/>
              </w:rPr>
              <w:t>本项目危废间</w:t>
            </w:r>
            <w:r>
              <w:rPr>
                <w:rFonts w:hint="eastAsia" w:cs="Times New Roman"/>
                <w:color w:val="000000" w:themeColor="text1"/>
                <w:sz w:val="24"/>
                <w:szCs w:val="24"/>
                <w:lang w:val="en-US" w:eastAsia="zh-CN"/>
              </w:rPr>
              <w:t>利用原</w:t>
            </w:r>
            <w:r>
              <w:rPr>
                <w:rFonts w:hint="default" w:ascii="Times New Roman" w:hAnsi="Times New Roman" w:cs="Times New Roman"/>
                <w:color w:val="000000" w:themeColor="text1"/>
                <w:sz w:val="24"/>
                <w:szCs w:val="24"/>
                <w:lang w:val="en-US" w:eastAsia="zh-CN"/>
              </w:rPr>
              <w:t>有已建的1座</w:t>
            </w:r>
            <w:r>
              <w:rPr>
                <w:rFonts w:hint="eastAsia" w:cs="Times New Roman"/>
                <w:color w:val="000000" w:themeColor="text1"/>
                <w:sz w:val="24"/>
                <w:szCs w:val="24"/>
                <w:lang w:val="en-US" w:eastAsia="zh-CN"/>
              </w:rPr>
              <w:t>30</w:t>
            </w:r>
            <w:r>
              <w:rPr>
                <w:rFonts w:hint="default" w:ascii="Times New Roman" w:hAnsi="Times New Roman" w:cs="Times New Roman"/>
                <w:color w:val="000000" w:themeColor="text1"/>
                <w:sz w:val="24"/>
                <w:szCs w:val="24"/>
                <w:lang w:val="en-US" w:eastAsia="zh-CN"/>
              </w:rPr>
              <w:t>m</w:t>
            </w:r>
            <w:r>
              <w:rPr>
                <w:rFonts w:hint="default" w:ascii="Times New Roman" w:hAnsi="Times New Roman" w:cs="Times New Roman"/>
                <w:color w:val="000000" w:themeColor="text1"/>
                <w:sz w:val="24"/>
                <w:szCs w:val="24"/>
                <w:vertAlign w:val="superscript"/>
                <w:lang w:val="en-US" w:eastAsia="zh-CN"/>
              </w:rPr>
              <w:t>2</w:t>
            </w:r>
            <w:r>
              <w:rPr>
                <w:rFonts w:hint="default" w:ascii="Times New Roman" w:hAnsi="Times New Roman" w:cs="Times New Roman"/>
                <w:color w:val="000000" w:themeColor="text1"/>
                <w:sz w:val="24"/>
                <w:szCs w:val="24"/>
                <w:lang w:val="en-US" w:eastAsia="zh-CN"/>
              </w:rPr>
              <w:t>的危废间，危废间主要存放污水处理站污泥</w:t>
            </w:r>
            <w:r>
              <w:rPr>
                <w:rFonts w:hint="eastAsia" w:cs="Times New Roman"/>
                <w:color w:val="000000" w:themeColor="text1"/>
                <w:sz w:val="24"/>
                <w:szCs w:val="24"/>
                <w:lang w:val="en-US" w:eastAsia="zh-CN"/>
              </w:rPr>
              <w:t>、栅渣、废活性炭、废紫外灯管和医疗废物，医疗固废、污水处理站污泥、栅渣暂存期间会产生一定的异味，如不及时清运，将对大气环境产生一定影响</w:t>
            </w:r>
            <w:r>
              <w:rPr>
                <w:rFonts w:hint="default" w:ascii="Times New Roman" w:hAnsi="Times New Roman" w:cs="Times New Roman"/>
                <w:color w:val="000000" w:themeColor="text1"/>
                <w:sz w:val="24"/>
                <w:szCs w:val="24"/>
                <w:lang w:val="en-US" w:eastAsia="zh-CN"/>
              </w:rPr>
              <w:t>。</w:t>
            </w:r>
          </w:p>
          <w:p w14:paraId="3FBEB7CA">
            <w:pPr>
              <w:adjustRightInd w:val="0"/>
              <w:snapToGrid w:val="0"/>
              <w:spacing w:line="360" w:lineRule="auto"/>
              <w:ind w:firstLine="480" w:firstLineChars="200"/>
              <w:rPr>
                <w:rFonts w:hint="eastAsia" w:cs="Times New Roman"/>
                <w:color w:val="000000" w:themeColor="text1"/>
                <w:sz w:val="24"/>
                <w:szCs w:val="24"/>
                <w:lang w:val="en-US" w:eastAsia="zh-CN"/>
              </w:rPr>
            </w:pPr>
            <w:r>
              <w:rPr>
                <w:rFonts w:hint="eastAsia" w:cs="Times New Roman"/>
                <w:color w:val="000000" w:themeColor="text1"/>
                <w:sz w:val="24"/>
                <w:szCs w:val="24"/>
                <w:lang w:val="en-US" w:eastAsia="zh-CN"/>
              </w:rPr>
              <w:t>本项目医疗废物和污水站污泥、栅渣每2天周转1</w:t>
            </w:r>
            <w:r>
              <w:rPr>
                <w:rFonts w:hint="default" w:ascii="Times New Roman" w:hAnsi="Times New Roman" w:cs="Times New Roman"/>
                <w:color w:val="000000" w:themeColor="text1"/>
                <w:sz w:val="24"/>
                <w:szCs w:val="24"/>
                <w:lang w:val="en-US" w:eastAsia="zh-CN"/>
              </w:rPr>
              <w:t>次，</w:t>
            </w:r>
            <w:r>
              <w:rPr>
                <w:rFonts w:hint="eastAsia" w:cs="Times New Roman"/>
                <w:color w:val="000000" w:themeColor="text1"/>
                <w:sz w:val="24"/>
                <w:szCs w:val="24"/>
                <w:lang w:val="en-US" w:eastAsia="zh-CN"/>
              </w:rPr>
              <w:t>废活性炭和废紫外灯管每年周转1次</w:t>
            </w:r>
            <w:r>
              <w:rPr>
                <w:rFonts w:hint="default" w:ascii="Times New Roman" w:hAnsi="Times New Roman" w:cs="Times New Roman"/>
                <w:color w:val="000000" w:themeColor="text1"/>
                <w:sz w:val="24"/>
                <w:szCs w:val="24"/>
                <w:lang w:val="en-US" w:eastAsia="zh-CN"/>
              </w:rPr>
              <w:t>。</w:t>
            </w:r>
            <w:r>
              <w:rPr>
                <w:rFonts w:hint="eastAsia" w:cs="Times New Roman"/>
                <w:color w:val="000000" w:themeColor="text1"/>
                <w:sz w:val="24"/>
                <w:szCs w:val="24"/>
                <w:lang w:val="en-US" w:eastAsia="zh-CN"/>
              </w:rPr>
              <w:t>医疗废物通过专用容器及防漏胶袋密封，废活性炭和废紫外灯管</w:t>
            </w:r>
            <w:r>
              <w:rPr>
                <w:rFonts w:hint="default" w:ascii="Times New Roman" w:hAnsi="Times New Roman" w:cs="Times New Roman"/>
                <w:color w:val="000000" w:themeColor="text1"/>
                <w:sz w:val="24"/>
                <w:szCs w:val="24"/>
                <w:lang w:val="en-US" w:eastAsia="zh-CN"/>
              </w:rPr>
              <w:t>采用密闭</w:t>
            </w:r>
            <w:r>
              <w:rPr>
                <w:rFonts w:hint="eastAsia" w:cs="Times New Roman"/>
                <w:color w:val="000000" w:themeColor="text1"/>
                <w:sz w:val="24"/>
                <w:szCs w:val="24"/>
                <w:lang w:val="en-US" w:eastAsia="zh-CN"/>
              </w:rPr>
              <w:t>箱保存，存放期间保持密闭；</w:t>
            </w:r>
            <w:r>
              <w:rPr>
                <w:rFonts w:hint="default" w:ascii="Times New Roman" w:hAnsi="Times New Roman" w:cs="Times New Roman"/>
                <w:color w:val="000000" w:themeColor="text1"/>
                <w:sz w:val="24"/>
                <w:szCs w:val="24"/>
                <w:lang w:val="en-US" w:eastAsia="zh-CN"/>
              </w:rPr>
              <w:t>污泥</w:t>
            </w:r>
            <w:r>
              <w:rPr>
                <w:rFonts w:hint="eastAsia" w:cs="Times New Roman"/>
                <w:color w:val="000000" w:themeColor="text1"/>
                <w:sz w:val="24"/>
                <w:szCs w:val="24"/>
                <w:lang w:val="en-US" w:eastAsia="zh-CN"/>
              </w:rPr>
              <w:t>、栅渣</w:t>
            </w:r>
            <w:r>
              <w:rPr>
                <w:rFonts w:hint="default" w:ascii="Times New Roman" w:hAnsi="Times New Roman" w:cs="Times New Roman"/>
                <w:color w:val="000000" w:themeColor="text1"/>
                <w:sz w:val="24"/>
                <w:szCs w:val="24"/>
                <w:lang w:val="en-US" w:eastAsia="zh-CN"/>
              </w:rPr>
              <w:t>采用带内衬膜的</w:t>
            </w:r>
            <w:r>
              <w:rPr>
                <w:rFonts w:hint="eastAsia" w:cs="Times New Roman"/>
                <w:color w:val="000000" w:themeColor="text1"/>
                <w:sz w:val="24"/>
                <w:szCs w:val="24"/>
                <w:lang w:val="en-US" w:eastAsia="zh-CN"/>
              </w:rPr>
              <w:t>封口袋</w:t>
            </w:r>
            <w:r>
              <w:rPr>
                <w:rFonts w:hint="default" w:ascii="Times New Roman" w:hAnsi="Times New Roman" w:cs="Times New Roman"/>
                <w:color w:val="000000" w:themeColor="text1"/>
                <w:sz w:val="24"/>
                <w:szCs w:val="24"/>
                <w:lang w:val="en-US" w:eastAsia="zh-CN"/>
              </w:rPr>
              <w:t>包装，污泥</w:t>
            </w:r>
            <w:r>
              <w:rPr>
                <w:rFonts w:hint="eastAsia" w:cs="Times New Roman"/>
                <w:color w:val="000000" w:themeColor="text1"/>
                <w:sz w:val="24"/>
                <w:szCs w:val="24"/>
                <w:lang w:val="en-US" w:eastAsia="zh-CN"/>
              </w:rPr>
              <w:t>、栅渣</w:t>
            </w:r>
            <w:r>
              <w:rPr>
                <w:rFonts w:hint="default" w:ascii="Times New Roman" w:hAnsi="Times New Roman" w:cs="Times New Roman"/>
                <w:color w:val="000000" w:themeColor="text1"/>
                <w:sz w:val="24"/>
                <w:szCs w:val="24"/>
                <w:lang w:val="en-US" w:eastAsia="zh-CN"/>
              </w:rPr>
              <w:t>存放期间收好</w:t>
            </w:r>
            <w:r>
              <w:rPr>
                <w:rFonts w:hint="eastAsia" w:cs="Times New Roman"/>
                <w:color w:val="000000" w:themeColor="text1"/>
                <w:sz w:val="24"/>
                <w:szCs w:val="24"/>
                <w:lang w:val="en-US" w:eastAsia="zh-CN"/>
              </w:rPr>
              <w:t>封口袋</w:t>
            </w:r>
            <w:r>
              <w:rPr>
                <w:rFonts w:hint="default" w:ascii="Times New Roman" w:hAnsi="Times New Roman" w:cs="Times New Roman"/>
                <w:color w:val="000000" w:themeColor="text1"/>
                <w:sz w:val="24"/>
                <w:szCs w:val="24"/>
                <w:lang w:val="en-US" w:eastAsia="zh-CN"/>
              </w:rPr>
              <w:t>包装口，尽可能的减少污泥恶臭气体的逸散。危废间内</w:t>
            </w:r>
            <w:r>
              <w:rPr>
                <w:rFonts w:hint="eastAsia" w:cs="Times New Roman"/>
                <w:color w:val="000000" w:themeColor="text1"/>
                <w:sz w:val="24"/>
                <w:szCs w:val="24"/>
                <w:lang w:val="en-US" w:eastAsia="zh-CN"/>
              </w:rPr>
              <w:t>主要臭气源</w:t>
            </w:r>
            <w:r>
              <w:rPr>
                <w:rFonts w:hint="default" w:ascii="Times New Roman" w:hAnsi="Times New Roman" w:cs="Times New Roman"/>
                <w:color w:val="000000" w:themeColor="text1"/>
                <w:sz w:val="24"/>
                <w:szCs w:val="24"/>
                <w:lang w:val="en-US" w:eastAsia="zh-CN"/>
              </w:rPr>
              <w:t>污泥</w:t>
            </w:r>
            <w:r>
              <w:rPr>
                <w:rFonts w:hint="eastAsia" w:cs="Times New Roman"/>
                <w:color w:val="000000" w:themeColor="text1"/>
                <w:sz w:val="24"/>
                <w:szCs w:val="24"/>
                <w:lang w:val="en-US" w:eastAsia="zh-CN"/>
              </w:rPr>
              <w:t>、栅渣和医疗废物</w:t>
            </w:r>
            <w:r>
              <w:rPr>
                <w:rFonts w:hint="default" w:ascii="Times New Roman" w:hAnsi="Times New Roman" w:cs="Times New Roman"/>
                <w:color w:val="000000" w:themeColor="text1"/>
                <w:sz w:val="24"/>
                <w:szCs w:val="24"/>
                <w:lang w:val="en-US" w:eastAsia="zh-CN"/>
              </w:rPr>
              <w:t>存放时间短，因此产生的恶臭气体的量及浓度均不大</w:t>
            </w:r>
            <w:r>
              <w:rPr>
                <w:rFonts w:hint="eastAsia" w:cs="Times New Roman"/>
                <w:color w:val="000000" w:themeColor="text1"/>
                <w:sz w:val="24"/>
                <w:szCs w:val="24"/>
                <w:lang w:val="en-US" w:eastAsia="zh-CN"/>
              </w:rPr>
              <w:t>，</w:t>
            </w:r>
            <w:r>
              <w:rPr>
                <w:rFonts w:hint="default" w:ascii="Times New Roman" w:hAnsi="Times New Roman" w:cs="Times New Roman"/>
                <w:color w:val="000000" w:themeColor="text1"/>
                <w:sz w:val="24"/>
                <w:szCs w:val="24"/>
                <w:lang w:val="en-US" w:eastAsia="zh-CN"/>
              </w:rPr>
              <w:t>本次评价不再对危废间废气进行定量分析</w:t>
            </w:r>
            <w:r>
              <w:rPr>
                <w:rFonts w:hint="eastAsia" w:cs="Times New Roman"/>
                <w:color w:val="000000" w:themeColor="text1"/>
                <w:sz w:val="24"/>
                <w:szCs w:val="24"/>
                <w:lang w:val="en-US" w:eastAsia="zh-CN"/>
              </w:rPr>
              <w:t>。</w:t>
            </w:r>
          </w:p>
          <w:p w14:paraId="23BD5775">
            <w:pPr>
              <w:adjustRightInd w:val="0"/>
              <w:snapToGrid w:val="0"/>
              <w:spacing w:line="360" w:lineRule="auto"/>
              <w:ind w:firstLine="480" w:firstLineChars="200"/>
              <w:rPr>
                <w:rFonts w:hint="default" w:ascii="Times New Roman" w:hAnsi="Times New Roman" w:cs="Times New Roman"/>
                <w:color w:val="000000" w:themeColor="text1"/>
                <w:sz w:val="24"/>
                <w:szCs w:val="24"/>
                <w:lang w:val="en-US" w:eastAsia="zh-CN"/>
              </w:rPr>
            </w:pPr>
            <w:r>
              <w:rPr>
                <w:rFonts w:hint="default" w:ascii="Times New Roman" w:hAnsi="Times New Roman" w:cs="Times New Roman"/>
                <w:color w:val="000000" w:themeColor="text1"/>
                <w:sz w:val="24"/>
                <w:szCs w:val="24"/>
                <w:lang w:val="en-US" w:eastAsia="zh-CN"/>
              </w:rPr>
              <w:t>环评要求严格采取</w:t>
            </w:r>
            <w:r>
              <w:rPr>
                <w:rFonts w:hint="eastAsia" w:cs="Times New Roman"/>
                <w:color w:val="000000" w:themeColor="text1"/>
                <w:sz w:val="24"/>
                <w:szCs w:val="24"/>
                <w:lang w:val="en-US" w:eastAsia="zh-CN"/>
              </w:rPr>
              <w:t>限制</w:t>
            </w:r>
            <w:r>
              <w:rPr>
                <w:rFonts w:hint="default" w:ascii="Times New Roman" w:hAnsi="Times New Roman" w:cs="Times New Roman"/>
                <w:color w:val="000000" w:themeColor="text1"/>
                <w:sz w:val="24"/>
                <w:szCs w:val="24"/>
                <w:lang w:val="en-US" w:eastAsia="zh-CN"/>
              </w:rPr>
              <w:t>危险废物存放时间、医疗废物和污泥等采用密封封装的措施，加强管理，危险废物暂存间定期采用紫外消毒杀菌，避免滋生细菌，减少异味的产生。</w:t>
            </w:r>
          </w:p>
          <w:p w14:paraId="77E34E9E">
            <w:pPr>
              <w:adjustRightInd w:val="0"/>
              <w:snapToGrid w:val="0"/>
              <w:spacing w:line="360" w:lineRule="auto"/>
              <w:ind w:firstLine="480" w:firstLineChars="200"/>
              <w:rPr>
                <w:rFonts w:hint="default" w:ascii="Times New Roman" w:hAnsi="Times New Roman" w:cs="Times New Roman"/>
                <w:color w:val="000000" w:themeColor="text1"/>
                <w:sz w:val="21"/>
                <w:szCs w:val="21"/>
                <w:lang w:val="en-US" w:eastAsia="zh-CN"/>
              </w:rPr>
            </w:pPr>
            <w:r>
              <w:rPr>
                <w:rFonts w:hint="eastAsia" w:cs="Times New Roman"/>
                <w:color w:val="000000" w:themeColor="text1"/>
                <w:sz w:val="24"/>
                <w:szCs w:val="24"/>
                <w:lang w:val="en-US" w:eastAsia="zh-CN"/>
              </w:rPr>
              <w:t>根据上述工程分析，项目建成后全院废气产排污情况见下表：</w:t>
            </w:r>
          </w:p>
          <w:p w14:paraId="65519E15">
            <w:pPr>
              <w:adjustRightInd w:val="0"/>
              <w:snapToGrid w:val="0"/>
              <w:jc w:val="center"/>
              <w:rPr>
                <w:rFonts w:hint="default" w:ascii="Times New Roman" w:hAnsi="Times New Roman" w:eastAsia="宋体" w:cs="Times New Roman"/>
                <w:b/>
                <w:bCs/>
                <w:color w:val="000000" w:themeColor="text1"/>
                <w:sz w:val="21"/>
                <w:szCs w:val="21"/>
                <w:lang w:val="en-US" w:eastAsia="zh-CN"/>
              </w:rPr>
            </w:pPr>
            <w:r>
              <w:rPr>
                <w:rFonts w:hint="eastAsia" w:cs="Times New Roman"/>
                <w:b/>
                <w:bCs/>
                <w:color w:val="000000" w:themeColor="text1"/>
                <w:sz w:val="21"/>
                <w:szCs w:val="21"/>
                <w:lang w:val="en-US" w:eastAsia="zh-CN"/>
              </w:rPr>
              <w:t>表4-5 大气污染物有组织排放量核算表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275"/>
              <w:gridCol w:w="1545"/>
              <w:gridCol w:w="2070"/>
              <w:gridCol w:w="1713"/>
              <w:gridCol w:w="1414"/>
            </w:tblGrid>
            <w:tr w14:paraId="2252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vAlign w:val="center"/>
                </w:tcPr>
                <w:p w14:paraId="42226D8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default" w:ascii="Times New Roman" w:hAnsi="Times New Roman" w:eastAsia="宋体" w:cs="Times New Roman"/>
                      <w:b/>
                      <w:bCs/>
                      <w:color w:val="000000" w:themeColor="text1"/>
                      <w:sz w:val="21"/>
                      <w:szCs w:val="21"/>
                      <w:vertAlign w:val="baseline"/>
                    </w:rPr>
                    <w:t>序号</w:t>
                  </w:r>
                </w:p>
              </w:tc>
              <w:tc>
                <w:tcPr>
                  <w:tcW w:w="1275" w:type="dxa"/>
                  <w:vAlign w:val="center"/>
                </w:tcPr>
                <w:p w14:paraId="1AD727B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default" w:ascii="Times New Roman" w:hAnsi="Times New Roman" w:eastAsia="宋体" w:cs="Times New Roman"/>
                      <w:b/>
                      <w:bCs/>
                      <w:color w:val="000000" w:themeColor="text1"/>
                      <w:sz w:val="21"/>
                      <w:szCs w:val="21"/>
                      <w:vertAlign w:val="baseline"/>
                    </w:rPr>
                    <w:t>排放口编号</w:t>
                  </w:r>
                </w:p>
              </w:tc>
              <w:tc>
                <w:tcPr>
                  <w:tcW w:w="1545" w:type="dxa"/>
                  <w:vAlign w:val="center"/>
                </w:tcPr>
                <w:p w14:paraId="775019B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default" w:ascii="Times New Roman" w:hAnsi="Times New Roman" w:eastAsia="宋体" w:cs="Times New Roman"/>
                      <w:b/>
                      <w:bCs/>
                      <w:color w:val="000000" w:themeColor="text1"/>
                      <w:sz w:val="21"/>
                      <w:szCs w:val="21"/>
                      <w:vertAlign w:val="baseline"/>
                    </w:rPr>
                    <w:t>污染物</w:t>
                  </w:r>
                </w:p>
              </w:tc>
              <w:tc>
                <w:tcPr>
                  <w:tcW w:w="2070" w:type="dxa"/>
                  <w:vAlign w:val="center"/>
                </w:tcPr>
                <w:p w14:paraId="56D1B7F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default" w:ascii="Times New Roman" w:hAnsi="Times New Roman" w:eastAsia="宋体" w:cs="Times New Roman"/>
                      <w:b/>
                      <w:bCs/>
                      <w:color w:val="000000" w:themeColor="text1"/>
                      <w:sz w:val="21"/>
                      <w:szCs w:val="21"/>
                      <w:vertAlign w:val="baseline"/>
                    </w:rPr>
                    <w:t>核算排放浓度mg/m</w:t>
                  </w:r>
                  <w:r>
                    <w:rPr>
                      <w:rFonts w:hint="default" w:ascii="Times New Roman" w:hAnsi="Times New Roman" w:eastAsia="宋体" w:cs="Times New Roman"/>
                      <w:b/>
                      <w:bCs/>
                      <w:color w:val="000000" w:themeColor="text1"/>
                      <w:sz w:val="21"/>
                      <w:szCs w:val="21"/>
                      <w:vertAlign w:val="superscript"/>
                    </w:rPr>
                    <w:t>3</w:t>
                  </w:r>
                </w:p>
              </w:tc>
              <w:tc>
                <w:tcPr>
                  <w:tcW w:w="1713" w:type="dxa"/>
                  <w:vAlign w:val="center"/>
                </w:tcPr>
                <w:p w14:paraId="466077D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default" w:ascii="Times New Roman" w:hAnsi="Times New Roman" w:eastAsia="宋体" w:cs="Times New Roman"/>
                      <w:b/>
                      <w:bCs/>
                      <w:color w:val="000000" w:themeColor="text1"/>
                      <w:sz w:val="21"/>
                      <w:szCs w:val="21"/>
                      <w:vertAlign w:val="baseline"/>
                    </w:rPr>
                    <w:t>核算排放速率kg/h</w:t>
                  </w:r>
                </w:p>
              </w:tc>
              <w:tc>
                <w:tcPr>
                  <w:tcW w:w="1414" w:type="dxa"/>
                  <w:vAlign w:val="center"/>
                </w:tcPr>
                <w:p w14:paraId="34E6719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default" w:ascii="Times New Roman" w:hAnsi="Times New Roman" w:eastAsia="宋体" w:cs="Times New Roman"/>
                      <w:b/>
                      <w:bCs/>
                      <w:color w:val="000000" w:themeColor="text1"/>
                      <w:sz w:val="21"/>
                      <w:szCs w:val="21"/>
                      <w:vertAlign w:val="baseline"/>
                    </w:rPr>
                    <w:t>核算年排放量t/a</w:t>
                  </w:r>
                </w:p>
              </w:tc>
            </w:tr>
            <w:tr w14:paraId="4052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81" w:type="dxa"/>
                  <w:gridSpan w:val="6"/>
                  <w:vAlign w:val="center"/>
                </w:tcPr>
                <w:p w14:paraId="5781769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一般排放口</w:t>
                  </w:r>
                </w:p>
              </w:tc>
            </w:tr>
            <w:tr w14:paraId="5DB7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vAlign w:val="center"/>
                </w:tcPr>
                <w:p w14:paraId="387C66D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1</w:t>
                  </w:r>
                </w:p>
              </w:tc>
              <w:tc>
                <w:tcPr>
                  <w:tcW w:w="1275" w:type="dxa"/>
                  <w:vMerge w:val="restart"/>
                  <w:vAlign w:val="center"/>
                </w:tcPr>
                <w:p w14:paraId="29D1FB7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DA001</w:t>
                  </w:r>
                </w:p>
              </w:tc>
              <w:tc>
                <w:tcPr>
                  <w:tcW w:w="1545" w:type="dxa"/>
                  <w:vAlign w:val="center"/>
                </w:tcPr>
                <w:p w14:paraId="31899EC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default" w:ascii="Times New Roman" w:hAnsi="Times New Roman" w:eastAsia="宋体" w:cs="Times New Roman"/>
                      <w:color w:val="000000" w:themeColor="text1"/>
                      <w:sz w:val="21"/>
                      <w:szCs w:val="21"/>
                    </w:rPr>
                    <w:t>NH</w:t>
                  </w:r>
                  <w:r>
                    <w:rPr>
                      <w:rFonts w:hint="default" w:ascii="Times New Roman" w:hAnsi="Times New Roman" w:eastAsia="宋体" w:cs="Times New Roman"/>
                      <w:color w:val="000000" w:themeColor="text1"/>
                      <w:sz w:val="21"/>
                      <w:szCs w:val="21"/>
                      <w:vertAlign w:val="subscript"/>
                    </w:rPr>
                    <w:t>3</w:t>
                  </w:r>
                </w:p>
              </w:tc>
              <w:tc>
                <w:tcPr>
                  <w:tcW w:w="2070" w:type="dxa"/>
                  <w:vAlign w:val="center"/>
                </w:tcPr>
                <w:p w14:paraId="38461C0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0.1267</w:t>
                  </w:r>
                </w:p>
              </w:tc>
              <w:tc>
                <w:tcPr>
                  <w:tcW w:w="1713" w:type="dxa"/>
                  <w:vAlign w:val="center"/>
                </w:tcPr>
                <w:p w14:paraId="6435C87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0.00038</w:t>
                  </w:r>
                </w:p>
              </w:tc>
              <w:tc>
                <w:tcPr>
                  <w:tcW w:w="1414" w:type="dxa"/>
                  <w:vAlign w:val="center"/>
                </w:tcPr>
                <w:p w14:paraId="4EABB7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0.00332</w:t>
                  </w:r>
                </w:p>
              </w:tc>
            </w:tr>
            <w:tr w14:paraId="7A11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vAlign w:val="center"/>
                </w:tcPr>
                <w:p w14:paraId="5F00AC2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2</w:t>
                  </w:r>
                </w:p>
              </w:tc>
              <w:tc>
                <w:tcPr>
                  <w:tcW w:w="1275" w:type="dxa"/>
                  <w:vMerge w:val="continue"/>
                  <w:vAlign w:val="center"/>
                </w:tcPr>
                <w:p w14:paraId="64FA377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1545" w:type="dxa"/>
                  <w:vAlign w:val="center"/>
                </w:tcPr>
                <w:p w14:paraId="26F3B92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H</w:t>
                  </w:r>
                  <w:r>
                    <w:rPr>
                      <w:rFonts w:hint="default" w:ascii="Times New Roman" w:hAnsi="Times New Roman" w:eastAsia="宋体" w:cs="Times New Roman"/>
                      <w:color w:val="000000" w:themeColor="text1"/>
                      <w:sz w:val="21"/>
                      <w:szCs w:val="21"/>
                      <w:vertAlign w:val="subscript"/>
                    </w:rPr>
                    <w:t>2</w:t>
                  </w:r>
                  <w:r>
                    <w:rPr>
                      <w:rFonts w:hint="default" w:ascii="Times New Roman" w:hAnsi="Times New Roman" w:eastAsia="宋体" w:cs="Times New Roman"/>
                      <w:color w:val="000000" w:themeColor="text1"/>
                      <w:sz w:val="21"/>
                      <w:szCs w:val="21"/>
                    </w:rPr>
                    <w:t>S</w:t>
                  </w:r>
                </w:p>
              </w:tc>
              <w:tc>
                <w:tcPr>
                  <w:tcW w:w="2070" w:type="dxa"/>
                  <w:vAlign w:val="center"/>
                </w:tcPr>
                <w:p w14:paraId="2FAEF0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0.0033</w:t>
                  </w:r>
                </w:p>
              </w:tc>
              <w:tc>
                <w:tcPr>
                  <w:tcW w:w="1713" w:type="dxa"/>
                  <w:vAlign w:val="center"/>
                </w:tcPr>
                <w:p w14:paraId="0E128E0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0.00001</w:t>
                  </w:r>
                </w:p>
              </w:tc>
              <w:tc>
                <w:tcPr>
                  <w:tcW w:w="1414" w:type="dxa"/>
                  <w:vAlign w:val="center"/>
                </w:tcPr>
                <w:p w14:paraId="138AB56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0.00013</w:t>
                  </w:r>
                </w:p>
              </w:tc>
            </w:tr>
            <w:tr w14:paraId="19795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vAlign w:val="center"/>
                </w:tcPr>
                <w:p w14:paraId="65FC2D8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cs="Times New Roman"/>
                      <w:b w:val="0"/>
                      <w:bCs w:val="0"/>
                      <w:color w:val="000000" w:themeColor="text1"/>
                      <w:sz w:val="21"/>
                      <w:szCs w:val="21"/>
                      <w:vertAlign w:val="baseline"/>
                      <w:lang w:val="en-US" w:eastAsia="zh-CN"/>
                    </w:rPr>
                    <w:t>3</w:t>
                  </w:r>
                </w:p>
              </w:tc>
              <w:tc>
                <w:tcPr>
                  <w:tcW w:w="1275" w:type="dxa"/>
                  <w:vMerge w:val="restart"/>
                  <w:vAlign w:val="center"/>
                </w:tcPr>
                <w:p w14:paraId="2A53D73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DA002</w:t>
                  </w:r>
                </w:p>
              </w:tc>
              <w:tc>
                <w:tcPr>
                  <w:tcW w:w="1545" w:type="dxa"/>
                  <w:vAlign w:val="center"/>
                </w:tcPr>
                <w:p w14:paraId="5F486AB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cs="Times New Roman"/>
                      <w:color w:val="000000" w:themeColor="text1"/>
                      <w:sz w:val="21"/>
                      <w:szCs w:val="21"/>
                      <w:highlight w:val="none"/>
                      <w:lang w:val="en-US" w:eastAsia="zh-CN"/>
                    </w:rPr>
                    <w:t>SO</w:t>
                  </w:r>
                  <w:r>
                    <w:rPr>
                      <w:rFonts w:hint="default" w:ascii="Times New Roman" w:hAnsi="Times New Roman" w:cs="Times New Roman"/>
                      <w:color w:val="000000" w:themeColor="text1"/>
                      <w:sz w:val="21"/>
                      <w:szCs w:val="21"/>
                      <w:highlight w:val="none"/>
                      <w:vertAlign w:val="subscript"/>
                      <w:lang w:val="en-US" w:eastAsia="zh-CN"/>
                    </w:rPr>
                    <w:t>2</w:t>
                  </w:r>
                </w:p>
              </w:tc>
              <w:tc>
                <w:tcPr>
                  <w:tcW w:w="2070" w:type="dxa"/>
                  <w:vAlign w:val="center"/>
                </w:tcPr>
                <w:p w14:paraId="21553BE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18.56</w:t>
                  </w:r>
                </w:p>
              </w:tc>
              <w:tc>
                <w:tcPr>
                  <w:tcW w:w="1713" w:type="dxa"/>
                  <w:vAlign w:val="center"/>
                </w:tcPr>
                <w:p w14:paraId="4D8FCD0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0.0262</w:t>
                  </w:r>
                </w:p>
              </w:tc>
              <w:tc>
                <w:tcPr>
                  <w:tcW w:w="1414" w:type="dxa"/>
                  <w:vAlign w:val="center"/>
                </w:tcPr>
                <w:p w14:paraId="3618AB0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0.01170</w:t>
                  </w:r>
                </w:p>
              </w:tc>
            </w:tr>
            <w:tr w14:paraId="23FE0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vAlign w:val="center"/>
                </w:tcPr>
                <w:p w14:paraId="2A358CA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4</w:t>
                  </w:r>
                </w:p>
              </w:tc>
              <w:tc>
                <w:tcPr>
                  <w:tcW w:w="1275" w:type="dxa"/>
                  <w:vMerge w:val="continue"/>
                  <w:vAlign w:val="center"/>
                </w:tcPr>
                <w:p w14:paraId="0175400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1545" w:type="dxa"/>
                  <w:vAlign w:val="center"/>
                </w:tcPr>
                <w:p w14:paraId="4058C9F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cs="Times New Roman"/>
                      <w:color w:val="000000" w:themeColor="text1"/>
                      <w:sz w:val="21"/>
                      <w:szCs w:val="21"/>
                      <w:highlight w:val="none"/>
                      <w:lang w:val="en-US" w:eastAsia="zh-CN"/>
                    </w:rPr>
                    <w:t>NO</w:t>
                  </w:r>
                  <w:r>
                    <w:rPr>
                      <w:rFonts w:hint="default" w:ascii="Times New Roman" w:hAnsi="Times New Roman" w:cs="Times New Roman"/>
                      <w:color w:val="000000" w:themeColor="text1"/>
                      <w:sz w:val="21"/>
                      <w:szCs w:val="21"/>
                      <w:highlight w:val="none"/>
                      <w:vertAlign w:val="subscript"/>
                      <w:lang w:val="en-US" w:eastAsia="zh-CN"/>
                    </w:rPr>
                    <w:t>X</w:t>
                  </w:r>
                </w:p>
              </w:tc>
              <w:tc>
                <w:tcPr>
                  <w:tcW w:w="2070" w:type="dxa"/>
                  <w:vAlign w:val="center"/>
                </w:tcPr>
                <w:p w14:paraId="61C3FE4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147.18</w:t>
                  </w:r>
                </w:p>
              </w:tc>
              <w:tc>
                <w:tcPr>
                  <w:tcW w:w="1713" w:type="dxa"/>
                  <w:vAlign w:val="center"/>
                </w:tcPr>
                <w:p w14:paraId="2BF368B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0.2062</w:t>
                  </w:r>
                </w:p>
              </w:tc>
              <w:tc>
                <w:tcPr>
                  <w:tcW w:w="1414" w:type="dxa"/>
                  <w:vAlign w:val="center"/>
                </w:tcPr>
                <w:p w14:paraId="525A951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0.09280</w:t>
                  </w:r>
                </w:p>
              </w:tc>
            </w:tr>
            <w:tr w14:paraId="0478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 w:type="dxa"/>
                  <w:vAlign w:val="center"/>
                </w:tcPr>
                <w:p w14:paraId="3DEF942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5</w:t>
                  </w:r>
                </w:p>
              </w:tc>
              <w:tc>
                <w:tcPr>
                  <w:tcW w:w="1275" w:type="dxa"/>
                  <w:vMerge w:val="continue"/>
                  <w:vAlign w:val="center"/>
                </w:tcPr>
                <w:p w14:paraId="00039F3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1545" w:type="dxa"/>
                  <w:vAlign w:val="center"/>
                </w:tcPr>
                <w:p w14:paraId="20242C3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颗粒物</w:t>
                  </w:r>
                </w:p>
              </w:tc>
              <w:tc>
                <w:tcPr>
                  <w:tcW w:w="2070" w:type="dxa"/>
                  <w:vAlign w:val="center"/>
                </w:tcPr>
                <w:p w14:paraId="16B8B72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9.64</w:t>
                  </w:r>
                </w:p>
              </w:tc>
              <w:tc>
                <w:tcPr>
                  <w:tcW w:w="1713" w:type="dxa"/>
                  <w:vAlign w:val="center"/>
                </w:tcPr>
                <w:p w14:paraId="3A32D7D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0.0135</w:t>
                  </w:r>
                </w:p>
              </w:tc>
              <w:tc>
                <w:tcPr>
                  <w:tcW w:w="1414" w:type="dxa"/>
                  <w:vAlign w:val="center"/>
                </w:tcPr>
                <w:p w14:paraId="50807E7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0.00608</w:t>
                  </w:r>
                </w:p>
              </w:tc>
            </w:tr>
            <w:tr w14:paraId="5F77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9" w:type="dxa"/>
                  <w:gridSpan w:val="2"/>
                  <w:vMerge w:val="restart"/>
                  <w:vAlign w:val="center"/>
                </w:tcPr>
                <w:p w14:paraId="199F09B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一般排放口合计</w:t>
                  </w:r>
                </w:p>
              </w:tc>
              <w:tc>
                <w:tcPr>
                  <w:tcW w:w="5328" w:type="dxa"/>
                  <w:gridSpan w:val="3"/>
                  <w:vAlign w:val="center"/>
                </w:tcPr>
                <w:p w14:paraId="11CD177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NH</w:t>
                  </w:r>
                  <w:r>
                    <w:rPr>
                      <w:rFonts w:hint="default" w:ascii="Times New Roman" w:hAnsi="Times New Roman" w:eastAsia="宋体" w:cs="Times New Roman"/>
                      <w:color w:val="000000" w:themeColor="text1"/>
                      <w:sz w:val="21"/>
                      <w:szCs w:val="21"/>
                      <w:vertAlign w:val="subscript"/>
                    </w:rPr>
                    <w:t>3</w:t>
                  </w:r>
                </w:p>
              </w:tc>
              <w:tc>
                <w:tcPr>
                  <w:tcW w:w="1414" w:type="dxa"/>
                  <w:vAlign w:val="center"/>
                </w:tcPr>
                <w:p w14:paraId="202FF21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cs="Times New Roman"/>
                      <w:b w:val="0"/>
                      <w:bCs w:val="0"/>
                      <w:color w:val="000000" w:themeColor="text1"/>
                      <w:sz w:val="21"/>
                      <w:szCs w:val="21"/>
                      <w:vertAlign w:val="baseline"/>
                      <w:lang w:val="en-US" w:eastAsia="zh-CN"/>
                    </w:rPr>
                    <w:t>0.00332</w:t>
                  </w:r>
                </w:p>
              </w:tc>
            </w:tr>
            <w:tr w14:paraId="34340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9" w:type="dxa"/>
                  <w:gridSpan w:val="2"/>
                  <w:vMerge w:val="continue"/>
                  <w:vAlign w:val="center"/>
                </w:tcPr>
                <w:p w14:paraId="623C0F2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5328" w:type="dxa"/>
                  <w:gridSpan w:val="3"/>
                  <w:vAlign w:val="center"/>
                </w:tcPr>
                <w:p w14:paraId="0F50FD1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H</w:t>
                  </w:r>
                  <w:r>
                    <w:rPr>
                      <w:rFonts w:hint="default" w:ascii="Times New Roman" w:hAnsi="Times New Roman" w:eastAsia="宋体" w:cs="Times New Roman"/>
                      <w:color w:val="000000" w:themeColor="text1"/>
                      <w:sz w:val="21"/>
                      <w:szCs w:val="21"/>
                      <w:vertAlign w:val="subscript"/>
                    </w:rPr>
                    <w:t>2</w:t>
                  </w:r>
                  <w:r>
                    <w:rPr>
                      <w:rFonts w:hint="default" w:ascii="Times New Roman" w:hAnsi="Times New Roman" w:eastAsia="宋体" w:cs="Times New Roman"/>
                      <w:color w:val="000000" w:themeColor="text1"/>
                      <w:sz w:val="21"/>
                      <w:szCs w:val="21"/>
                    </w:rPr>
                    <w:t>S</w:t>
                  </w:r>
                </w:p>
              </w:tc>
              <w:tc>
                <w:tcPr>
                  <w:tcW w:w="1414" w:type="dxa"/>
                  <w:vAlign w:val="center"/>
                </w:tcPr>
                <w:p w14:paraId="628F90A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cs="Times New Roman"/>
                      <w:b w:val="0"/>
                      <w:bCs w:val="0"/>
                      <w:color w:val="000000" w:themeColor="text1"/>
                      <w:sz w:val="21"/>
                      <w:szCs w:val="21"/>
                      <w:vertAlign w:val="baseline"/>
                      <w:lang w:val="en-US" w:eastAsia="zh-CN"/>
                    </w:rPr>
                    <w:t>0.00013</w:t>
                  </w:r>
                </w:p>
              </w:tc>
            </w:tr>
            <w:tr w14:paraId="7252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9" w:type="dxa"/>
                  <w:gridSpan w:val="2"/>
                  <w:vMerge w:val="continue"/>
                  <w:vAlign w:val="center"/>
                </w:tcPr>
                <w:p w14:paraId="5B9FC4E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5328" w:type="dxa"/>
                  <w:gridSpan w:val="3"/>
                  <w:vAlign w:val="center"/>
                </w:tcPr>
                <w:p w14:paraId="5153EDB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cs="Times New Roman"/>
                      <w:color w:val="000000" w:themeColor="text1"/>
                      <w:sz w:val="21"/>
                      <w:szCs w:val="21"/>
                      <w:highlight w:val="none"/>
                      <w:lang w:val="en-US" w:eastAsia="zh-CN"/>
                    </w:rPr>
                    <w:t>SO</w:t>
                  </w:r>
                  <w:r>
                    <w:rPr>
                      <w:rFonts w:hint="default" w:ascii="Times New Roman" w:hAnsi="Times New Roman" w:cs="Times New Roman"/>
                      <w:color w:val="000000" w:themeColor="text1"/>
                      <w:sz w:val="21"/>
                      <w:szCs w:val="21"/>
                      <w:highlight w:val="none"/>
                      <w:vertAlign w:val="subscript"/>
                      <w:lang w:val="en-US" w:eastAsia="zh-CN"/>
                    </w:rPr>
                    <w:t>2</w:t>
                  </w:r>
                </w:p>
              </w:tc>
              <w:tc>
                <w:tcPr>
                  <w:tcW w:w="1414" w:type="dxa"/>
                  <w:vAlign w:val="center"/>
                </w:tcPr>
                <w:p w14:paraId="243B0EC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cs="Times New Roman"/>
                      <w:b w:val="0"/>
                      <w:bCs w:val="0"/>
                      <w:color w:val="000000" w:themeColor="text1"/>
                      <w:sz w:val="21"/>
                      <w:szCs w:val="21"/>
                      <w:vertAlign w:val="baseline"/>
                      <w:lang w:val="en-US" w:eastAsia="zh-CN"/>
                    </w:rPr>
                    <w:t>0.01170</w:t>
                  </w:r>
                </w:p>
              </w:tc>
            </w:tr>
            <w:tr w14:paraId="7362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9" w:type="dxa"/>
                  <w:gridSpan w:val="2"/>
                  <w:vMerge w:val="continue"/>
                  <w:vAlign w:val="center"/>
                </w:tcPr>
                <w:p w14:paraId="78A0EE2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5328" w:type="dxa"/>
                  <w:gridSpan w:val="3"/>
                  <w:vAlign w:val="center"/>
                </w:tcPr>
                <w:p w14:paraId="2DFE2A4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cs="Times New Roman"/>
                      <w:color w:val="000000" w:themeColor="text1"/>
                      <w:sz w:val="21"/>
                      <w:szCs w:val="21"/>
                      <w:highlight w:val="none"/>
                      <w:lang w:val="en-US" w:eastAsia="zh-CN"/>
                    </w:rPr>
                    <w:t>NO</w:t>
                  </w:r>
                  <w:r>
                    <w:rPr>
                      <w:rFonts w:hint="default" w:ascii="Times New Roman" w:hAnsi="Times New Roman" w:cs="Times New Roman"/>
                      <w:color w:val="000000" w:themeColor="text1"/>
                      <w:sz w:val="21"/>
                      <w:szCs w:val="21"/>
                      <w:highlight w:val="none"/>
                      <w:vertAlign w:val="subscript"/>
                      <w:lang w:val="en-US" w:eastAsia="zh-CN"/>
                    </w:rPr>
                    <w:t>X</w:t>
                  </w:r>
                </w:p>
              </w:tc>
              <w:tc>
                <w:tcPr>
                  <w:tcW w:w="1414" w:type="dxa"/>
                  <w:vAlign w:val="center"/>
                </w:tcPr>
                <w:p w14:paraId="287681B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cs="Times New Roman"/>
                      <w:b w:val="0"/>
                      <w:bCs w:val="0"/>
                      <w:color w:val="000000" w:themeColor="text1"/>
                      <w:sz w:val="21"/>
                      <w:szCs w:val="21"/>
                      <w:vertAlign w:val="baseline"/>
                      <w:lang w:val="en-US" w:eastAsia="zh-CN"/>
                    </w:rPr>
                    <w:t>0.09280</w:t>
                  </w:r>
                </w:p>
              </w:tc>
            </w:tr>
            <w:tr w14:paraId="6BC3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39" w:type="dxa"/>
                  <w:gridSpan w:val="2"/>
                  <w:vMerge w:val="continue"/>
                  <w:vAlign w:val="center"/>
                </w:tcPr>
                <w:p w14:paraId="58BD813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5328" w:type="dxa"/>
                  <w:gridSpan w:val="3"/>
                  <w:vAlign w:val="center"/>
                </w:tcPr>
                <w:p w14:paraId="4595484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cs="Times New Roman"/>
                      <w:b w:val="0"/>
                      <w:bCs w:val="0"/>
                      <w:color w:val="000000" w:themeColor="text1"/>
                      <w:sz w:val="21"/>
                      <w:szCs w:val="21"/>
                      <w:vertAlign w:val="baseline"/>
                      <w:lang w:val="en-US" w:eastAsia="zh-CN"/>
                    </w:rPr>
                    <w:t>颗粒物</w:t>
                  </w:r>
                </w:p>
              </w:tc>
              <w:tc>
                <w:tcPr>
                  <w:tcW w:w="1414" w:type="dxa"/>
                  <w:vAlign w:val="center"/>
                </w:tcPr>
                <w:p w14:paraId="75C6636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cs="Times New Roman"/>
                      <w:b w:val="0"/>
                      <w:bCs w:val="0"/>
                      <w:color w:val="000000" w:themeColor="text1"/>
                      <w:sz w:val="21"/>
                      <w:szCs w:val="21"/>
                      <w:vertAlign w:val="baseline"/>
                      <w:lang w:val="en-US" w:eastAsia="zh-CN"/>
                    </w:rPr>
                    <w:t>0.00608</w:t>
                  </w:r>
                </w:p>
              </w:tc>
            </w:tr>
          </w:tbl>
          <w:p w14:paraId="6A4FA4CA">
            <w:pPr>
              <w:adjustRightInd w:val="0"/>
              <w:snapToGrid w:val="0"/>
              <w:spacing w:line="360" w:lineRule="auto"/>
              <w:jc w:val="center"/>
              <w:rPr>
                <w:rFonts w:hint="default" w:ascii="Times New Roman" w:hAnsi="Times New Roman" w:eastAsia="宋体" w:cs="Times New Roman"/>
                <w:b/>
                <w:bCs/>
                <w:color w:val="000000" w:themeColor="text1"/>
                <w:sz w:val="21"/>
                <w:szCs w:val="21"/>
                <w:lang w:val="en-US" w:eastAsia="zh-CN"/>
              </w:rPr>
            </w:pPr>
            <w:r>
              <w:rPr>
                <w:rFonts w:hint="eastAsia" w:cs="Times New Roman"/>
                <w:b/>
                <w:bCs/>
                <w:color w:val="000000" w:themeColor="text1"/>
                <w:sz w:val="21"/>
                <w:szCs w:val="21"/>
                <w:lang w:val="en-US" w:eastAsia="zh-CN"/>
              </w:rPr>
              <w:t>表4-6 大气污染物无组织排放量核算表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
              <w:gridCol w:w="990"/>
              <w:gridCol w:w="900"/>
              <w:gridCol w:w="1695"/>
              <w:gridCol w:w="2370"/>
              <w:gridCol w:w="1215"/>
              <w:gridCol w:w="922"/>
            </w:tblGrid>
            <w:tr w14:paraId="3ECC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dxa"/>
                  <w:vMerge w:val="restart"/>
                  <w:vAlign w:val="center"/>
                </w:tcPr>
                <w:p w14:paraId="24DC267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序号</w:t>
                  </w:r>
                </w:p>
              </w:tc>
              <w:tc>
                <w:tcPr>
                  <w:tcW w:w="990" w:type="dxa"/>
                  <w:vMerge w:val="restart"/>
                  <w:vAlign w:val="center"/>
                </w:tcPr>
                <w:p w14:paraId="31A973F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产污环节</w:t>
                  </w:r>
                </w:p>
              </w:tc>
              <w:tc>
                <w:tcPr>
                  <w:tcW w:w="900" w:type="dxa"/>
                  <w:vMerge w:val="restart"/>
                  <w:vAlign w:val="center"/>
                </w:tcPr>
                <w:p w14:paraId="2CE32F6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污染物</w:t>
                  </w:r>
                </w:p>
              </w:tc>
              <w:tc>
                <w:tcPr>
                  <w:tcW w:w="1695" w:type="dxa"/>
                  <w:vMerge w:val="restart"/>
                  <w:vAlign w:val="center"/>
                </w:tcPr>
                <w:p w14:paraId="0D00E0B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主要污染防治措施</w:t>
                  </w:r>
                </w:p>
              </w:tc>
              <w:tc>
                <w:tcPr>
                  <w:tcW w:w="3585" w:type="dxa"/>
                  <w:gridSpan w:val="2"/>
                  <w:vAlign w:val="center"/>
                </w:tcPr>
                <w:p w14:paraId="71B4425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国家或地方污染物排放标准</w:t>
                  </w:r>
                </w:p>
              </w:tc>
              <w:tc>
                <w:tcPr>
                  <w:tcW w:w="922" w:type="dxa"/>
                  <w:vMerge w:val="restart"/>
                  <w:vAlign w:val="center"/>
                </w:tcPr>
                <w:p w14:paraId="7FE640D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年排放量（t/a）</w:t>
                  </w:r>
                </w:p>
              </w:tc>
            </w:tr>
            <w:tr w14:paraId="5B4FC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dxa"/>
                  <w:vMerge w:val="continue"/>
                  <w:vAlign w:val="center"/>
                </w:tcPr>
                <w:p w14:paraId="1791EB3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p>
              </w:tc>
              <w:tc>
                <w:tcPr>
                  <w:tcW w:w="990" w:type="dxa"/>
                  <w:vMerge w:val="continue"/>
                  <w:vAlign w:val="center"/>
                </w:tcPr>
                <w:p w14:paraId="75AD314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p>
              </w:tc>
              <w:tc>
                <w:tcPr>
                  <w:tcW w:w="900" w:type="dxa"/>
                  <w:vMerge w:val="continue"/>
                  <w:vAlign w:val="center"/>
                </w:tcPr>
                <w:p w14:paraId="1BBD8C0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p>
              </w:tc>
              <w:tc>
                <w:tcPr>
                  <w:tcW w:w="1695" w:type="dxa"/>
                  <w:vMerge w:val="continue"/>
                  <w:vAlign w:val="center"/>
                </w:tcPr>
                <w:p w14:paraId="15CE87C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p>
              </w:tc>
              <w:tc>
                <w:tcPr>
                  <w:tcW w:w="2370" w:type="dxa"/>
                  <w:vAlign w:val="center"/>
                </w:tcPr>
                <w:p w14:paraId="4571D0B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标准名称</w:t>
                  </w:r>
                </w:p>
              </w:tc>
              <w:tc>
                <w:tcPr>
                  <w:tcW w:w="1215" w:type="dxa"/>
                  <w:vAlign w:val="center"/>
                </w:tcPr>
                <w:p w14:paraId="1BB882A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r>
                    <w:rPr>
                      <w:rFonts w:hint="eastAsia" w:ascii="Times New Roman" w:hAnsi="Times New Roman" w:eastAsia="宋体" w:cs="Times New Roman"/>
                      <w:b/>
                      <w:bCs/>
                      <w:color w:val="000000" w:themeColor="text1"/>
                      <w:sz w:val="21"/>
                      <w:szCs w:val="21"/>
                      <w:vertAlign w:val="baseline"/>
                      <w:lang w:val="en-US" w:eastAsia="zh-CN"/>
                    </w:rPr>
                    <w:t>浓度限值</w:t>
                  </w:r>
                </w:p>
              </w:tc>
              <w:tc>
                <w:tcPr>
                  <w:tcW w:w="922" w:type="dxa"/>
                  <w:vMerge w:val="continue"/>
                  <w:vAlign w:val="center"/>
                </w:tcPr>
                <w:p w14:paraId="299DA4D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vertAlign w:val="baseline"/>
                    </w:rPr>
                  </w:pPr>
                </w:p>
              </w:tc>
            </w:tr>
            <w:tr w14:paraId="49FA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dxa"/>
                  <w:vAlign w:val="center"/>
                </w:tcPr>
                <w:p w14:paraId="2F2AFE7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1</w:t>
                  </w:r>
                </w:p>
              </w:tc>
              <w:tc>
                <w:tcPr>
                  <w:tcW w:w="990" w:type="dxa"/>
                  <w:vMerge w:val="restart"/>
                  <w:vAlign w:val="center"/>
                </w:tcPr>
                <w:p w14:paraId="38F3C32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污水处理站恶臭</w:t>
                  </w:r>
                </w:p>
              </w:tc>
              <w:tc>
                <w:tcPr>
                  <w:tcW w:w="900" w:type="dxa"/>
                  <w:vAlign w:val="center"/>
                </w:tcPr>
                <w:p w14:paraId="1340CA9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NH</w:t>
                  </w:r>
                  <w:r>
                    <w:rPr>
                      <w:rFonts w:hint="default" w:ascii="Times New Roman" w:hAnsi="Times New Roman" w:eastAsia="宋体" w:cs="Times New Roman"/>
                      <w:color w:val="000000" w:themeColor="text1"/>
                      <w:sz w:val="21"/>
                      <w:szCs w:val="21"/>
                      <w:vertAlign w:val="subscript"/>
                    </w:rPr>
                    <w:t>3</w:t>
                  </w:r>
                </w:p>
              </w:tc>
              <w:tc>
                <w:tcPr>
                  <w:tcW w:w="1695" w:type="dxa"/>
                  <w:vMerge w:val="restart"/>
                  <w:vAlign w:val="center"/>
                </w:tcPr>
                <w:p w14:paraId="44EF213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b w:val="0"/>
                      <w:bCs w:val="0"/>
                      <w:color w:val="000000" w:themeColor="text1"/>
                      <w:sz w:val="21"/>
                      <w:szCs w:val="21"/>
                      <w:vertAlign w:val="baseline"/>
                    </w:rPr>
                    <w:t>污水处理站设于地下，</w:t>
                  </w:r>
                  <w:r>
                    <w:rPr>
                      <w:rFonts w:hint="eastAsia" w:cs="Times New Roman"/>
                      <w:b w:val="0"/>
                      <w:bCs w:val="0"/>
                      <w:color w:val="000000" w:themeColor="text1"/>
                      <w:sz w:val="21"/>
                      <w:szCs w:val="21"/>
                      <w:vertAlign w:val="baseline"/>
                      <w:lang w:val="en-US" w:eastAsia="zh-CN"/>
                    </w:rPr>
                    <w:t>废气集中</w:t>
                  </w:r>
                  <w:r>
                    <w:rPr>
                      <w:rFonts w:hint="default" w:ascii="Times New Roman" w:hAnsi="Times New Roman" w:eastAsia="宋体" w:cs="Times New Roman"/>
                      <w:b w:val="0"/>
                      <w:bCs w:val="0"/>
                      <w:color w:val="000000" w:themeColor="text1"/>
                      <w:sz w:val="21"/>
                      <w:szCs w:val="21"/>
                      <w:vertAlign w:val="baseline"/>
                    </w:rPr>
                    <w:t>收集</w:t>
                  </w:r>
                  <w:r>
                    <w:rPr>
                      <w:rFonts w:hint="eastAsia" w:cs="Times New Roman"/>
                      <w:b w:val="0"/>
                      <w:bCs w:val="0"/>
                      <w:color w:val="000000" w:themeColor="text1"/>
                      <w:sz w:val="21"/>
                      <w:szCs w:val="21"/>
                      <w:vertAlign w:val="baseline"/>
                      <w:lang w:val="en-US" w:eastAsia="zh-CN"/>
                    </w:rPr>
                    <w:t>处理</w:t>
                  </w:r>
                  <w:r>
                    <w:rPr>
                      <w:rFonts w:hint="default" w:ascii="Times New Roman" w:hAnsi="Times New Roman" w:eastAsia="宋体" w:cs="Times New Roman"/>
                      <w:b w:val="0"/>
                      <w:bCs w:val="0"/>
                      <w:color w:val="000000" w:themeColor="text1"/>
                      <w:sz w:val="21"/>
                      <w:szCs w:val="21"/>
                      <w:vertAlign w:val="baseline"/>
                    </w:rPr>
                    <w:t>后通过排气筒排放</w:t>
                  </w:r>
                </w:p>
              </w:tc>
              <w:tc>
                <w:tcPr>
                  <w:tcW w:w="2370" w:type="dxa"/>
                  <w:vMerge w:val="restart"/>
                  <w:vAlign w:val="center"/>
                </w:tcPr>
                <w:p w14:paraId="447C1E1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b w:val="0"/>
                      <w:bCs w:val="0"/>
                      <w:color w:val="000000" w:themeColor="text1"/>
                      <w:sz w:val="21"/>
                      <w:szCs w:val="21"/>
                      <w:vertAlign w:val="baseline"/>
                    </w:rPr>
                    <w:t>《医疗机构水污染物排放标准》（GB18466-</w:t>
                  </w:r>
                  <w:r>
                    <w:rPr>
                      <w:rFonts w:hint="eastAsia" w:cs="Times New Roman"/>
                      <w:b w:val="0"/>
                      <w:bCs w:val="0"/>
                      <w:color w:val="000000" w:themeColor="text1"/>
                      <w:sz w:val="21"/>
                      <w:szCs w:val="21"/>
                      <w:vertAlign w:val="baseline"/>
                      <w:lang w:val="en-US" w:eastAsia="zh-CN"/>
                    </w:rPr>
                    <w:t xml:space="preserve"> </w:t>
                  </w:r>
                  <w:r>
                    <w:rPr>
                      <w:rFonts w:hint="default" w:ascii="Times New Roman" w:hAnsi="Times New Roman" w:eastAsia="宋体" w:cs="Times New Roman"/>
                      <w:b w:val="0"/>
                      <w:bCs w:val="0"/>
                      <w:color w:val="000000" w:themeColor="text1"/>
                      <w:sz w:val="21"/>
                      <w:szCs w:val="21"/>
                      <w:vertAlign w:val="baseline"/>
                    </w:rPr>
                    <w:t>2005）表3污水处理站周边大气污染物最高允许浓度标准限值要求</w:t>
                  </w:r>
                </w:p>
              </w:tc>
              <w:tc>
                <w:tcPr>
                  <w:tcW w:w="1215" w:type="dxa"/>
                  <w:vAlign w:val="center"/>
                </w:tcPr>
                <w:p w14:paraId="7D0D1F9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1.0</w:t>
                  </w:r>
                  <w:r>
                    <w:rPr>
                      <w:rFonts w:hint="eastAsia" w:ascii="Times New Roman" w:hAnsi="Times New Roman" w:eastAsia="宋体" w:cs="Times New Roman"/>
                      <w:color w:val="000000" w:themeColor="text1"/>
                      <w:kern w:val="0"/>
                      <w:sz w:val="21"/>
                      <w:szCs w:val="21"/>
                      <w:u w:val="none" w:color="auto"/>
                      <w:lang w:val="en-US" w:eastAsia="zh-CN"/>
                    </w:rPr>
                    <w:t>mg/m</w:t>
                  </w:r>
                  <w:r>
                    <w:rPr>
                      <w:rFonts w:hint="eastAsia" w:ascii="Times New Roman" w:hAnsi="Times New Roman" w:eastAsia="宋体" w:cs="Times New Roman"/>
                      <w:color w:val="000000" w:themeColor="text1"/>
                      <w:kern w:val="0"/>
                      <w:sz w:val="21"/>
                      <w:szCs w:val="21"/>
                      <w:u w:val="none" w:color="auto"/>
                      <w:vertAlign w:val="superscript"/>
                      <w:lang w:val="en-US" w:eastAsia="zh-CN"/>
                    </w:rPr>
                    <w:t>3</w:t>
                  </w:r>
                </w:p>
              </w:tc>
              <w:tc>
                <w:tcPr>
                  <w:tcW w:w="922" w:type="dxa"/>
                  <w:vAlign w:val="center"/>
                </w:tcPr>
                <w:p w14:paraId="4755598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0.00087</w:t>
                  </w:r>
                </w:p>
              </w:tc>
            </w:tr>
            <w:tr w14:paraId="4353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dxa"/>
                  <w:vAlign w:val="center"/>
                </w:tcPr>
                <w:p w14:paraId="65E1E81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2</w:t>
                  </w:r>
                </w:p>
              </w:tc>
              <w:tc>
                <w:tcPr>
                  <w:tcW w:w="990" w:type="dxa"/>
                  <w:vMerge w:val="continue"/>
                  <w:vAlign w:val="center"/>
                </w:tcPr>
                <w:p w14:paraId="00D8A28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900" w:type="dxa"/>
                  <w:vAlign w:val="center"/>
                </w:tcPr>
                <w:p w14:paraId="27B9DC5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H</w:t>
                  </w:r>
                  <w:r>
                    <w:rPr>
                      <w:rFonts w:hint="default" w:ascii="Times New Roman" w:hAnsi="Times New Roman" w:eastAsia="宋体" w:cs="Times New Roman"/>
                      <w:color w:val="000000" w:themeColor="text1"/>
                      <w:sz w:val="21"/>
                      <w:szCs w:val="21"/>
                      <w:vertAlign w:val="subscript"/>
                    </w:rPr>
                    <w:t>2</w:t>
                  </w:r>
                  <w:r>
                    <w:rPr>
                      <w:rFonts w:hint="default" w:ascii="Times New Roman" w:hAnsi="Times New Roman" w:eastAsia="宋体" w:cs="Times New Roman"/>
                      <w:color w:val="000000" w:themeColor="text1"/>
                      <w:sz w:val="21"/>
                      <w:szCs w:val="21"/>
                    </w:rPr>
                    <w:t>S</w:t>
                  </w:r>
                </w:p>
              </w:tc>
              <w:tc>
                <w:tcPr>
                  <w:tcW w:w="1695" w:type="dxa"/>
                  <w:vMerge w:val="continue"/>
                  <w:vAlign w:val="center"/>
                </w:tcPr>
                <w:p w14:paraId="44CDB67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2370" w:type="dxa"/>
                  <w:vMerge w:val="continue"/>
                  <w:vAlign w:val="center"/>
                </w:tcPr>
                <w:p w14:paraId="3FD331B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1215" w:type="dxa"/>
                  <w:vAlign w:val="center"/>
                </w:tcPr>
                <w:p w14:paraId="3C8FE70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0.03</w:t>
                  </w:r>
                  <w:r>
                    <w:rPr>
                      <w:rFonts w:hint="eastAsia" w:ascii="Times New Roman" w:hAnsi="Times New Roman" w:eastAsia="宋体" w:cs="Times New Roman"/>
                      <w:color w:val="000000" w:themeColor="text1"/>
                      <w:kern w:val="0"/>
                      <w:sz w:val="21"/>
                      <w:szCs w:val="21"/>
                      <w:u w:val="none" w:color="auto"/>
                      <w:lang w:val="en-US" w:eastAsia="zh-CN"/>
                    </w:rPr>
                    <w:t>mg/m</w:t>
                  </w:r>
                  <w:r>
                    <w:rPr>
                      <w:rFonts w:hint="eastAsia" w:ascii="Times New Roman" w:hAnsi="Times New Roman" w:eastAsia="宋体" w:cs="Times New Roman"/>
                      <w:color w:val="000000" w:themeColor="text1"/>
                      <w:kern w:val="0"/>
                      <w:sz w:val="21"/>
                      <w:szCs w:val="21"/>
                      <w:u w:val="none" w:color="auto"/>
                      <w:vertAlign w:val="superscript"/>
                      <w:lang w:val="en-US" w:eastAsia="zh-CN"/>
                    </w:rPr>
                    <w:t>3</w:t>
                  </w:r>
                </w:p>
              </w:tc>
              <w:tc>
                <w:tcPr>
                  <w:tcW w:w="922" w:type="dxa"/>
                  <w:vAlign w:val="center"/>
                </w:tcPr>
                <w:p w14:paraId="304363E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0.00003</w:t>
                  </w:r>
                </w:p>
              </w:tc>
            </w:tr>
            <w:tr w14:paraId="6A48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9" w:type="dxa"/>
                  <w:gridSpan w:val="2"/>
                  <w:vMerge w:val="restart"/>
                  <w:vAlign w:val="center"/>
                </w:tcPr>
                <w:p w14:paraId="145F981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无组织排放总计</w:t>
                  </w:r>
                </w:p>
              </w:tc>
              <w:tc>
                <w:tcPr>
                  <w:tcW w:w="4965" w:type="dxa"/>
                  <w:gridSpan w:val="3"/>
                  <w:vAlign w:val="center"/>
                </w:tcPr>
                <w:p w14:paraId="4EC74A8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NH</w:t>
                  </w:r>
                  <w:r>
                    <w:rPr>
                      <w:rFonts w:hint="default" w:ascii="Times New Roman" w:hAnsi="Times New Roman" w:eastAsia="宋体" w:cs="Times New Roman"/>
                      <w:color w:val="000000" w:themeColor="text1"/>
                      <w:sz w:val="21"/>
                      <w:szCs w:val="21"/>
                      <w:vertAlign w:val="subscript"/>
                    </w:rPr>
                    <w:t>3</w:t>
                  </w:r>
                </w:p>
              </w:tc>
              <w:tc>
                <w:tcPr>
                  <w:tcW w:w="2137" w:type="dxa"/>
                  <w:gridSpan w:val="2"/>
                  <w:vAlign w:val="center"/>
                </w:tcPr>
                <w:p w14:paraId="3744089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cs="Times New Roman"/>
                      <w:b w:val="0"/>
                      <w:bCs w:val="0"/>
                      <w:color w:val="000000" w:themeColor="text1"/>
                      <w:sz w:val="21"/>
                      <w:szCs w:val="21"/>
                      <w:vertAlign w:val="baseline"/>
                      <w:lang w:val="en-US" w:eastAsia="zh-CN"/>
                    </w:rPr>
                    <w:t>0.00087</w:t>
                  </w:r>
                </w:p>
              </w:tc>
            </w:tr>
            <w:tr w14:paraId="5682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9" w:type="dxa"/>
                  <w:gridSpan w:val="2"/>
                  <w:vMerge w:val="continue"/>
                  <w:vAlign w:val="center"/>
                </w:tcPr>
                <w:p w14:paraId="19FD028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p>
              </w:tc>
              <w:tc>
                <w:tcPr>
                  <w:tcW w:w="4965" w:type="dxa"/>
                  <w:gridSpan w:val="3"/>
                  <w:vAlign w:val="center"/>
                </w:tcPr>
                <w:p w14:paraId="50D0E57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H</w:t>
                  </w:r>
                  <w:r>
                    <w:rPr>
                      <w:rFonts w:hint="default" w:ascii="Times New Roman" w:hAnsi="Times New Roman" w:eastAsia="宋体" w:cs="Times New Roman"/>
                      <w:color w:val="000000" w:themeColor="text1"/>
                      <w:sz w:val="21"/>
                      <w:szCs w:val="21"/>
                      <w:vertAlign w:val="subscript"/>
                    </w:rPr>
                    <w:t>2</w:t>
                  </w:r>
                  <w:r>
                    <w:rPr>
                      <w:rFonts w:hint="default" w:ascii="Times New Roman" w:hAnsi="Times New Roman" w:eastAsia="宋体" w:cs="Times New Roman"/>
                      <w:color w:val="000000" w:themeColor="text1"/>
                      <w:sz w:val="21"/>
                      <w:szCs w:val="21"/>
                    </w:rPr>
                    <w:t>S</w:t>
                  </w:r>
                </w:p>
              </w:tc>
              <w:tc>
                <w:tcPr>
                  <w:tcW w:w="2137" w:type="dxa"/>
                  <w:gridSpan w:val="2"/>
                  <w:vAlign w:val="center"/>
                </w:tcPr>
                <w:p w14:paraId="503F341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cs="Times New Roman"/>
                      <w:b w:val="0"/>
                      <w:bCs w:val="0"/>
                      <w:color w:val="000000" w:themeColor="text1"/>
                      <w:sz w:val="21"/>
                      <w:szCs w:val="21"/>
                      <w:vertAlign w:val="baseline"/>
                      <w:lang w:val="en-US" w:eastAsia="zh-CN"/>
                    </w:rPr>
                    <w:t>0.00003</w:t>
                  </w:r>
                </w:p>
              </w:tc>
            </w:tr>
          </w:tbl>
          <w:p w14:paraId="115BBC9B">
            <w:pPr>
              <w:adjustRightInd w:val="0"/>
              <w:snapToGrid w:val="0"/>
              <w:spacing w:line="360" w:lineRule="auto"/>
              <w:ind w:firstLine="480" w:firstLineChars="200"/>
              <w:jc w:val="both"/>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val="0"/>
                <w:bCs w:val="0"/>
                <w:color w:val="000000" w:themeColor="text1"/>
                <w:sz w:val="24"/>
                <w:szCs w:val="24"/>
              </w:rPr>
              <w:t>项目大气污染物年排放量核算见下表。</w:t>
            </w:r>
          </w:p>
          <w:p w14:paraId="078B0DE1">
            <w:pPr>
              <w:adjustRightInd w:val="0"/>
              <w:snapToGrid w:val="0"/>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b/>
                <w:bCs/>
                <w:color w:val="000000" w:themeColor="text1"/>
                <w:sz w:val="21"/>
                <w:szCs w:val="21"/>
              </w:rPr>
              <w:t>表4-</w:t>
            </w:r>
            <w:r>
              <w:rPr>
                <w:rFonts w:hint="eastAsia" w:cs="Times New Roman"/>
                <w:b/>
                <w:bCs/>
                <w:color w:val="000000" w:themeColor="text1"/>
                <w:sz w:val="21"/>
                <w:szCs w:val="21"/>
                <w:lang w:val="en-US" w:eastAsia="zh-CN"/>
              </w:rPr>
              <w:t>7</w:t>
            </w:r>
            <w:r>
              <w:rPr>
                <w:rFonts w:hint="default" w:ascii="Times New Roman" w:hAnsi="Times New Roman" w:eastAsia="宋体" w:cs="Times New Roman"/>
                <w:b/>
                <w:bCs/>
                <w:color w:val="000000" w:themeColor="text1"/>
                <w:sz w:val="21"/>
                <w:szCs w:val="21"/>
              </w:rPr>
              <w:t xml:space="preserve"> 大气污染物</w:t>
            </w:r>
            <w:r>
              <w:rPr>
                <w:rFonts w:hint="eastAsia" w:cs="Times New Roman"/>
                <w:b/>
                <w:bCs/>
                <w:color w:val="000000" w:themeColor="text1"/>
                <w:sz w:val="21"/>
                <w:szCs w:val="21"/>
                <w:lang w:val="en-US" w:eastAsia="zh-CN"/>
              </w:rPr>
              <w:t>年</w:t>
            </w:r>
            <w:r>
              <w:rPr>
                <w:rFonts w:hint="default" w:ascii="Times New Roman" w:hAnsi="Times New Roman" w:eastAsia="宋体" w:cs="Times New Roman"/>
                <w:b/>
                <w:bCs/>
                <w:color w:val="000000" w:themeColor="text1"/>
                <w:sz w:val="21"/>
                <w:szCs w:val="21"/>
              </w:rPr>
              <w:t>排放量核算表</w:t>
            </w:r>
          </w:p>
          <w:tbl>
            <w:tblPr>
              <w:tblStyle w:val="25"/>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9"/>
              <w:gridCol w:w="2865"/>
              <w:gridCol w:w="3750"/>
            </w:tblGrid>
            <w:tr w14:paraId="7B56C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6" w:type="pct"/>
                  <w:tcBorders>
                    <w:top w:val="single" w:color="auto" w:sz="4" w:space="0"/>
                    <w:left w:val="single" w:color="auto" w:sz="4" w:space="0"/>
                    <w:bottom w:val="single" w:color="auto" w:sz="4" w:space="0"/>
                    <w:right w:val="single" w:color="auto" w:sz="4" w:space="0"/>
                  </w:tcBorders>
                  <w:vAlign w:val="center"/>
                </w:tcPr>
                <w:p w14:paraId="1F3DD95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序号</w:t>
                  </w:r>
                </w:p>
              </w:tc>
              <w:tc>
                <w:tcPr>
                  <w:tcW w:w="1690" w:type="pct"/>
                  <w:tcBorders>
                    <w:top w:val="single" w:color="auto" w:sz="4" w:space="0"/>
                    <w:left w:val="single" w:color="auto" w:sz="4" w:space="0"/>
                    <w:bottom w:val="single" w:color="auto" w:sz="4" w:space="0"/>
                    <w:right w:val="single" w:color="auto" w:sz="4" w:space="0"/>
                  </w:tcBorders>
                  <w:vAlign w:val="center"/>
                </w:tcPr>
                <w:p w14:paraId="525436D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污染物</w:t>
                  </w:r>
                </w:p>
              </w:tc>
              <w:tc>
                <w:tcPr>
                  <w:tcW w:w="2212" w:type="pct"/>
                  <w:tcBorders>
                    <w:top w:val="single" w:color="auto" w:sz="4" w:space="0"/>
                    <w:left w:val="single" w:color="auto" w:sz="4" w:space="0"/>
                    <w:bottom w:val="single" w:color="auto" w:sz="4" w:space="0"/>
                    <w:right w:val="single" w:color="auto" w:sz="4" w:space="0"/>
                  </w:tcBorders>
                  <w:vAlign w:val="center"/>
                </w:tcPr>
                <w:p w14:paraId="6EF6A02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年排放量/（</w:t>
                  </w:r>
                  <w:r>
                    <w:rPr>
                      <w:rFonts w:hint="default" w:ascii="Times New Roman" w:hAnsi="Times New Roman" w:eastAsia="宋体" w:cs="Times New Roman"/>
                      <w:b/>
                      <w:bCs/>
                      <w:color w:val="000000" w:themeColor="text1"/>
                      <w:sz w:val="21"/>
                      <w:szCs w:val="21"/>
                      <w:lang w:val="en-US" w:eastAsia="zh-CN"/>
                    </w:rPr>
                    <w:t>t</w:t>
                  </w:r>
                  <w:r>
                    <w:rPr>
                      <w:rFonts w:hint="default" w:ascii="Times New Roman" w:hAnsi="Times New Roman" w:eastAsia="宋体" w:cs="Times New Roman"/>
                      <w:b/>
                      <w:bCs/>
                      <w:color w:val="000000" w:themeColor="text1"/>
                      <w:sz w:val="21"/>
                      <w:szCs w:val="21"/>
                    </w:rPr>
                    <w:t>/a）</w:t>
                  </w:r>
                </w:p>
              </w:tc>
            </w:tr>
            <w:tr w14:paraId="4F61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096" w:type="pct"/>
                  <w:tcBorders>
                    <w:top w:val="single" w:color="auto" w:sz="4" w:space="0"/>
                    <w:left w:val="single" w:color="auto" w:sz="4" w:space="0"/>
                    <w:bottom w:val="single" w:color="auto" w:sz="4" w:space="0"/>
                    <w:right w:val="single" w:color="auto" w:sz="4" w:space="0"/>
                  </w:tcBorders>
                  <w:vAlign w:val="center"/>
                </w:tcPr>
                <w:p w14:paraId="021D9C7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w:t>
                  </w:r>
                </w:p>
              </w:tc>
              <w:tc>
                <w:tcPr>
                  <w:tcW w:w="1690" w:type="pct"/>
                  <w:tcBorders>
                    <w:top w:val="single" w:color="auto" w:sz="4" w:space="0"/>
                    <w:left w:val="single" w:color="auto" w:sz="4" w:space="0"/>
                    <w:bottom w:val="single" w:color="auto" w:sz="4" w:space="0"/>
                    <w:right w:val="single" w:color="auto" w:sz="4" w:space="0"/>
                  </w:tcBorders>
                  <w:vAlign w:val="center"/>
                </w:tcPr>
                <w:p w14:paraId="33C98AA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NH</w:t>
                  </w:r>
                  <w:r>
                    <w:rPr>
                      <w:rFonts w:hint="default" w:ascii="Times New Roman" w:hAnsi="Times New Roman" w:eastAsia="宋体" w:cs="Times New Roman"/>
                      <w:color w:val="000000" w:themeColor="text1"/>
                      <w:sz w:val="21"/>
                      <w:szCs w:val="21"/>
                      <w:vertAlign w:val="subscript"/>
                    </w:rPr>
                    <w:t>3</w:t>
                  </w:r>
                </w:p>
              </w:tc>
              <w:tc>
                <w:tcPr>
                  <w:tcW w:w="2212" w:type="pct"/>
                  <w:tcBorders>
                    <w:top w:val="single" w:color="auto" w:sz="4" w:space="0"/>
                    <w:left w:val="single" w:color="auto" w:sz="4" w:space="0"/>
                    <w:right w:val="single" w:color="auto" w:sz="4" w:space="0"/>
                  </w:tcBorders>
                  <w:vAlign w:val="center"/>
                </w:tcPr>
                <w:p w14:paraId="7B9EF06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w:t>
                  </w:r>
                  <w:r>
                    <w:rPr>
                      <w:rFonts w:hint="eastAsia" w:cs="Times New Roman"/>
                      <w:color w:val="000000" w:themeColor="text1"/>
                      <w:sz w:val="21"/>
                      <w:szCs w:val="21"/>
                      <w:lang w:val="en-US" w:eastAsia="zh-CN"/>
                    </w:rPr>
                    <w:t>00419</w:t>
                  </w:r>
                </w:p>
              </w:tc>
            </w:tr>
            <w:tr w14:paraId="08B7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Borders>
                    <w:top w:val="single" w:color="auto" w:sz="4" w:space="0"/>
                    <w:left w:val="single" w:color="auto" w:sz="4" w:space="0"/>
                    <w:bottom w:val="single" w:color="auto" w:sz="4" w:space="0"/>
                    <w:right w:val="single" w:color="auto" w:sz="4" w:space="0"/>
                  </w:tcBorders>
                  <w:vAlign w:val="center"/>
                </w:tcPr>
                <w:p w14:paraId="29B6528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2</w:t>
                  </w:r>
                </w:p>
              </w:tc>
              <w:tc>
                <w:tcPr>
                  <w:tcW w:w="1690" w:type="pct"/>
                  <w:tcBorders>
                    <w:top w:val="single" w:color="auto" w:sz="4" w:space="0"/>
                    <w:left w:val="single" w:color="auto" w:sz="4" w:space="0"/>
                    <w:bottom w:val="single" w:color="auto" w:sz="4" w:space="0"/>
                    <w:right w:val="single" w:color="auto" w:sz="4" w:space="0"/>
                  </w:tcBorders>
                  <w:vAlign w:val="center"/>
                </w:tcPr>
                <w:p w14:paraId="6A1F64A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H</w:t>
                  </w:r>
                  <w:r>
                    <w:rPr>
                      <w:rFonts w:hint="default" w:ascii="Times New Roman" w:hAnsi="Times New Roman" w:eastAsia="宋体" w:cs="Times New Roman"/>
                      <w:color w:val="000000" w:themeColor="text1"/>
                      <w:sz w:val="21"/>
                      <w:szCs w:val="21"/>
                      <w:vertAlign w:val="subscript"/>
                    </w:rPr>
                    <w:t>2</w:t>
                  </w:r>
                  <w:r>
                    <w:rPr>
                      <w:rFonts w:hint="default" w:ascii="Times New Roman" w:hAnsi="Times New Roman" w:eastAsia="宋体" w:cs="Times New Roman"/>
                      <w:color w:val="000000" w:themeColor="text1"/>
                      <w:sz w:val="21"/>
                      <w:szCs w:val="21"/>
                    </w:rPr>
                    <w:t>S</w:t>
                  </w:r>
                </w:p>
              </w:tc>
              <w:tc>
                <w:tcPr>
                  <w:tcW w:w="2212" w:type="pct"/>
                  <w:tcBorders>
                    <w:left w:val="single" w:color="auto" w:sz="4" w:space="0"/>
                    <w:bottom w:val="single" w:color="auto" w:sz="4" w:space="0"/>
                    <w:right w:val="single" w:color="auto" w:sz="4" w:space="0"/>
                  </w:tcBorders>
                  <w:vAlign w:val="center"/>
                </w:tcPr>
                <w:p w14:paraId="483609C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0.00</w:t>
                  </w:r>
                  <w:r>
                    <w:rPr>
                      <w:rFonts w:hint="eastAsia" w:cs="Times New Roman"/>
                      <w:color w:val="000000" w:themeColor="text1"/>
                      <w:sz w:val="21"/>
                      <w:szCs w:val="21"/>
                      <w:lang w:val="en-US" w:eastAsia="zh-CN"/>
                    </w:rPr>
                    <w:t>016</w:t>
                  </w:r>
                </w:p>
              </w:tc>
            </w:tr>
            <w:tr w14:paraId="214C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Borders>
                    <w:top w:val="single" w:color="auto" w:sz="4" w:space="0"/>
                    <w:left w:val="single" w:color="auto" w:sz="4" w:space="0"/>
                    <w:bottom w:val="single" w:color="auto" w:sz="4" w:space="0"/>
                    <w:right w:val="single" w:color="auto" w:sz="4" w:space="0"/>
                  </w:tcBorders>
                  <w:vAlign w:val="center"/>
                </w:tcPr>
                <w:p w14:paraId="03E3272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3</w:t>
                  </w:r>
                </w:p>
              </w:tc>
              <w:tc>
                <w:tcPr>
                  <w:tcW w:w="1690" w:type="pct"/>
                  <w:tcBorders>
                    <w:top w:val="single" w:color="auto" w:sz="4" w:space="0"/>
                    <w:left w:val="single" w:color="auto" w:sz="4" w:space="0"/>
                    <w:bottom w:val="single" w:color="auto" w:sz="4" w:space="0"/>
                    <w:right w:val="single" w:color="auto" w:sz="4" w:space="0"/>
                  </w:tcBorders>
                  <w:vAlign w:val="center"/>
                </w:tcPr>
                <w:p w14:paraId="1BE9E98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highlight w:val="none"/>
                    </w:rPr>
                  </w:pPr>
                  <w:r>
                    <w:rPr>
                      <w:rFonts w:hint="eastAsia" w:cs="Times New Roman"/>
                      <w:color w:val="000000" w:themeColor="text1"/>
                      <w:sz w:val="21"/>
                      <w:szCs w:val="21"/>
                      <w:highlight w:val="none"/>
                      <w:lang w:val="en-US" w:eastAsia="zh-CN"/>
                    </w:rPr>
                    <w:t>颗粒物</w:t>
                  </w:r>
                </w:p>
              </w:tc>
              <w:tc>
                <w:tcPr>
                  <w:tcW w:w="2212" w:type="pct"/>
                  <w:tcBorders>
                    <w:left w:val="single" w:color="auto" w:sz="4" w:space="0"/>
                    <w:bottom w:val="single" w:color="auto" w:sz="4" w:space="0"/>
                    <w:right w:val="single" w:color="auto" w:sz="4" w:space="0"/>
                  </w:tcBorders>
                  <w:vAlign w:val="center"/>
                </w:tcPr>
                <w:p w14:paraId="033AD59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0.006</w:t>
                  </w:r>
                  <w:r>
                    <w:rPr>
                      <w:rFonts w:hint="eastAsia" w:cs="Times New Roman"/>
                      <w:color w:val="000000" w:themeColor="text1"/>
                      <w:sz w:val="21"/>
                      <w:szCs w:val="21"/>
                      <w:lang w:val="en-US" w:eastAsia="zh-CN"/>
                    </w:rPr>
                    <w:t>08</w:t>
                  </w:r>
                </w:p>
              </w:tc>
            </w:tr>
            <w:tr w14:paraId="7A34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Borders>
                    <w:top w:val="single" w:color="auto" w:sz="4" w:space="0"/>
                    <w:left w:val="single" w:color="auto" w:sz="4" w:space="0"/>
                    <w:bottom w:val="single" w:color="auto" w:sz="4" w:space="0"/>
                    <w:right w:val="single" w:color="auto" w:sz="4" w:space="0"/>
                  </w:tcBorders>
                  <w:vAlign w:val="center"/>
                </w:tcPr>
                <w:p w14:paraId="4871413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4</w:t>
                  </w:r>
                </w:p>
              </w:tc>
              <w:tc>
                <w:tcPr>
                  <w:tcW w:w="1690" w:type="pct"/>
                  <w:tcBorders>
                    <w:top w:val="single" w:color="auto" w:sz="4" w:space="0"/>
                    <w:left w:val="single" w:color="auto" w:sz="4" w:space="0"/>
                    <w:bottom w:val="single" w:color="auto" w:sz="4" w:space="0"/>
                    <w:right w:val="single" w:color="auto" w:sz="4" w:space="0"/>
                  </w:tcBorders>
                  <w:vAlign w:val="center"/>
                </w:tcPr>
                <w:p w14:paraId="6F7FB24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highlight w:val="none"/>
                      <w:lang w:val="en-US" w:eastAsia="zh-CN"/>
                    </w:rPr>
                  </w:pPr>
                  <w:r>
                    <w:rPr>
                      <w:rFonts w:hint="default" w:ascii="Times New Roman" w:hAnsi="Times New Roman" w:cs="Times New Roman"/>
                      <w:color w:val="000000" w:themeColor="text1"/>
                      <w:sz w:val="21"/>
                      <w:szCs w:val="21"/>
                      <w:highlight w:val="none"/>
                      <w:lang w:val="en-US" w:eastAsia="zh-CN"/>
                    </w:rPr>
                    <w:t>SO</w:t>
                  </w:r>
                  <w:r>
                    <w:rPr>
                      <w:rFonts w:hint="default" w:ascii="Times New Roman" w:hAnsi="Times New Roman" w:cs="Times New Roman"/>
                      <w:color w:val="000000" w:themeColor="text1"/>
                      <w:sz w:val="21"/>
                      <w:szCs w:val="21"/>
                      <w:highlight w:val="none"/>
                      <w:vertAlign w:val="subscript"/>
                      <w:lang w:val="en-US" w:eastAsia="zh-CN"/>
                    </w:rPr>
                    <w:t>2</w:t>
                  </w:r>
                </w:p>
              </w:tc>
              <w:tc>
                <w:tcPr>
                  <w:tcW w:w="2212" w:type="pct"/>
                  <w:tcBorders>
                    <w:left w:val="single" w:color="auto" w:sz="4" w:space="0"/>
                    <w:bottom w:val="single" w:color="auto" w:sz="4" w:space="0"/>
                    <w:right w:val="single" w:color="auto" w:sz="4" w:space="0"/>
                  </w:tcBorders>
                  <w:vAlign w:val="center"/>
                </w:tcPr>
                <w:p w14:paraId="7353702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0.0</w:t>
                  </w:r>
                  <w:r>
                    <w:rPr>
                      <w:rFonts w:hint="eastAsia" w:cs="Times New Roman"/>
                      <w:color w:val="000000" w:themeColor="text1"/>
                      <w:sz w:val="21"/>
                      <w:szCs w:val="21"/>
                      <w:lang w:val="en-US" w:eastAsia="zh-CN"/>
                    </w:rPr>
                    <w:t>1170</w:t>
                  </w:r>
                </w:p>
              </w:tc>
            </w:tr>
            <w:tr w14:paraId="2BA4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6" w:type="pct"/>
                  <w:tcBorders>
                    <w:top w:val="single" w:color="auto" w:sz="4" w:space="0"/>
                    <w:left w:val="single" w:color="auto" w:sz="4" w:space="0"/>
                    <w:bottom w:val="single" w:color="auto" w:sz="4" w:space="0"/>
                    <w:right w:val="single" w:color="auto" w:sz="4" w:space="0"/>
                  </w:tcBorders>
                  <w:vAlign w:val="center"/>
                </w:tcPr>
                <w:p w14:paraId="629CBC7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5</w:t>
                  </w:r>
                </w:p>
              </w:tc>
              <w:tc>
                <w:tcPr>
                  <w:tcW w:w="1690" w:type="pct"/>
                  <w:tcBorders>
                    <w:top w:val="single" w:color="auto" w:sz="4" w:space="0"/>
                    <w:left w:val="single" w:color="auto" w:sz="4" w:space="0"/>
                    <w:bottom w:val="single" w:color="auto" w:sz="4" w:space="0"/>
                    <w:right w:val="single" w:color="auto" w:sz="4" w:space="0"/>
                  </w:tcBorders>
                  <w:vAlign w:val="center"/>
                </w:tcPr>
                <w:p w14:paraId="669C08F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highlight w:val="none"/>
                      <w:lang w:val="en-US" w:eastAsia="zh-CN"/>
                    </w:rPr>
                  </w:pPr>
                  <w:r>
                    <w:rPr>
                      <w:rFonts w:hint="default" w:ascii="Times New Roman" w:hAnsi="Times New Roman" w:cs="Times New Roman"/>
                      <w:color w:val="000000" w:themeColor="text1"/>
                      <w:sz w:val="21"/>
                      <w:szCs w:val="21"/>
                      <w:highlight w:val="none"/>
                      <w:lang w:val="en-US" w:eastAsia="zh-CN"/>
                    </w:rPr>
                    <w:t>NO</w:t>
                  </w:r>
                  <w:r>
                    <w:rPr>
                      <w:rFonts w:hint="default" w:ascii="Times New Roman" w:hAnsi="Times New Roman" w:cs="Times New Roman"/>
                      <w:color w:val="000000" w:themeColor="text1"/>
                      <w:sz w:val="21"/>
                      <w:szCs w:val="21"/>
                      <w:highlight w:val="none"/>
                      <w:vertAlign w:val="subscript"/>
                      <w:lang w:val="en-US" w:eastAsia="zh-CN"/>
                    </w:rPr>
                    <w:t>X</w:t>
                  </w:r>
                </w:p>
              </w:tc>
              <w:tc>
                <w:tcPr>
                  <w:tcW w:w="2212" w:type="pct"/>
                  <w:tcBorders>
                    <w:left w:val="single" w:color="auto" w:sz="4" w:space="0"/>
                    <w:bottom w:val="single" w:color="auto" w:sz="4" w:space="0"/>
                    <w:right w:val="single" w:color="auto" w:sz="4" w:space="0"/>
                  </w:tcBorders>
                  <w:vAlign w:val="center"/>
                </w:tcPr>
                <w:p w14:paraId="31F0DFB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0.0</w:t>
                  </w:r>
                  <w:r>
                    <w:rPr>
                      <w:rFonts w:hint="eastAsia" w:cs="Times New Roman"/>
                      <w:color w:val="000000" w:themeColor="text1"/>
                      <w:sz w:val="21"/>
                      <w:szCs w:val="21"/>
                      <w:lang w:val="en-US" w:eastAsia="zh-CN"/>
                    </w:rPr>
                    <w:t>9280</w:t>
                  </w:r>
                </w:p>
              </w:tc>
            </w:tr>
          </w:tbl>
          <w:p w14:paraId="08BF5CBE">
            <w:pPr>
              <w:keepNext w:val="0"/>
              <w:keepLines w:val="0"/>
              <w:pageBreakBefore w:val="0"/>
              <w:kinsoku/>
              <w:wordWrap/>
              <w:overflowPunct/>
              <w:topLinePunct w:val="0"/>
              <w:autoSpaceDE/>
              <w:autoSpaceDN/>
              <w:bidi w:val="0"/>
              <w:adjustRightInd w:val="0"/>
              <w:snapToGrid w:val="0"/>
              <w:spacing w:line="360" w:lineRule="auto"/>
              <w:ind w:firstLine="422" w:firstLineChars="200"/>
              <w:textAlignment w:val="auto"/>
              <w:rPr>
                <w:rFonts w:hint="default" w:ascii="Times New Roman" w:hAnsi="Times New Roman" w:eastAsia="宋体" w:cs="Times New Roman"/>
                <w:b/>
                <w:bCs/>
                <w:color w:val="000000" w:themeColor="text1"/>
                <w:sz w:val="21"/>
                <w:szCs w:val="21"/>
                <w:lang w:eastAsia="zh-CN"/>
              </w:rPr>
            </w:pPr>
            <w:r>
              <w:rPr>
                <w:rFonts w:hint="default" w:ascii="Times New Roman" w:hAnsi="Times New Roman" w:cs="Times New Roman"/>
                <w:b/>
                <w:bCs/>
                <w:color w:val="000000" w:themeColor="text1"/>
                <w:sz w:val="21"/>
                <w:szCs w:val="21"/>
                <w:lang w:eastAsia="zh-CN"/>
              </w:rPr>
              <w:t>（</w:t>
            </w:r>
            <w:r>
              <w:rPr>
                <w:rFonts w:hint="default" w:ascii="Times New Roman" w:hAnsi="Times New Roman" w:cs="Times New Roman"/>
                <w:b/>
                <w:bCs/>
                <w:color w:val="000000" w:themeColor="text1"/>
                <w:sz w:val="21"/>
                <w:szCs w:val="21"/>
                <w:lang w:val="en-US" w:eastAsia="zh-CN"/>
              </w:rPr>
              <w:t>6</w:t>
            </w:r>
            <w:r>
              <w:rPr>
                <w:rFonts w:hint="default" w:ascii="Times New Roman" w:hAnsi="Times New Roman" w:cs="Times New Roman"/>
                <w:b/>
                <w:bCs/>
                <w:color w:val="000000" w:themeColor="text1"/>
                <w:sz w:val="21"/>
                <w:szCs w:val="21"/>
                <w:lang w:eastAsia="zh-CN"/>
              </w:rPr>
              <w:t>）大气排放口基本信息</w:t>
            </w:r>
          </w:p>
          <w:p w14:paraId="729F036B">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b w:val="0"/>
                <w:bCs w:val="0"/>
                <w:color w:val="000000" w:themeColor="text1"/>
                <w:sz w:val="21"/>
                <w:szCs w:val="21"/>
              </w:rPr>
            </w:pPr>
            <w:r>
              <w:rPr>
                <w:rFonts w:hint="default" w:ascii="Times New Roman" w:hAnsi="Times New Roman" w:eastAsia="宋体" w:cs="Times New Roman"/>
                <w:b w:val="0"/>
                <w:bCs w:val="0"/>
                <w:color w:val="000000" w:themeColor="text1"/>
                <w:sz w:val="21"/>
                <w:szCs w:val="21"/>
              </w:rPr>
              <w:t>本项目大气排放口基本情况详见下表：</w:t>
            </w:r>
          </w:p>
          <w:p w14:paraId="416FB4B7">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表4-</w:t>
            </w:r>
            <w:r>
              <w:rPr>
                <w:rFonts w:hint="eastAsia" w:cs="Times New Roman"/>
                <w:b/>
                <w:bCs/>
                <w:color w:val="000000" w:themeColor="text1"/>
                <w:sz w:val="21"/>
                <w:szCs w:val="21"/>
                <w:lang w:val="en-US" w:eastAsia="zh-CN"/>
              </w:rPr>
              <w:t>8</w:t>
            </w:r>
            <w:r>
              <w:rPr>
                <w:rFonts w:hint="default" w:ascii="Times New Roman" w:hAnsi="Times New Roman" w:cs="Times New Roman"/>
                <w:b/>
                <w:bCs/>
                <w:color w:val="000000" w:themeColor="text1"/>
                <w:sz w:val="21"/>
                <w:szCs w:val="21"/>
                <w:lang w:val="en-US" w:eastAsia="zh-CN"/>
              </w:rPr>
              <w:t xml:space="preserve"> 大气排放口基本情况表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094"/>
              <w:gridCol w:w="1212"/>
              <w:gridCol w:w="885"/>
              <w:gridCol w:w="729"/>
              <w:gridCol w:w="942"/>
              <w:gridCol w:w="943"/>
              <w:gridCol w:w="943"/>
              <w:gridCol w:w="943"/>
            </w:tblGrid>
            <w:tr w14:paraId="0E1D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Merge w:val="restart"/>
                  <w:vAlign w:val="center"/>
                </w:tcPr>
                <w:p w14:paraId="2FC0ACA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排放口编号</w:t>
                  </w:r>
                </w:p>
              </w:tc>
              <w:tc>
                <w:tcPr>
                  <w:tcW w:w="1094" w:type="dxa"/>
                  <w:vMerge w:val="restart"/>
                  <w:vAlign w:val="center"/>
                </w:tcPr>
                <w:p w14:paraId="2B206A6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排放口名称</w:t>
                  </w:r>
                </w:p>
              </w:tc>
              <w:tc>
                <w:tcPr>
                  <w:tcW w:w="1212" w:type="dxa"/>
                  <w:vMerge w:val="restart"/>
                  <w:vAlign w:val="center"/>
                </w:tcPr>
                <w:p w14:paraId="4EE49D6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污染物种类</w:t>
                  </w:r>
                </w:p>
              </w:tc>
              <w:tc>
                <w:tcPr>
                  <w:tcW w:w="1614" w:type="dxa"/>
                  <w:gridSpan w:val="2"/>
                  <w:vAlign w:val="center"/>
                </w:tcPr>
                <w:p w14:paraId="21D37AB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排放口坐标</w:t>
                  </w:r>
                </w:p>
              </w:tc>
              <w:tc>
                <w:tcPr>
                  <w:tcW w:w="942" w:type="dxa"/>
                  <w:vMerge w:val="restart"/>
                  <w:vAlign w:val="center"/>
                </w:tcPr>
                <w:p w14:paraId="566F1F5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排气筒高度（m）</w:t>
                  </w:r>
                </w:p>
              </w:tc>
              <w:tc>
                <w:tcPr>
                  <w:tcW w:w="943" w:type="dxa"/>
                  <w:vMerge w:val="restart"/>
                  <w:vAlign w:val="center"/>
                </w:tcPr>
                <w:p w14:paraId="7534494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排气筒内径（m）</w:t>
                  </w:r>
                </w:p>
              </w:tc>
              <w:tc>
                <w:tcPr>
                  <w:tcW w:w="943" w:type="dxa"/>
                  <w:vMerge w:val="restart"/>
                  <w:vAlign w:val="center"/>
                </w:tcPr>
                <w:p w14:paraId="7CC6670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排放温度（℃）</w:t>
                  </w:r>
                </w:p>
              </w:tc>
              <w:tc>
                <w:tcPr>
                  <w:tcW w:w="943" w:type="dxa"/>
                  <w:vMerge w:val="restart"/>
                  <w:vAlign w:val="center"/>
                </w:tcPr>
                <w:p w14:paraId="6E2D926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default" w:ascii="Times New Roman" w:hAnsi="Times New Roman" w:cs="Times New Roman"/>
                      <w:b/>
                      <w:bCs/>
                      <w:color w:val="000000" w:themeColor="text1"/>
                      <w:sz w:val="21"/>
                      <w:szCs w:val="21"/>
                      <w:lang w:val="en-US" w:eastAsia="zh-CN"/>
                    </w:rPr>
                    <w:t>排气筒类型</w:t>
                  </w:r>
                </w:p>
              </w:tc>
            </w:tr>
            <w:tr w14:paraId="0140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0" w:type="dxa"/>
                  <w:vMerge w:val="continue"/>
                  <w:vAlign w:val="center"/>
                </w:tcPr>
                <w:p w14:paraId="6695E01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1094" w:type="dxa"/>
                  <w:vMerge w:val="continue"/>
                  <w:vAlign w:val="center"/>
                </w:tcPr>
                <w:p w14:paraId="326976A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1212" w:type="dxa"/>
                  <w:vMerge w:val="continue"/>
                  <w:vAlign w:val="center"/>
                </w:tcPr>
                <w:p w14:paraId="316965F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885" w:type="dxa"/>
                  <w:vAlign w:val="center"/>
                </w:tcPr>
                <w:p w14:paraId="76D166E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eastAsia" w:cs="Times New Roman"/>
                      <w:b/>
                      <w:bCs/>
                      <w:color w:val="000000" w:themeColor="text1"/>
                      <w:sz w:val="21"/>
                      <w:szCs w:val="21"/>
                      <w:lang w:val="en-US" w:eastAsia="zh-CN"/>
                    </w:rPr>
                    <w:t>东经</w:t>
                  </w:r>
                </w:p>
              </w:tc>
              <w:tc>
                <w:tcPr>
                  <w:tcW w:w="729" w:type="dxa"/>
                  <w:vAlign w:val="center"/>
                </w:tcPr>
                <w:p w14:paraId="7F9BCF5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b/>
                      <w:bCs/>
                      <w:color w:val="000000" w:themeColor="text1"/>
                      <w:sz w:val="21"/>
                      <w:szCs w:val="21"/>
                      <w:lang w:val="en-US" w:eastAsia="zh-CN"/>
                    </w:rPr>
                  </w:pPr>
                  <w:r>
                    <w:rPr>
                      <w:rFonts w:hint="eastAsia" w:cs="Times New Roman"/>
                      <w:b/>
                      <w:bCs/>
                      <w:color w:val="000000" w:themeColor="text1"/>
                      <w:sz w:val="21"/>
                      <w:szCs w:val="21"/>
                      <w:lang w:val="en-US" w:eastAsia="zh-CN"/>
                    </w:rPr>
                    <w:t>北纬</w:t>
                  </w:r>
                </w:p>
              </w:tc>
              <w:tc>
                <w:tcPr>
                  <w:tcW w:w="942" w:type="dxa"/>
                  <w:vMerge w:val="continue"/>
                  <w:vAlign w:val="center"/>
                </w:tcPr>
                <w:p w14:paraId="509A8E1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943" w:type="dxa"/>
                  <w:vMerge w:val="continue"/>
                  <w:vAlign w:val="center"/>
                </w:tcPr>
                <w:p w14:paraId="4ACBDFD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943" w:type="dxa"/>
                  <w:vMerge w:val="continue"/>
                  <w:vAlign w:val="center"/>
                </w:tcPr>
                <w:p w14:paraId="45979C4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943" w:type="dxa"/>
                  <w:vMerge w:val="continue"/>
                  <w:vAlign w:val="center"/>
                </w:tcPr>
                <w:p w14:paraId="1D59B84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r>
            <w:tr w14:paraId="2FF09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2D6C501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DA001</w:t>
                  </w:r>
                </w:p>
              </w:tc>
              <w:tc>
                <w:tcPr>
                  <w:tcW w:w="1094" w:type="dxa"/>
                  <w:vAlign w:val="center"/>
                </w:tcPr>
                <w:p w14:paraId="64AEF88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污水站恶臭排放口</w:t>
                  </w:r>
                </w:p>
              </w:tc>
              <w:tc>
                <w:tcPr>
                  <w:tcW w:w="1212" w:type="dxa"/>
                  <w:vAlign w:val="center"/>
                </w:tcPr>
                <w:p w14:paraId="5367870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臭气浓度、H</w:t>
                  </w:r>
                  <w:r>
                    <w:rPr>
                      <w:rFonts w:hint="default" w:ascii="Times New Roman" w:hAnsi="Times New Roman" w:cs="Times New Roman"/>
                      <w:color w:val="000000" w:themeColor="text1"/>
                      <w:sz w:val="21"/>
                      <w:szCs w:val="21"/>
                      <w:vertAlign w:val="subscript"/>
                      <w:lang w:val="en-US" w:eastAsia="zh-CN"/>
                    </w:rPr>
                    <w:t>2</w:t>
                  </w:r>
                  <w:r>
                    <w:rPr>
                      <w:rFonts w:hint="default" w:ascii="Times New Roman" w:hAnsi="Times New Roman" w:cs="Times New Roman"/>
                      <w:color w:val="000000" w:themeColor="text1"/>
                      <w:sz w:val="21"/>
                      <w:szCs w:val="21"/>
                      <w:lang w:val="en-US" w:eastAsia="zh-CN"/>
                    </w:rPr>
                    <w:t>S、NH</w:t>
                  </w:r>
                  <w:r>
                    <w:rPr>
                      <w:rFonts w:hint="default" w:ascii="Times New Roman" w:hAnsi="Times New Roman" w:cs="Times New Roman"/>
                      <w:color w:val="000000" w:themeColor="text1"/>
                      <w:sz w:val="21"/>
                      <w:szCs w:val="21"/>
                      <w:vertAlign w:val="subscript"/>
                      <w:lang w:val="en-US" w:eastAsia="zh-CN"/>
                    </w:rPr>
                    <w:t>3</w:t>
                  </w:r>
                </w:p>
              </w:tc>
              <w:tc>
                <w:tcPr>
                  <w:tcW w:w="885" w:type="dxa"/>
                  <w:vAlign w:val="center"/>
                </w:tcPr>
                <w:p w14:paraId="3685197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113.11817</w:t>
                  </w:r>
                  <w:r>
                    <w:rPr>
                      <w:rFonts w:hint="eastAsia" w:cs="Times New Roman"/>
                      <w:color w:val="000000" w:themeColor="text1"/>
                      <w:sz w:val="21"/>
                      <w:szCs w:val="21"/>
                      <w:lang w:val="en-US" w:eastAsia="zh-CN"/>
                    </w:rPr>
                    <w:t>4</w:t>
                  </w:r>
                </w:p>
              </w:tc>
              <w:tc>
                <w:tcPr>
                  <w:tcW w:w="729" w:type="dxa"/>
                  <w:vAlign w:val="center"/>
                </w:tcPr>
                <w:p w14:paraId="3934329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29.36448</w:t>
                  </w:r>
                  <w:r>
                    <w:rPr>
                      <w:rFonts w:hint="eastAsia" w:cs="Times New Roman"/>
                      <w:color w:val="000000" w:themeColor="text1"/>
                      <w:sz w:val="21"/>
                      <w:szCs w:val="21"/>
                      <w:lang w:val="en-US" w:eastAsia="zh-CN"/>
                    </w:rPr>
                    <w:t>5</w:t>
                  </w:r>
                </w:p>
              </w:tc>
              <w:tc>
                <w:tcPr>
                  <w:tcW w:w="942" w:type="dxa"/>
                  <w:vAlign w:val="center"/>
                </w:tcPr>
                <w:p w14:paraId="20547B0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63</w:t>
                  </w:r>
                </w:p>
              </w:tc>
              <w:tc>
                <w:tcPr>
                  <w:tcW w:w="943" w:type="dxa"/>
                  <w:vAlign w:val="center"/>
                </w:tcPr>
                <w:p w14:paraId="159AEE7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0.3</w:t>
                  </w:r>
                </w:p>
              </w:tc>
              <w:tc>
                <w:tcPr>
                  <w:tcW w:w="943" w:type="dxa"/>
                  <w:vAlign w:val="center"/>
                </w:tcPr>
                <w:p w14:paraId="470CD2C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25</w:t>
                  </w:r>
                </w:p>
              </w:tc>
              <w:tc>
                <w:tcPr>
                  <w:tcW w:w="943" w:type="dxa"/>
                  <w:vAlign w:val="center"/>
                </w:tcPr>
                <w:p w14:paraId="2A970F4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一般排放口</w:t>
                  </w:r>
                </w:p>
              </w:tc>
            </w:tr>
            <w:tr w14:paraId="1839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339BBE5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DA002</w:t>
                  </w:r>
                </w:p>
              </w:tc>
              <w:tc>
                <w:tcPr>
                  <w:tcW w:w="1094" w:type="dxa"/>
                  <w:vAlign w:val="center"/>
                </w:tcPr>
                <w:p w14:paraId="31AD166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锅炉废气排放口</w:t>
                  </w:r>
                </w:p>
              </w:tc>
              <w:tc>
                <w:tcPr>
                  <w:tcW w:w="1212" w:type="dxa"/>
                  <w:vAlign w:val="center"/>
                </w:tcPr>
                <w:p w14:paraId="466445A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颗粒物</w:t>
                  </w:r>
                  <w:r>
                    <w:rPr>
                      <w:rFonts w:hint="default" w:ascii="Times New Roman" w:hAnsi="Times New Roman" w:cs="Times New Roman"/>
                      <w:color w:val="000000" w:themeColor="text1"/>
                      <w:sz w:val="21"/>
                      <w:szCs w:val="21"/>
                      <w:lang w:val="en-US" w:eastAsia="zh-CN"/>
                    </w:rPr>
                    <w:t>、SO</w:t>
                  </w:r>
                  <w:r>
                    <w:rPr>
                      <w:rFonts w:hint="default" w:ascii="Times New Roman" w:hAnsi="Times New Roman" w:cs="Times New Roman"/>
                      <w:color w:val="000000" w:themeColor="text1"/>
                      <w:sz w:val="21"/>
                      <w:szCs w:val="21"/>
                      <w:vertAlign w:val="subscript"/>
                      <w:lang w:val="en-US" w:eastAsia="zh-CN"/>
                    </w:rPr>
                    <w:t>2</w:t>
                  </w:r>
                  <w:r>
                    <w:rPr>
                      <w:rFonts w:hint="default" w:ascii="Times New Roman" w:hAnsi="Times New Roman" w:cs="Times New Roman"/>
                      <w:color w:val="000000" w:themeColor="text1"/>
                      <w:sz w:val="21"/>
                      <w:szCs w:val="21"/>
                      <w:lang w:val="en-US" w:eastAsia="zh-CN"/>
                    </w:rPr>
                    <w:t>、NO</w:t>
                  </w:r>
                  <w:r>
                    <w:rPr>
                      <w:rFonts w:hint="default" w:ascii="Times New Roman" w:hAnsi="Times New Roman" w:cs="Times New Roman"/>
                      <w:color w:val="000000" w:themeColor="text1"/>
                      <w:sz w:val="21"/>
                      <w:szCs w:val="21"/>
                      <w:vertAlign w:val="subscript"/>
                      <w:lang w:val="en-US" w:eastAsia="zh-CN"/>
                    </w:rPr>
                    <w:t>x</w:t>
                  </w:r>
                </w:p>
              </w:tc>
              <w:tc>
                <w:tcPr>
                  <w:tcW w:w="885" w:type="dxa"/>
                  <w:vAlign w:val="center"/>
                </w:tcPr>
                <w:p w14:paraId="3A140AA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113.11741</w:t>
                  </w:r>
                  <w:r>
                    <w:rPr>
                      <w:rFonts w:hint="eastAsia" w:cs="Times New Roman"/>
                      <w:color w:val="000000" w:themeColor="text1"/>
                      <w:sz w:val="21"/>
                      <w:szCs w:val="21"/>
                      <w:lang w:val="en-US" w:eastAsia="zh-CN"/>
                    </w:rPr>
                    <w:t>1</w:t>
                  </w:r>
                </w:p>
              </w:tc>
              <w:tc>
                <w:tcPr>
                  <w:tcW w:w="729" w:type="dxa"/>
                  <w:vAlign w:val="center"/>
                </w:tcPr>
                <w:p w14:paraId="78B2C87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29.36449</w:t>
                  </w:r>
                  <w:r>
                    <w:rPr>
                      <w:rFonts w:hint="eastAsia" w:cs="Times New Roman"/>
                      <w:color w:val="000000" w:themeColor="text1"/>
                      <w:sz w:val="21"/>
                      <w:szCs w:val="21"/>
                      <w:lang w:val="en-US" w:eastAsia="zh-CN"/>
                    </w:rPr>
                    <w:t>5</w:t>
                  </w:r>
                </w:p>
              </w:tc>
              <w:tc>
                <w:tcPr>
                  <w:tcW w:w="942" w:type="dxa"/>
                  <w:vAlign w:val="center"/>
                </w:tcPr>
                <w:p w14:paraId="64C5EB4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8</w:t>
                  </w:r>
                </w:p>
              </w:tc>
              <w:tc>
                <w:tcPr>
                  <w:tcW w:w="943" w:type="dxa"/>
                  <w:vAlign w:val="center"/>
                </w:tcPr>
                <w:p w14:paraId="63E7563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0.3</w:t>
                  </w:r>
                </w:p>
              </w:tc>
              <w:tc>
                <w:tcPr>
                  <w:tcW w:w="943" w:type="dxa"/>
                  <w:vAlign w:val="center"/>
                </w:tcPr>
                <w:p w14:paraId="4791BCA2">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50</w:t>
                  </w:r>
                </w:p>
              </w:tc>
              <w:tc>
                <w:tcPr>
                  <w:tcW w:w="943" w:type="dxa"/>
                  <w:vAlign w:val="center"/>
                </w:tcPr>
                <w:p w14:paraId="40D7566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一般排放口</w:t>
                  </w:r>
                </w:p>
              </w:tc>
            </w:tr>
            <w:tr w14:paraId="5E5A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 w:type="dxa"/>
                  <w:vAlign w:val="center"/>
                </w:tcPr>
                <w:p w14:paraId="79C926D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DA003</w:t>
                  </w:r>
                </w:p>
              </w:tc>
              <w:tc>
                <w:tcPr>
                  <w:tcW w:w="1094" w:type="dxa"/>
                  <w:vAlign w:val="center"/>
                </w:tcPr>
                <w:p w14:paraId="32D8936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食堂油烟排放口</w:t>
                  </w:r>
                </w:p>
              </w:tc>
              <w:tc>
                <w:tcPr>
                  <w:tcW w:w="1212" w:type="dxa"/>
                  <w:vAlign w:val="center"/>
                </w:tcPr>
                <w:p w14:paraId="2DAF83A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油烟</w:t>
                  </w:r>
                </w:p>
              </w:tc>
              <w:tc>
                <w:tcPr>
                  <w:tcW w:w="885" w:type="dxa"/>
                  <w:vAlign w:val="center"/>
                </w:tcPr>
                <w:p w14:paraId="0F1D8CF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113.11838</w:t>
                  </w:r>
                  <w:r>
                    <w:rPr>
                      <w:rFonts w:hint="eastAsia" w:cs="Times New Roman"/>
                      <w:color w:val="000000" w:themeColor="text1"/>
                      <w:sz w:val="21"/>
                      <w:szCs w:val="21"/>
                      <w:lang w:val="en-US" w:eastAsia="zh-CN"/>
                    </w:rPr>
                    <w:t>4</w:t>
                  </w:r>
                </w:p>
              </w:tc>
              <w:tc>
                <w:tcPr>
                  <w:tcW w:w="729" w:type="dxa"/>
                  <w:vAlign w:val="center"/>
                </w:tcPr>
                <w:p w14:paraId="2003B5A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29.36348</w:t>
                  </w:r>
                  <w:r>
                    <w:rPr>
                      <w:rFonts w:hint="eastAsia" w:cs="Times New Roman"/>
                      <w:color w:val="000000" w:themeColor="text1"/>
                      <w:sz w:val="21"/>
                      <w:szCs w:val="21"/>
                      <w:lang w:val="en-US" w:eastAsia="zh-CN"/>
                    </w:rPr>
                    <w:t>9</w:t>
                  </w:r>
                </w:p>
              </w:tc>
              <w:tc>
                <w:tcPr>
                  <w:tcW w:w="942" w:type="dxa"/>
                  <w:vAlign w:val="center"/>
                </w:tcPr>
                <w:p w14:paraId="76A8181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20</w:t>
                  </w:r>
                </w:p>
              </w:tc>
              <w:tc>
                <w:tcPr>
                  <w:tcW w:w="943" w:type="dxa"/>
                  <w:vAlign w:val="center"/>
                </w:tcPr>
                <w:p w14:paraId="0D4A901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0.4</w:t>
                  </w:r>
                </w:p>
              </w:tc>
              <w:tc>
                <w:tcPr>
                  <w:tcW w:w="943" w:type="dxa"/>
                  <w:vAlign w:val="center"/>
                </w:tcPr>
                <w:p w14:paraId="151E1D7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35</w:t>
                  </w:r>
                </w:p>
              </w:tc>
              <w:tc>
                <w:tcPr>
                  <w:tcW w:w="943" w:type="dxa"/>
                  <w:vAlign w:val="center"/>
                </w:tcPr>
                <w:p w14:paraId="6126BD9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一般排放口</w:t>
                  </w:r>
                </w:p>
              </w:tc>
            </w:tr>
          </w:tbl>
          <w:p w14:paraId="1904E474">
            <w:pPr>
              <w:keepNext w:val="0"/>
              <w:keepLines w:val="0"/>
              <w:pageBreakBefore w:val="0"/>
              <w:kinsoku/>
              <w:wordWrap/>
              <w:overflowPunct/>
              <w:topLinePunct w:val="0"/>
              <w:autoSpaceDE/>
              <w:autoSpaceDN/>
              <w:bidi w:val="0"/>
              <w:adjustRightInd w:val="0"/>
              <w:snapToGrid w:val="0"/>
              <w:spacing w:line="360" w:lineRule="auto"/>
              <w:textAlignment w:val="auto"/>
              <w:rPr>
                <w:rFonts w:hint="default" w:ascii="Times New Roman" w:hAnsi="Times New Roman" w:cs="Times New Roman"/>
                <w:b w:val="0"/>
                <w:bCs w:val="0"/>
                <w:color w:val="000000" w:themeColor="text1"/>
                <w:sz w:val="24"/>
                <w:szCs w:val="24"/>
                <w:lang w:val="en-US" w:eastAsia="zh-CN"/>
              </w:rPr>
            </w:pPr>
            <w:r>
              <w:rPr>
                <w:rFonts w:hint="default" w:ascii="Times New Roman" w:hAnsi="Times New Roman" w:cs="Times New Roman"/>
                <w:b w:val="0"/>
                <w:bCs w:val="0"/>
                <w:color w:val="000000" w:themeColor="text1"/>
                <w:sz w:val="21"/>
                <w:szCs w:val="21"/>
                <w:lang w:val="en-US" w:eastAsia="zh-CN"/>
              </w:rPr>
              <w:t xml:space="preserve">    </w:t>
            </w:r>
            <w:r>
              <w:rPr>
                <w:rFonts w:hint="default" w:ascii="Times New Roman" w:hAnsi="Times New Roman" w:cs="Times New Roman"/>
                <w:b/>
                <w:bCs/>
                <w:color w:val="000000" w:themeColor="text1"/>
                <w:sz w:val="24"/>
                <w:szCs w:val="24"/>
                <w:lang w:val="en-US" w:eastAsia="zh-CN"/>
              </w:rPr>
              <w:t>（7）排气筒设置合理性分析</w:t>
            </w:r>
          </w:p>
          <w:p w14:paraId="4D67C67D">
            <w:pPr>
              <w:keepNext w:val="0"/>
              <w:keepLines w:val="0"/>
              <w:pageBreakBefore w:val="0"/>
              <w:kinsoku/>
              <w:wordWrap/>
              <w:overflowPunct/>
              <w:topLinePunct w:val="0"/>
              <w:autoSpaceDE/>
              <w:autoSpaceDN/>
              <w:bidi w:val="0"/>
              <w:adjustRightInd w:val="0"/>
              <w:snapToGrid w:val="0"/>
              <w:spacing w:line="360" w:lineRule="auto"/>
              <w:ind w:firstLine="420"/>
              <w:textAlignment w:val="auto"/>
              <w:rPr>
                <w:rFonts w:hint="default" w:ascii="Times New Roman" w:hAnsi="Times New Roman" w:cs="Times New Roman"/>
                <w:b w:val="0"/>
                <w:bCs w:val="0"/>
                <w:color w:val="000000" w:themeColor="text1"/>
                <w:sz w:val="24"/>
                <w:szCs w:val="24"/>
                <w:lang w:val="en-US" w:eastAsia="zh-CN"/>
              </w:rPr>
            </w:pPr>
            <w:r>
              <w:rPr>
                <w:rFonts w:hint="default" w:ascii="Times New Roman" w:hAnsi="Times New Roman" w:cs="Times New Roman"/>
                <w:b w:val="0"/>
                <w:bCs w:val="0"/>
                <w:color w:val="000000" w:themeColor="text1"/>
                <w:sz w:val="24"/>
                <w:szCs w:val="24"/>
                <w:lang w:val="en-US" w:eastAsia="zh-CN"/>
              </w:rPr>
              <w:t>根据现场调查，本项目油烟废气排气筒、锅炉废气排气筒均利用原有设施；</w:t>
            </w:r>
          </w:p>
          <w:p w14:paraId="77825F8D">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cs="Times New Roman"/>
                <w:b w:val="0"/>
                <w:bCs w:val="0"/>
                <w:color w:val="000000" w:themeColor="text1"/>
                <w:sz w:val="24"/>
                <w:szCs w:val="24"/>
                <w:lang w:val="en-US" w:eastAsia="zh-CN"/>
              </w:rPr>
            </w:pPr>
            <w:r>
              <w:rPr>
                <w:rFonts w:hint="eastAsia" w:cs="Times New Roman"/>
                <w:b w:val="0"/>
                <w:bCs w:val="0"/>
                <w:color w:val="000000" w:themeColor="text1"/>
                <w:sz w:val="24"/>
                <w:szCs w:val="24"/>
                <w:lang w:val="en-US" w:eastAsia="zh-CN"/>
              </w:rPr>
              <w:t>1、</w:t>
            </w:r>
            <w:r>
              <w:rPr>
                <w:rFonts w:hint="default" w:ascii="Times New Roman" w:hAnsi="Times New Roman" w:cs="Times New Roman"/>
                <w:b w:val="0"/>
                <w:bCs w:val="0"/>
                <w:color w:val="000000" w:themeColor="text1"/>
                <w:sz w:val="24"/>
                <w:szCs w:val="24"/>
                <w:lang w:val="en-US" w:eastAsia="zh-CN"/>
              </w:rPr>
              <w:t>根据</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饮食业油烟排放标准（</w:t>
            </w:r>
            <w:r>
              <w:rPr>
                <w:rFonts w:hint="eastAsia" w:cs="Times New Roman"/>
                <w:color w:val="000000" w:themeColor="text1"/>
                <w:sz w:val="24"/>
                <w:szCs w:val="24"/>
                <w:lang w:val="en-US" w:eastAsia="zh-CN"/>
              </w:rPr>
              <w:t>试行</w:t>
            </w:r>
            <w:r>
              <w:rPr>
                <w:rFonts w:hint="default" w:ascii="Times New Roman" w:hAnsi="Times New Roman" w:cs="Times New Roman"/>
                <w:color w:val="000000" w:themeColor="text1"/>
                <w:sz w:val="24"/>
                <w:szCs w:val="24"/>
                <w:lang w:val="en-US" w:eastAsia="zh-CN"/>
              </w:rPr>
              <w:t>）</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GB18483-2001</w:t>
            </w:r>
            <w:r>
              <w:rPr>
                <w:rFonts w:hint="default" w:ascii="Times New Roman" w:hAnsi="Times New Roman" w:cs="Times New Roman"/>
                <w:color w:val="000000" w:themeColor="text1"/>
                <w:sz w:val="24"/>
                <w:szCs w:val="24"/>
                <w:lang w:eastAsia="zh-CN"/>
              </w:rPr>
              <w:t>）</w:t>
            </w:r>
            <w:r>
              <w:rPr>
                <w:rFonts w:hint="eastAsia" w:cs="Times New Roman"/>
                <w:color w:val="000000" w:themeColor="text1"/>
                <w:sz w:val="24"/>
                <w:szCs w:val="24"/>
                <w:lang w:val="en-US" w:eastAsia="zh-CN"/>
              </w:rPr>
              <w:t xml:space="preserve">中“5.3 </w:t>
            </w:r>
            <w:r>
              <w:rPr>
                <w:rFonts w:hint="default" w:ascii="Times New Roman" w:hAnsi="Times New Roman" w:cs="Times New Roman"/>
                <w:b w:val="0"/>
                <w:bCs w:val="0"/>
                <w:color w:val="000000" w:themeColor="text1"/>
                <w:sz w:val="24"/>
                <w:szCs w:val="24"/>
                <w:lang w:val="en-US" w:eastAsia="zh-CN"/>
              </w:rPr>
              <w:t>排气筒出口朝向应避开易受影响的建筑物</w:t>
            </w:r>
            <w:r>
              <w:rPr>
                <w:rFonts w:hint="eastAsia" w:cs="Times New Roman"/>
                <w:b w:val="0"/>
                <w:bCs w:val="0"/>
                <w:color w:val="000000" w:themeColor="text1"/>
                <w:sz w:val="24"/>
                <w:szCs w:val="24"/>
                <w:lang w:val="en-US" w:eastAsia="zh-CN"/>
              </w:rPr>
              <w:t>。”，本项目</w:t>
            </w:r>
            <w:r>
              <w:rPr>
                <w:rFonts w:hint="default" w:ascii="Times New Roman" w:hAnsi="Times New Roman" w:cs="Times New Roman"/>
                <w:b w:val="0"/>
                <w:bCs w:val="0"/>
                <w:color w:val="000000" w:themeColor="text1"/>
                <w:sz w:val="24"/>
                <w:szCs w:val="24"/>
                <w:lang w:val="en-US" w:eastAsia="zh-CN"/>
              </w:rPr>
              <w:t>油烟废气排气筒位于办公楼楼顶</w:t>
            </w:r>
            <w:r>
              <w:rPr>
                <w:rFonts w:hint="eastAsia" w:cs="Times New Roman"/>
                <w:b w:val="0"/>
                <w:bCs w:val="0"/>
                <w:color w:val="000000" w:themeColor="text1"/>
                <w:sz w:val="24"/>
                <w:szCs w:val="24"/>
                <w:lang w:val="en-US" w:eastAsia="zh-CN"/>
              </w:rPr>
              <w:t>（20m）</w:t>
            </w:r>
            <w:r>
              <w:rPr>
                <w:rFonts w:hint="default" w:ascii="Times New Roman" w:hAnsi="Times New Roman" w:cs="Times New Roman"/>
                <w:b w:val="0"/>
                <w:bCs w:val="0"/>
                <w:color w:val="000000" w:themeColor="text1"/>
                <w:sz w:val="24"/>
                <w:szCs w:val="24"/>
                <w:lang w:val="en-US" w:eastAsia="zh-CN"/>
              </w:rPr>
              <w:t>，周边无易受影响的建筑物，设置位置合理</w:t>
            </w:r>
            <w:r>
              <w:rPr>
                <w:rFonts w:hint="eastAsia" w:cs="Times New Roman"/>
                <w:b w:val="0"/>
                <w:bCs w:val="0"/>
                <w:color w:val="000000" w:themeColor="text1"/>
                <w:sz w:val="24"/>
                <w:szCs w:val="24"/>
                <w:lang w:val="en-US" w:eastAsia="zh-CN"/>
              </w:rPr>
              <w:t>。</w:t>
            </w:r>
            <w:r>
              <w:rPr>
                <w:rFonts w:hint="default" w:ascii="Times New Roman" w:hAnsi="Times New Roman" w:cs="Times New Roman"/>
                <w:b w:val="0"/>
                <w:bCs w:val="0"/>
                <w:color w:val="000000" w:themeColor="text1"/>
                <w:sz w:val="24"/>
                <w:szCs w:val="24"/>
                <w:lang w:val="en-US" w:eastAsia="zh-CN"/>
              </w:rPr>
              <w:t>根据</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饮食业油烟排放标准（</w:t>
            </w:r>
            <w:r>
              <w:rPr>
                <w:rFonts w:hint="eastAsia" w:cs="Times New Roman"/>
                <w:color w:val="000000" w:themeColor="text1"/>
                <w:sz w:val="24"/>
                <w:szCs w:val="24"/>
                <w:lang w:val="en-US" w:eastAsia="zh-CN"/>
              </w:rPr>
              <w:t>试行</w:t>
            </w:r>
            <w:r>
              <w:rPr>
                <w:rFonts w:hint="default" w:ascii="Times New Roman" w:hAnsi="Times New Roman" w:cs="Times New Roman"/>
                <w:color w:val="000000" w:themeColor="text1"/>
                <w:sz w:val="24"/>
                <w:szCs w:val="24"/>
                <w:lang w:val="en-US" w:eastAsia="zh-CN"/>
              </w:rPr>
              <w:t>）</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GB18483-2001</w:t>
            </w:r>
            <w:r>
              <w:rPr>
                <w:rFonts w:hint="default" w:ascii="Times New Roman" w:hAnsi="Times New Roman" w:cs="Times New Roman"/>
                <w:color w:val="000000" w:themeColor="text1"/>
                <w:sz w:val="24"/>
                <w:szCs w:val="24"/>
                <w:lang w:eastAsia="zh-CN"/>
              </w:rPr>
              <w:t>）</w:t>
            </w:r>
            <w:r>
              <w:rPr>
                <w:rFonts w:hint="eastAsia" w:cs="Times New Roman"/>
                <w:color w:val="000000" w:themeColor="text1"/>
                <w:sz w:val="24"/>
                <w:szCs w:val="24"/>
                <w:lang w:val="en-US" w:eastAsia="zh-CN"/>
              </w:rPr>
              <w:t>中“5.2 排气筒出口段的长度至少应有4.5倍直径（或当量直径）的平直管段。”</w:t>
            </w:r>
            <w:r>
              <w:rPr>
                <w:rFonts w:hint="eastAsia" w:cs="Times New Roman"/>
                <w:b w:val="0"/>
                <w:bCs w:val="0"/>
                <w:color w:val="000000" w:themeColor="text1"/>
                <w:sz w:val="24"/>
                <w:szCs w:val="24"/>
                <w:lang w:val="en-US" w:eastAsia="zh-CN"/>
              </w:rPr>
              <w:t>，现有</w:t>
            </w:r>
            <w:r>
              <w:rPr>
                <w:rFonts w:hint="default" w:ascii="Times New Roman" w:hAnsi="Times New Roman" w:cs="Times New Roman"/>
                <w:b w:val="0"/>
                <w:bCs w:val="0"/>
                <w:color w:val="000000" w:themeColor="text1"/>
                <w:sz w:val="24"/>
                <w:szCs w:val="24"/>
                <w:lang w:val="en-US" w:eastAsia="zh-CN"/>
              </w:rPr>
              <w:t>排气筒</w:t>
            </w:r>
            <w:r>
              <w:rPr>
                <w:rFonts w:hint="eastAsia" w:cs="Times New Roman"/>
                <w:b w:val="0"/>
                <w:bCs w:val="0"/>
                <w:color w:val="000000" w:themeColor="text1"/>
                <w:sz w:val="24"/>
                <w:szCs w:val="24"/>
                <w:lang w:val="en-US" w:eastAsia="zh-CN"/>
              </w:rPr>
              <w:t>直径0.4m，</w:t>
            </w:r>
            <w:r>
              <w:rPr>
                <w:rFonts w:hint="default" w:ascii="Times New Roman" w:hAnsi="Times New Roman" w:cs="Times New Roman"/>
                <w:b w:val="0"/>
                <w:bCs w:val="0"/>
                <w:color w:val="000000" w:themeColor="text1"/>
                <w:sz w:val="24"/>
                <w:szCs w:val="24"/>
                <w:lang w:val="en-US" w:eastAsia="zh-CN"/>
              </w:rPr>
              <w:t>出口段</w:t>
            </w:r>
            <w:r>
              <w:rPr>
                <w:rFonts w:hint="eastAsia" w:cs="Times New Roman"/>
                <w:b w:val="0"/>
                <w:bCs w:val="0"/>
                <w:color w:val="000000" w:themeColor="text1"/>
                <w:sz w:val="24"/>
                <w:szCs w:val="24"/>
                <w:lang w:val="en-US" w:eastAsia="zh-CN"/>
              </w:rPr>
              <w:t>为</w:t>
            </w:r>
            <w:r>
              <w:rPr>
                <w:rFonts w:hint="default" w:ascii="Times New Roman" w:hAnsi="Times New Roman" w:cs="Times New Roman"/>
                <w:b w:val="0"/>
                <w:bCs w:val="0"/>
                <w:color w:val="000000" w:themeColor="text1"/>
                <w:sz w:val="24"/>
                <w:szCs w:val="24"/>
                <w:lang w:val="en-US" w:eastAsia="zh-CN"/>
              </w:rPr>
              <w:t>长度</w:t>
            </w:r>
            <w:r>
              <w:rPr>
                <w:rFonts w:hint="eastAsia" w:cs="Times New Roman"/>
                <w:b w:val="0"/>
                <w:bCs w:val="0"/>
                <w:color w:val="000000" w:themeColor="text1"/>
                <w:sz w:val="24"/>
                <w:szCs w:val="24"/>
                <w:lang w:val="en-US" w:eastAsia="zh-CN"/>
              </w:rPr>
              <w:t>仅0.5m的弯管</w:t>
            </w:r>
            <w:r>
              <w:rPr>
                <w:rFonts w:hint="default" w:ascii="Times New Roman" w:hAnsi="Times New Roman" w:cs="Times New Roman"/>
                <w:b w:val="0"/>
                <w:bCs w:val="0"/>
                <w:color w:val="000000" w:themeColor="text1"/>
                <w:sz w:val="24"/>
                <w:szCs w:val="24"/>
                <w:lang w:val="en-US" w:eastAsia="zh-CN"/>
              </w:rPr>
              <w:t>，</w:t>
            </w:r>
            <w:r>
              <w:rPr>
                <w:rFonts w:hint="eastAsia" w:cs="Times New Roman"/>
                <w:b w:val="0"/>
                <w:bCs w:val="0"/>
                <w:color w:val="000000" w:themeColor="text1"/>
                <w:sz w:val="24"/>
                <w:szCs w:val="24"/>
                <w:lang w:val="en-US" w:eastAsia="zh-CN"/>
              </w:rPr>
              <w:t>需将排气筒出口段改造为长2.4m（需同时满足采样口设置要求）的平直管道</w:t>
            </w:r>
            <w:r>
              <w:rPr>
                <w:rFonts w:hint="default" w:ascii="Times New Roman" w:hAnsi="Times New Roman" w:cs="Times New Roman"/>
                <w:b w:val="0"/>
                <w:bCs w:val="0"/>
                <w:color w:val="000000" w:themeColor="text1"/>
                <w:sz w:val="24"/>
                <w:szCs w:val="24"/>
                <w:lang w:val="en-US" w:eastAsia="zh-CN"/>
              </w:rPr>
              <w:t>，</w:t>
            </w:r>
            <w:r>
              <w:rPr>
                <w:rFonts w:hint="eastAsia" w:cs="Times New Roman"/>
                <w:b w:val="0"/>
                <w:bCs w:val="0"/>
                <w:color w:val="000000" w:themeColor="text1"/>
                <w:sz w:val="24"/>
                <w:szCs w:val="24"/>
                <w:lang w:val="en-US" w:eastAsia="zh-CN"/>
              </w:rPr>
              <w:t>并</w:t>
            </w:r>
            <w:r>
              <w:rPr>
                <w:rFonts w:hint="default" w:ascii="Times New Roman" w:hAnsi="Times New Roman" w:cs="Times New Roman"/>
                <w:b w:val="0"/>
                <w:bCs w:val="0"/>
                <w:color w:val="000000" w:themeColor="text1"/>
                <w:sz w:val="24"/>
                <w:szCs w:val="24"/>
                <w:lang w:val="en-US" w:eastAsia="zh-CN"/>
              </w:rPr>
              <w:t>设置符合《排污单位污染物排放口监测点位设置技术规范》（HJ 1405-2024）</w:t>
            </w:r>
            <w:r>
              <w:rPr>
                <w:rFonts w:hint="eastAsia" w:cs="Times New Roman"/>
                <w:b w:val="0"/>
                <w:bCs w:val="0"/>
                <w:color w:val="000000" w:themeColor="text1"/>
                <w:sz w:val="24"/>
                <w:szCs w:val="24"/>
                <w:lang w:val="en-US" w:eastAsia="zh-CN"/>
              </w:rPr>
              <w:t>“4.3条”中</w:t>
            </w:r>
            <w:r>
              <w:rPr>
                <w:rFonts w:hint="default" w:ascii="Times New Roman" w:hAnsi="Times New Roman" w:cs="Times New Roman"/>
                <w:b w:val="0"/>
                <w:bCs w:val="0"/>
                <w:color w:val="000000" w:themeColor="text1"/>
                <w:sz w:val="24"/>
                <w:szCs w:val="24"/>
                <w:lang w:val="en-US" w:eastAsia="zh-CN"/>
              </w:rPr>
              <w:t>相关要求的采样孔</w:t>
            </w:r>
            <w:r>
              <w:rPr>
                <w:rFonts w:hint="eastAsia" w:cs="Times New Roman"/>
                <w:b w:val="0"/>
                <w:bCs w:val="0"/>
                <w:color w:val="000000" w:themeColor="text1"/>
                <w:sz w:val="24"/>
                <w:szCs w:val="24"/>
                <w:lang w:val="en-US" w:eastAsia="zh-CN"/>
              </w:rPr>
              <w:t>。</w:t>
            </w:r>
          </w:p>
          <w:p w14:paraId="778F854A">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szCs w:val="24"/>
                <w:lang w:val="en-US" w:eastAsia="zh-CN"/>
              </w:rPr>
            </w:pPr>
            <w:r>
              <w:rPr>
                <w:rFonts w:hint="eastAsia" w:cs="Times New Roman"/>
                <w:b w:val="0"/>
                <w:bCs w:val="0"/>
                <w:color w:val="000000" w:themeColor="text1"/>
                <w:sz w:val="24"/>
                <w:szCs w:val="24"/>
                <w:lang w:val="en-US" w:eastAsia="zh-CN"/>
              </w:rPr>
              <w:t>按上述要求整改后，项目油烟废气排气筒的高度、出口朝向、出口长度均能满足</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饮食业油烟排放标准（</w:t>
            </w:r>
            <w:r>
              <w:rPr>
                <w:rFonts w:hint="eastAsia" w:cs="Times New Roman"/>
                <w:color w:val="000000" w:themeColor="text1"/>
                <w:sz w:val="24"/>
                <w:szCs w:val="24"/>
                <w:lang w:val="en-US" w:eastAsia="zh-CN"/>
              </w:rPr>
              <w:t>试行</w:t>
            </w:r>
            <w:r>
              <w:rPr>
                <w:rFonts w:hint="default" w:ascii="Times New Roman" w:hAnsi="Times New Roman" w:cs="Times New Roman"/>
                <w:color w:val="000000" w:themeColor="text1"/>
                <w:sz w:val="24"/>
                <w:szCs w:val="24"/>
                <w:lang w:val="en-US" w:eastAsia="zh-CN"/>
              </w:rPr>
              <w:t>）</w:t>
            </w:r>
            <w:r>
              <w:rPr>
                <w:rFonts w:hint="default" w:ascii="Times New Roman" w:hAnsi="Times New Roman" w:cs="Times New Roman"/>
                <w:color w:val="000000" w:themeColor="text1"/>
                <w:sz w:val="24"/>
                <w:szCs w:val="24"/>
                <w:lang w:eastAsia="zh-CN"/>
              </w:rPr>
              <w:t>》（</w:t>
            </w:r>
            <w:r>
              <w:rPr>
                <w:rFonts w:hint="default" w:ascii="Times New Roman" w:hAnsi="Times New Roman" w:cs="Times New Roman"/>
                <w:color w:val="000000" w:themeColor="text1"/>
                <w:sz w:val="24"/>
                <w:szCs w:val="24"/>
                <w:lang w:val="en-US" w:eastAsia="zh-CN"/>
              </w:rPr>
              <w:t>GB18483-2001</w:t>
            </w:r>
            <w:r>
              <w:rPr>
                <w:rFonts w:hint="default" w:ascii="Times New Roman" w:hAnsi="Times New Roman" w:cs="Times New Roman"/>
                <w:color w:val="000000" w:themeColor="text1"/>
                <w:sz w:val="24"/>
                <w:szCs w:val="24"/>
                <w:lang w:eastAsia="zh-CN"/>
              </w:rPr>
              <w:t>）</w:t>
            </w:r>
            <w:r>
              <w:rPr>
                <w:rFonts w:hint="eastAsia" w:ascii="Times New Roman" w:hAnsi="Times New Roman" w:cs="Times New Roman"/>
                <w:color w:val="000000" w:themeColor="text1"/>
                <w:sz w:val="24"/>
                <w:szCs w:val="24"/>
                <w:lang w:val="en-US" w:eastAsia="zh-CN"/>
              </w:rPr>
              <w:t>标准要求</w:t>
            </w:r>
            <w:r>
              <w:rPr>
                <w:rFonts w:hint="default" w:ascii="Times New Roman" w:hAnsi="Times New Roman" w:cs="Times New Roman"/>
                <w:b w:val="0"/>
                <w:bCs w:val="0"/>
                <w:color w:val="000000" w:themeColor="text1"/>
                <w:sz w:val="24"/>
                <w:szCs w:val="24"/>
                <w:lang w:val="en-US" w:eastAsia="zh-CN"/>
              </w:rPr>
              <w:t>；</w:t>
            </w:r>
          </w:p>
          <w:p w14:paraId="663707F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00" w:themeColor="text1"/>
                <w:sz w:val="24"/>
                <w:szCs w:val="24"/>
                <w:lang w:val="en-US" w:eastAsia="zh-CN"/>
              </w:rPr>
            </w:pPr>
            <w:r>
              <w:rPr>
                <w:rFonts w:hint="default" w:ascii="Times New Roman" w:hAnsi="Times New Roman" w:cs="Times New Roman"/>
                <w:b w:val="0"/>
                <w:bCs w:val="0"/>
                <w:color w:val="000000" w:themeColor="text1"/>
                <w:sz w:val="24"/>
                <w:szCs w:val="24"/>
                <w:lang w:val="en-US" w:eastAsia="zh-CN"/>
              </w:rPr>
              <w:t>2、根据《锅炉大气污染物排放标准》（GB13271-2014）</w:t>
            </w:r>
            <w:r>
              <w:rPr>
                <w:rFonts w:hint="eastAsia" w:cs="Times New Roman"/>
                <w:b w:val="0"/>
                <w:bCs w:val="0"/>
                <w:color w:val="000000" w:themeColor="text1"/>
                <w:sz w:val="24"/>
                <w:szCs w:val="24"/>
                <w:lang w:val="en-US" w:eastAsia="zh-CN"/>
              </w:rPr>
              <w:t>中“4.5 锅炉大气污染物排放标准”</w:t>
            </w:r>
            <w:r>
              <w:rPr>
                <w:rFonts w:hint="default" w:ascii="Times New Roman" w:hAnsi="Times New Roman" w:cs="Times New Roman"/>
                <w:b w:val="0"/>
                <w:bCs w:val="0"/>
                <w:color w:val="000000" w:themeColor="text1"/>
                <w:sz w:val="24"/>
                <w:szCs w:val="24"/>
                <w:lang w:val="en-US" w:eastAsia="zh-CN"/>
              </w:rPr>
              <w:t>，燃气锅炉烟囱不低于8m，本项目锅炉烟囱高度为8m，满足高度要求</w:t>
            </w:r>
            <w:r>
              <w:rPr>
                <w:rFonts w:hint="eastAsia" w:cs="Times New Roman"/>
                <w:b w:val="0"/>
                <w:bCs w:val="0"/>
                <w:color w:val="000000" w:themeColor="text1"/>
                <w:sz w:val="24"/>
                <w:szCs w:val="24"/>
                <w:lang w:val="en-US" w:eastAsia="zh-CN"/>
              </w:rPr>
              <w:t>；</w:t>
            </w:r>
            <w:r>
              <w:rPr>
                <w:rFonts w:hint="default" w:ascii="Times New Roman" w:hAnsi="Times New Roman" w:cs="Times New Roman"/>
                <w:b w:val="0"/>
                <w:bCs w:val="0"/>
                <w:color w:val="000000" w:themeColor="text1"/>
                <w:sz w:val="24"/>
                <w:szCs w:val="24"/>
                <w:lang w:val="en-US" w:eastAsia="zh-CN"/>
              </w:rPr>
              <w:t>排气筒采样孔</w:t>
            </w:r>
            <w:r>
              <w:rPr>
                <w:rFonts w:hint="eastAsia" w:cs="Times New Roman"/>
                <w:b w:val="0"/>
                <w:bCs w:val="0"/>
                <w:color w:val="000000" w:themeColor="text1"/>
                <w:sz w:val="24"/>
                <w:szCs w:val="24"/>
                <w:lang w:val="en-US" w:eastAsia="zh-CN"/>
              </w:rPr>
              <w:t>位置距弯头较近</w:t>
            </w:r>
            <w:r>
              <w:rPr>
                <w:rFonts w:hint="default" w:ascii="Times New Roman" w:hAnsi="Times New Roman" w:cs="Times New Roman"/>
                <w:b w:val="0"/>
                <w:bCs w:val="0"/>
                <w:color w:val="000000" w:themeColor="text1"/>
                <w:sz w:val="24"/>
                <w:szCs w:val="24"/>
                <w:lang w:val="en-US" w:eastAsia="zh-CN"/>
              </w:rPr>
              <w:t>，建议按照《排污单位污染物排放口监测点位设置技术规范》（HJ 1405-2024）</w:t>
            </w:r>
            <w:r>
              <w:rPr>
                <w:rFonts w:hint="eastAsia" w:cs="Times New Roman"/>
                <w:b w:val="0"/>
                <w:bCs w:val="0"/>
                <w:color w:val="000000" w:themeColor="text1"/>
                <w:sz w:val="24"/>
                <w:szCs w:val="24"/>
                <w:lang w:val="en-US" w:eastAsia="zh-CN"/>
              </w:rPr>
              <w:t>“4.3条”中</w:t>
            </w:r>
            <w:r>
              <w:rPr>
                <w:rFonts w:hint="default" w:ascii="Times New Roman" w:hAnsi="Times New Roman" w:cs="Times New Roman"/>
                <w:b w:val="0"/>
                <w:bCs w:val="0"/>
                <w:color w:val="000000" w:themeColor="text1"/>
                <w:sz w:val="24"/>
                <w:szCs w:val="24"/>
                <w:lang w:val="en-US" w:eastAsia="zh-CN"/>
              </w:rPr>
              <w:t xml:space="preserve">相关要求的采样孔；  </w:t>
            </w:r>
          </w:p>
          <w:p w14:paraId="1D1510D4">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Cs/>
                <w:color w:val="000000" w:themeColor="text1"/>
                <w:sz w:val="24"/>
                <w:szCs w:val="24"/>
                <w:lang w:val="en-US" w:eastAsia="zh-CN"/>
              </w:rPr>
            </w:pPr>
            <w:r>
              <w:rPr>
                <w:rFonts w:hint="default" w:ascii="Times New Roman" w:hAnsi="Times New Roman" w:cs="Times New Roman"/>
                <w:bCs/>
                <w:color w:val="000000" w:themeColor="text1"/>
                <w:sz w:val="24"/>
                <w:szCs w:val="24"/>
                <w:lang w:val="en-US" w:eastAsia="zh-CN"/>
              </w:rPr>
              <w:t>3、污水处理站臭气处理系统排气筒</w:t>
            </w:r>
            <w:r>
              <w:rPr>
                <w:rFonts w:hint="eastAsia" w:cs="Times New Roman"/>
                <w:bCs/>
                <w:color w:val="000000" w:themeColor="text1"/>
                <w:sz w:val="24"/>
                <w:szCs w:val="24"/>
                <w:lang w:val="en-US" w:eastAsia="zh-CN"/>
              </w:rPr>
              <w:t>位于污水站设备间楼顶，</w:t>
            </w:r>
            <w:r>
              <w:rPr>
                <w:rFonts w:hint="default" w:ascii="Times New Roman" w:hAnsi="Times New Roman" w:cs="Times New Roman"/>
                <w:bCs/>
                <w:color w:val="000000" w:themeColor="text1"/>
                <w:sz w:val="24"/>
                <w:szCs w:val="24"/>
                <w:lang w:val="en-US" w:eastAsia="zh-CN"/>
              </w:rPr>
              <w:t>高度</w:t>
            </w:r>
            <w:r>
              <w:rPr>
                <w:rFonts w:hint="eastAsia" w:cs="Times New Roman"/>
                <w:bCs/>
                <w:color w:val="000000" w:themeColor="text1"/>
                <w:sz w:val="24"/>
                <w:szCs w:val="24"/>
                <w:lang w:val="en-US" w:eastAsia="zh-CN"/>
              </w:rPr>
              <w:t>约3m</w:t>
            </w:r>
            <w:r>
              <w:rPr>
                <w:rFonts w:hint="default" w:ascii="Times New Roman" w:hAnsi="Times New Roman" w:cs="Times New Roman"/>
                <w:bCs/>
                <w:color w:val="000000" w:themeColor="text1"/>
                <w:sz w:val="24"/>
                <w:szCs w:val="24"/>
                <w:lang w:val="en-US" w:eastAsia="zh-CN"/>
              </w:rPr>
              <w:t>，</w:t>
            </w:r>
            <w:r>
              <w:rPr>
                <w:rFonts w:hint="eastAsia" w:cs="Times New Roman"/>
                <w:bCs/>
                <w:color w:val="000000" w:themeColor="text1"/>
                <w:sz w:val="24"/>
                <w:szCs w:val="24"/>
                <w:lang w:val="en-US" w:eastAsia="zh-CN"/>
              </w:rPr>
              <w:t>需</w:t>
            </w:r>
            <w:r>
              <w:rPr>
                <w:rFonts w:hint="default" w:ascii="Times New Roman" w:hAnsi="Times New Roman" w:cs="Times New Roman"/>
                <w:bCs/>
                <w:color w:val="000000" w:themeColor="text1"/>
                <w:sz w:val="24"/>
                <w:szCs w:val="24"/>
                <w:lang w:val="en-US" w:eastAsia="zh-CN"/>
              </w:rPr>
              <w:t>用排气管道引至综合楼楼顶</w:t>
            </w:r>
            <w:r>
              <w:rPr>
                <w:rFonts w:hint="eastAsia" w:cs="Times New Roman"/>
                <w:bCs/>
                <w:color w:val="000000" w:themeColor="text1"/>
                <w:sz w:val="24"/>
                <w:szCs w:val="24"/>
                <w:lang w:val="en-US" w:eastAsia="zh-CN"/>
              </w:rPr>
              <w:t>（63m）</w:t>
            </w:r>
            <w:r>
              <w:rPr>
                <w:rFonts w:hint="default" w:ascii="Times New Roman" w:hAnsi="Times New Roman" w:cs="Times New Roman"/>
                <w:bCs/>
                <w:color w:val="000000" w:themeColor="text1"/>
                <w:sz w:val="24"/>
                <w:szCs w:val="24"/>
                <w:lang w:val="en-US" w:eastAsia="zh-CN"/>
              </w:rPr>
              <w:t>高空排放</w:t>
            </w:r>
            <w:r>
              <w:rPr>
                <w:rFonts w:hint="eastAsia" w:cs="Times New Roman"/>
                <w:bCs/>
                <w:color w:val="000000" w:themeColor="text1"/>
                <w:sz w:val="24"/>
                <w:szCs w:val="24"/>
                <w:lang w:val="en-US" w:eastAsia="zh-CN"/>
              </w:rPr>
              <w:t>，以满足相关标准要求；排气筒内径0.3m，估算烟气流速为11.79m/s排气筒内径均与风量匹配，符合要求。</w:t>
            </w:r>
          </w:p>
          <w:p w14:paraId="09413729">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szCs w:val="24"/>
                <w:lang w:val="en-US" w:eastAsia="zh-CN"/>
              </w:rPr>
            </w:pPr>
            <w:r>
              <w:rPr>
                <w:rFonts w:hint="default" w:ascii="Times New Roman" w:hAnsi="Times New Roman" w:cs="Times New Roman"/>
                <w:b w:val="0"/>
                <w:bCs w:val="0"/>
                <w:color w:val="000000" w:themeColor="text1"/>
                <w:sz w:val="24"/>
                <w:szCs w:val="24"/>
                <w:lang w:val="en-US" w:eastAsia="zh-CN"/>
              </w:rPr>
              <w:t>在严格按照本环评的要求进行整改后，本项目的排气筒设置合理。</w:t>
            </w:r>
          </w:p>
          <w:p w14:paraId="21230981">
            <w:pPr>
              <w:keepNext w:val="0"/>
              <w:keepLines w:val="0"/>
              <w:pageBreakBefore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w:t>
            </w:r>
            <w:r>
              <w:rPr>
                <w:rFonts w:hint="default" w:ascii="Times New Roman" w:hAnsi="Times New Roman" w:cs="Times New Roman"/>
                <w:b/>
                <w:bCs/>
                <w:color w:val="000000" w:themeColor="text1"/>
                <w:sz w:val="24"/>
                <w:szCs w:val="24"/>
                <w:lang w:val="en-US" w:eastAsia="zh-CN"/>
              </w:rPr>
              <w:t>8</w:t>
            </w:r>
            <w:r>
              <w:rPr>
                <w:rFonts w:hint="default" w:ascii="Times New Roman" w:hAnsi="Times New Roman" w:eastAsia="宋体" w:cs="Times New Roman"/>
                <w:b/>
                <w:bCs/>
                <w:color w:val="000000" w:themeColor="text1"/>
                <w:sz w:val="24"/>
                <w:szCs w:val="24"/>
              </w:rPr>
              <w:t>）废气</w:t>
            </w:r>
            <w:r>
              <w:rPr>
                <w:rFonts w:hint="eastAsia" w:cs="Times New Roman"/>
                <w:b/>
                <w:bCs/>
                <w:color w:val="000000" w:themeColor="text1"/>
                <w:sz w:val="24"/>
                <w:szCs w:val="24"/>
                <w:lang w:val="en-US" w:eastAsia="zh-CN"/>
              </w:rPr>
              <w:t>处理工艺</w:t>
            </w:r>
            <w:r>
              <w:rPr>
                <w:rFonts w:hint="default" w:ascii="Times New Roman" w:hAnsi="Times New Roman" w:eastAsia="宋体" w:cs="Times New Roman"/>
                <w:b/>
                <w:bCs/>
                <w:color w:val="000000" w:themeColor="text1"/>
                <w:sz w:val="24"/>
                <w:szCs w:val="24"/>
              </w:rPr>
              <w:t>可行性分析</w:t>
            </w:r>
          </w:p>
          <w:p w14:paraId="3EA91EB5">
            <w:pPr>
              <w:pStyle w:val="11"/>
              <w:keepNext w:val="0"/>
              <w:keepLines w:val="0"/>
              <w:pageBreakBefore w:val="0"/>
              <w:kinsoku/>
              <w:wordWrap/>
              <w:overflowPunct/>
              <w:topLinePunct w:val="0"/>
              <w:autoSpaceDE/>
              <w:autoSpaceDN/>
              <w:bidi w:val="0"/>
              <w:snapToGrid w:val="0"/>
              <w:spacing w:before="0" w:after="0" w:line="360" w:lineRule="auto"/>
              <w:ind w:firstLine="480" w:firstLineChars="200"/>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根据《</w:t>
            </w:r>
            <w:r>
              <w:rPr>
                <w:rFonts w:hint="eastAsia" w:cs="Times New Roman"/>
                <w:color w:val="000000" w:themeColor="text1"/>
                <w:sz w:val="24"/>
                <w:szCs w:val="24"/>
                <w:lang w:eastAsia="zh-CN"/>
              </w:rPr>
              <w:t>排污许可证申请与核发技术规范</w:t>
            </w:r>
            <w:r>
              <w:rPr>
                <w:rFonts w:hint="default" w:ascii="Times New Roman" w:hAnsi="Times New Roman" w:eastAsia="宋体" w:cs="Times New Roman"/>
                <w:color w:val="000000" w:themeColor="text1"/>
                <w:sz w:val="24"/>
                <w:szCs w:val="24"/>
              </w:rPr>
              <w:t xml:space="preserve"> 医疗机构》（HJ1105-2020）</w:t>
            </w:r>
            <w:r>
              <w:rPr>
                <w:rFonts w:hint="default" w:ascii="Times New Roman" w:hAnsi="Times New Roman" w:cs="Times New Roman"/>
                <w:color w:val="000000" w:themeColor="text1"/>
                <w:sz w:val="24"/>
                <w:szCs w:val="24"/>
                <w:lang w:val="en-US" w:eastAsia="zh-CN"/>
              </w:rPr>
              <w:t>和</w:t>
            </w:r>
            <w:r>
              <w:rPr>
                <w:rFonts w:hint="default" w:ascii="Times New Roman" w:hAnsi="Times New Roman" w:eastAsia="宋体" w:cs="Times New Roman"/>
                <w:color w:val="000000" w:themeColor="text1"/>
                <w:sz w:val="24"/>
                <w:szCs w:val="24"/>
              </w:rPr>
              <w:t>《</w:t>
            </w:r>
            <w:r>
              <w:rPr>
                <w:rFonts w:hint="eastAsia" w:cs="Times New Roman"/>
                <w:color w:val="000000" w:themeColor="text1"/>
                <w:sz w:val="24"/>
                <w:szCs w:val="24"/>
                <w:lang w:eastAsia="zh-CN"/>
              </w:rPr>
              <w:t>排污许可证申请与核发技术规范</w:t>
            </w:r>
            <w:r>
              <w:rPr>
                <w:rFonts w:hint="default" w:ascii="Times New Roman" w:hAnsi="Times New Roman" w:eastAsia="宋体" w:cs="Times New Roman"/>
                <w:color w:val="000000" w:themeColor="text1"/>
                <w:sz w:val="24"/>
                <w:szCs w:val="24"/>
              </w:rPr>
              <w:t xml:space="preserve"> </w:t>
            </w:r>
            <w:r>
              <w:rPr>
                <w:rFonts w:hint="eastAsia" w:ascii="Times New Roman" w:hAnsi="Times New Roman" w:eastAsia="宋体" w:cs="Times New Roman"/>
                <w:color w:val="000000" w:themeColor="text1"/>
                <w:sz w:val="24"/>
                <w:szCs w:val="24"/>
                <w:lang w:val="en-US" w:eastAsia="zh-CN"/>
              </w:rPr>
              <w:t>锅炉</w:t>
            </w:r>
            <w:r>
              <w:rPr>
                <w:rFonts w:hint="default" w:ascii="Times New Roman" w:hAnsi="Times New Roman" w:eastAsia="宋体" w:cs="Times New Roman"/>
                <w:color w:val="000000" w:themeColor="text1"/>
                <w:sz w:val="24"/>
                <w:szCs w:val="24"/>
              </w:rPr>
              <w:t>》</w:t>
            </w:r>
            <w:r>
              <w:rPr>
                <w:rFonts w:hint="default" w:ascii="Times New Roman" w:hAnsi="Times New Roman" w:cs="Times New Roman"/>
                <w:color w:val="000000" w:themeColor="text1"/>
                <w:sz w:val="24"/>
                <w:szCs w:val="24"/>
                <w:lang w:eastAsia="zh-CN"/>
              </w:rPr>
              <w:t>（</w:t>
            </w:r>
            <w:r>
              <w:rPr>
                <w:rFonts w:hint="eastAsia" w:cs="Times New Roman"/>
                <w:color w:val="000000" w:themeColor="text1"/>
                <w:sz w:val="24"/>
                <w:szCs w:val="24"/>
                <w:lang w:val="en-US" w:eastAsia="zh-CN"/>
              </w:rPr>
              <w:t>HJ953-2018</w:t>
            </w:r>
            <w:r>
              <w:rPr>
                <w:rFonts w:hint="default" w:ascii="Times New Roman" w:hAnsi="Times New Roman" w:cs="Times New Roman"/>
                <w:color w:val="000000" w:themeColor="text1"/>
                <w:sz w:val="24"/>
                <w:szCs w:val="24"/>
                <w:lang w:eastAsia="zh-CN"/>
              </w:rPr>
              <w:t>）</w:t>
            </w:r>
            <w:r>
              <w:rPr>
                <w:rFonts w:hint="default" w:ascii="Times New Roman" w:hAnsi="Times New Roman" w:eastAsia="宋体" w:cs="Times New Roman"/>
                <w:color w:val="000000" w:themeColor="text1"/>
                <w:sz w:val="24"/>
                <w:szCs w:val="24"/>
              </w:rPr>
              <w:t>相关要求，对本项目废气类别、排放形式及污染治理设施进行符合性分析，具体见下表。</w:t>
            </w:r>
          </w:p>
          <w:p w14:paraId="4113BCBA">
            <w:pPr>
              <w:jc w:val="center"/>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表4-</w:t>
            </w:r>
            <w:r>
              <w:rPr>
                <w:rFonts w:hint="eastAsia" w:cs="Times New Roman"/>
                <w:b/>
                <w:bCs/>
                <w:color w:val="000000" w:themeColor="text1"/>
                <w:sz w:val="21"/>
                <w:szCs w:val="21"/>
                <w:lang w:val="en-US" w:eastAsia="zh-CN"/>
              </w:rPr>
              <w:t>9</w:t>
            </w:r>
            <w:r>
              <w:rPr>
                <w:rFonts w:hint="default" w:ascii="Times New Roman" w:hAnsi="Times New Roman" w:eastAsia="宋体" w:cs="Times New Roman"/>
                <w:b/>
                <w:bCs/>
                <w:color w:val="000000" w:themeColor="text1"/>
                <w:sz w:val="21"/>
                <w:szCs w:val="21"/>
              </w:rPr>
              <w:t xml:space="preserve"> 本项目废气排放与排污许可技术规范符合性分析</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141"/>
              <w:gridCol w:w="1117"/>
              <w:gridCol w:w="2100"/>
              <w:gridCol w:w="1080"/>
              <w:gridCol w:w="1517"/>
              <w:gridCol w:w="643"/>
            </w:tblGrid>
            <w:tr w14:paraId="7460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Merge w:val="restart"/>
                  <w:vAlign w:val="center"/>
                </w:tcPr>
                <w:p w14:paraId="767D9441">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污染源</w:t>
                  </w:r>
                </w:p>
              </w:tc>
              <w:tc>
                <w:tcPr>
                  <w:tcW w:w="1141" w:type="dxa"/>
                  <w:vMerge w:val="restart"/>
                  <w:vAlign w:val="center"/>
                </w:tcPr>
                <w:p w14:paraId="05D5235C">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污染物</w:t>
                  </w:r>
                </w:p>
              </w:tc>
              <w:tc>
                <w:tcPr>
                  <w:tcW w:w="3217" w:type="dxa"/>
                  <w:gridSpan w:val="2"/>
                  <w:vAlign w:val="center"/>
                </w:tcPr>
                <w:p w14:paraId="2C6C68D9">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技术规范要求</w:t>
                  </w:r>
                </w:p>
              </w:tc>
              <w:tc>
                <w:tcPr>
                  <w:tcW w:w="2597" w:type="dxa"/>
                  <w:gridSpan w:val="2"/>
                  <w:vAlign w:val="center"/>
                </w:tcPr>
                <w:p w14:paraId="56CAA06F">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本项目情况</w:t>
                  </w:r>
                </w:p>
              </w:tc>
              <w:tc>
                <w:tcPr>
                  <w:tcW w:w="643" w:type="dxa"/>
                  <w:vMerge w:val="restart"/>
                  <w:vAlign w:val="center"/>
                </w:tcPr>
                <w:p w14:paraId="5F862FA3">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符合性</w:t>
                  </w:r>
                </w:p>
              </w:tc>
            </w:tr>
            <w:tr w14:paraId="6D07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3" w:type="dxa"/>
                  <w:vMerge w:val="continue"/>
                  <w:vAlign w:val="center"/>
                </w:tcPr>
                <w:p w14:paraId="7A578E37">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p>
              </w:tc>
              <w:tc>
                <w:tcPr>
                  <w:tcW w:w="1141" w:type="dxa"/>
                  <w:vMerge w:val="continue"/>
                  <w:vAlign w:val="center"/>
                </w:tcPr>
                <w:p w14:paraId="483A46A5">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p>
              </w:tc>
              <w:tc>
                <w:tcPr>
                  <w:tcW w:w="1117" w:type="dxa"/>
                  <w:vAlign w:val="center"/>
                </w:tcPr>
                <w:p w14:paraId="3D189022">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排放形式</w:t>
                  </w:r>
                </w:p>
              </w:tc>
              <w:tc>
                <w:tcPr>
                  <w:tcW w:w="2100" w:type="dxa"/>
                  <w:vAlign w:val="center"/>
                </w:tcPr>
                <w:p w14:paraId="5CD51E6E">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治理措施</w:t>
                  </w:r>
                </w:p>
              </w:tc>
              <w:tc>
                <w:tcPr>
                  <w:tcW w:w="1080" w:type="dxa"/>
                  <w:vAlign w:val="center"/>
                </w:tcPr>
                <w:p w14:paraId="0304EB85">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排放形式</w:t>
                  </w:r>
                </w:p>
              </w:tc>
              <w:tc>
                <w:tcPr>
                  <w:tcW w:w="1517" w:type="dxa"/>
                  <w:vAlign w:val="center"/>
                </w:tcPr>
                <w:p w14:paraId="56602B72">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治理措施</w:t>
                  </w:r>
                </w:p>
              </w:tc>
              <w:tc>
                <w:tcPr>
                  <w:tcW w:w="643" w:type="dxa"/>
                  <w:vMerge w:val="continue"/>
                  <w:vAlign w:val="center"/>
                </w:tcPr>
                <w:p w14:paraId="2363D6B1">
                  <w:pPr>
                    <w:pStyle w:val="11"/>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p>
              </w:tc>
            </w:tr>
            <w:tr w14:paraId="3816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18EE0A7D">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污水处理站</w:t>
                  </w:r>
                </w:p>
              </w:tc>
              <w:tc>
                <w:tcPr>
                  <w:tcW w:w="1141" w:type="dxa"/>
                  <w:vAlign w:val="center"/>
                </w:tcPr>
                <w:p w14:paraId="4D66F8C3">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氨、硫化氢、臭气浓度</w:t>
                  </w:r>
                </w:p>
              </w:tc>
              <w:tc>
                <w:tcPr>
                  <w:tcW w:w="1117" w:type="dxa"/>
                  <w:vAlign w:val="center"/>
                </w:tcPr>
                <w:p w14:paraId="282FF08D">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cs="Times New Roman"/>
                      <w:color w:val="000000" w:themeColor="text1"/>
                      <w:sz w:val="21"/>
                      <w:szCs w:val="21"/>
                      <w:lang w:val="en-US" w:eastAsia="zh-CN"/>
                    </w:rPr>
                    <w:t>有</w:t>
                  </w:r>
                  <w:r>
                    <w:rPr>
                      <w:rFonts w:hint="default" w:ascii="Times New Roman" w:hAnsi="Times New Roman" w:eastAsia="宋体" w:cs="Times New Roman"/>
                      <w:color w:val="000000" w:themeColor="text1"/>
                      <w:sz w:val="21"/>
                      <w:szCs w:val="21"/>
                    </w:rPr>
                    <w:t>组织</w:t>
                  </w:r>
                </w:p>
              </w:tc>
              <w:tc>
                <w:tcPr>
                  <w:tcW w:w="2100" w:type="dxa"/>
                  <w:vAlign w:val="center"/>
                </w:tcPr>
                <w:p w14:paraId="19A2B49C">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集中收集恶臭气体经处理（喷淋塔除臭、活性炭吸附、生物除臭等）后经排气筒排放</w:t>
                  </w:r>
                </w:p>
              </w:tc>
              <w:tc>
                <w:tcPr>
                  <w:tcW w:w="1080" w:type="dxa"/>
                  <w:vAlign w:val="center"/>
                </w:tcPr>
                <w:p w14:paraId="6A91A4B9">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cs="Times New Roman"/>
                      <w:color w:val="000000" w:themeColor="text1"/>
                      <w:sz w:val="21"/>
                      <w:szCs w:val="21"/>
                      <w:lang w:val="en-US" w:eastAsia="zh-CN"/>
                    </w:rPr>
                    <w:t>有</w:t>
                  </w:r>
                  <w:r>
                    <w:rPr>
                      <w:rFonts w:hint="default" w:ascii="Times New Roman" w:hAnsi="Times New Roman" w:eastAsia="宋体" w:cs="Times New Roman"/>
                      <w:color w:val="000000" w:themeColor="text1"/>
                      <w:sz w:val="21"/>
                      <w:szCs w:val="21"/>
                    </w:rPr>
                    <w:t>组织</w:t>
                  </w:r>
                </w:p>
              </w:tc>
              <w:tc>
                <w:tcPr>
                  <w:tcW w:w="1517" w:type="dxa"/>
                  <w:vAlign w:val="center"/>
                </w:tcPr>
                <w:p w14:paraId="4B301C0F">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集中收集+碱水喷淋+活性炭吸附处理后高空排放</w:t>
                  </w:r>
                </w:p>
              </w:tc>
              <w:tc>
                <w:tcPr>
                  <w:tcW w:w="643" w:type="dxa"/>
                  <w:vAlign w:val="center"/>
                </w:tcPr>
                <w:p w14:paraId="14EED28E">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符合</w:t>
                  </w:r>
                </w:p>
              </w:tc>
            </w:tr>
            <w:tr w14:paraId="3C4A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3" w:type="dxa"/>
                  <w:vAlign w:val="center"/>
                </w:tcPr>
                <w:p w14:paraId="2740CC8D">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锅炉</w:t>
                  </w:r>
                </w:p>
              </w:tc>
              <w:tc>
                <w:tcPr>
                  <w:tcW w:w="1141" w:type="dxa"/>
                  <w:vAlign w:val="center"/>
                </w:tcPr>
                <w:p w14:paraId="3BA6A0F0">
                  <w:pPr>
                    <w:keepNext w:val="0"/>
                    <w:keepLines w:val="0"/>
                    <w:pageBreakBefore w:val="0"/>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颗粒物、SO</w:t>
                  </w:r>
                  <w:r>
                    <w:rPr>
                      <w:rFonts w:hint="default" w:ascii="Times New Roman" w:hAnsi="Times New Roman" w:cs="Times New Roman"/>
                      <w:color w:val="000000" w:themeColor="text1"/>
                      <w:sz w:val="21"/>
                      <w:szCs w:val="21"/>
                      <w:vertAlign w:val="subscript"/>
                      <w:lang w:val="en-US" w:eastAsia="zh-CN"/>
                    </w:rPr>
                    <w:t>2</w:t>
                  </w:r>
                  <w:r>
                    <w:rPr>
                      <w:rFonts w:hint="default" w:ascii="Times New Roman" w:hAnsi="Times New Roman" w:cs="Times New Roman"/>
                      <w:color w:val="000000" w:themeColor="text1"/>
                      <w:sz w:val="21"/>
                      <w:szCs w:val="21"/>
                      <w:lang w:val="en-US" w:eastAsia="zh-CN"/>
                    </w:rPr>
                    <w:t>、NO</w:t>
                  </w:r>
                  <w:r>
                    <w:rPr>
                      <w:rFonts w:hint="default" w:ascii="Times New Roman" w:hAnsi="Times New Roman" w:cs="Times New Roman"/>
                      <w:color w:val="000000" w:themeColor="text1"/>
                      <w:sz w:val="21"/>
                      <w:szCs w:val="21"/>
                      <w:vertAlign w:val="subscript"/>
                      <w:lang w:val="en-US" w:eastAsia="zh-CN"/>
                    </w:rPr>
                    <w:t>X</w:t>
                  </w:r>
                </w:p>
              </w:tc>
              <w:tc>
                <w:tcPr>
                  <w:tcW w:w="1117" w:type="dxa"/>
                  <w:vAlign w:val="center"/>
                </w:tcPr>
                <w:p w14:paraId="77DBCBBA">
                  <w:pPr>
                    <w:keepNext w:val="0"/>
                    <w:keepLines w:val="0"/>
                    <w:pageBreakBefore w:val="0"/>
                    <w:kinsoku/>
                    <w:wordWrap/>
                    <w:overflowPunct/>
                    <w:topLinePunct w:val="0"/>
                    <w:autoSpaceDE/>
                    <w:autoSpaceDN/>
                    <w:bidi w:val="0"/>
                    <w:adjustRightInd/>
                    <w:spacing w:before="60"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有组织</w:t>
                  </w:r>
                </w:p>
              </w:tc>
              <w:tc>
                <w:tcPr>
                  <w:tcW w:w="2100" w:type="dxa"/>
                  <w:vAlign w:val="center"/>
                </w:tcPr>
                <w:p w14:paraId="5A57AAAB">
                  <w:pPr>
                    <w:keepNext w:val="0"/>
                    <w:keepLines w:val="0"/>
                    <w:pageBreakBefore w:val="0"/>
                    <w:kinsoku/>
                    <w:wordWrap/>
                    <w:overflowPunct/>
                    <w:topLinePunct w:val="0"/>
                    <w:autoSpaceDE/>
                    <w:autoSpaceDN/>
                    <w:bidi w:val="0"/>
                    <w:adjustRightInd/>
                    <w:spacing w:before="60"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eastAsia" w:cs="Times New Roman"/>
                      <w:color w:val="000000" w:themeColor="text1"/>
                      <w:sz w:val="21"/>
                      <w:szCs w:val="21"/>
                      <w:lang w:val="en-US" w:eastAsia="zh-CN"/>
                    </w:rPr>
                    <w:t>/</w:t>
                  </w:r>
                </w:p>
              </w:tc>
              <w:tc>
                <w:tcPr>
                  <w:tcW w:w="1080" w:type="dxa"/>
                  <w:vAlign w:val="center"/>
                </w:tcPr>
                <w:p w14:paraId="7A8AD9B2">
                  <w:pPr>
                    <w:keepNext w:val="0"/>
                    <w:keepLines w:val="0"/>
                    <w:pageBreakBefore w:val="0"/>
                    <w:kinsoku/>
                    <w:wordWrap/>
                    <w:overflowPunct/>
                    <w:topLinePunct w:val="0"/>
                    <w:autoSpaceDE/>
                    <w:autoSpaceDN/>
                    <w:bidi w:val="0"/>
                    <w:adjustRightInd/>
                    <w:spacing w:before="60"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有组织</w:t>
                  </w:r>
                </w:p>
              </w:tc>
              <w:tc>
                <w:tcPr>
                  <w:tcW w:w="1517" w:type="dxa"/>
                  <w:vAlign w:val="center"/>
                </w:tcPr>
                <w:p w14:paraId="7EB15711">
                  <w:pPr>
                    <w:keepNext w:val="0"/>
                    <w:keepLines w:val="0"/>
                    <w:pageBreakBefore w:val="0"/>
                    <w:kinsoku/>
                    <w:wordWrap/>
                    <w:overflowPunct/>
                    <w:topLinePunct w:val="0"/>
                    <w:autoSpaceDE/>
                    <w:autoSpaceDN/>
                    <w:bidi w:val="0"/>
                    <w:adjustRightInd/>
                    <w:spacing w:before="60"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低氮燃烧</w:t>
                  </w:r>
                  <w:r>
                    <w:rPr>
                      <w:rFonts w:hint="eastAsia" w:cs="Times New Roman"/>
                      <w:color w:val="000000" w:themeColor="text1"/>
                      <w:sz w:val="21"/>
                      <w:szCs w:val="21"/>
                      <w:lang w:val="en-US" w:eastAsia="zh-CN"/>
                    </w:rPr>
                    <w:t>工艺</w:t>
                  </w:r>
                </w:p>
              </w:tc>
              <w:tc>
                <w:tcPr>
                  <w:tcW w:w="643" w:type="dxa"/>
                  <w:vAlign w:val="center"/>
                </w:tcPr>
                <w:p w14:paraId="724C0E5E">
                  <w:pPr>
                    <w:keepNext w:val="0"/>
                    <w:keepLines w:val="0"/>
                    <w:pageBreakBefore w:val="0"/>
                    <w:kinsoku/>
                    <w:wordWrap/>
                    <w:overflowPunct/>
                    <w:topLinePunct w:val="0"/>
                    <w:autoSpaceDE/>
                    <w:autoSpaceDN/>
                    <w:bidi w:val="0"/>
                    <w:adjustRightInd/>
                    <w:spacing w:before="60"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符合</w:t>
                  </w:r>
                </w:p>
              </w:tc>
            </w:tr>
          </w:tbl>
          <w:p w14:paraId="7C4FF03D">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根据上述源强核算结果</w:t>
            </w:r>
            <w:r>
              <w:rPr>
                <w:rFonts w:hint="default" w:ascii="Times New Roman" w:hAnsi="Times New Roman" w:cs="Times New Roman"/>
                <w:color w:val="000000" w:themeColor="text1"/>
                <w:sz w:val="24"/>
                <w:szCs w:val="24"/>
                <w:lang w:val="en-US" w:eastAsia="zh-CN"/>
              </w:rPr>
              <w:t>和第二章节中现场常规检测结果</w:t>
            </w:r>
            <w:r>
              <w:rPr>
                <w:rFonts w:hint="default" w:ascii="Times New Roman" w:hAnsi="Times New Roman" w:eastAsia="宋体" w:cs="Times New Roman"/>
                <w:color w:val="000000" w:themeColor="text1"/>
                <w:sz w:val="24"/>
                <w:szCs w:val="24"/>
              </w:rPr>
              <w:t>，本项目</w:t>
            </w:r>
            <w:r>
              <w:rPr>
                <w:rFonts w:hint="default" w:ascii="Times New Roman" w:hAnsi="Times New Roman" w:cs="Times New Roman"/>
                <w:color w:val="000000" w:themeColor="text1"/>
                <w:sz w:val="24"/>
                <w:szCs w:val="24"/>
                <w:lang w:val="en-US" w:eastAsia="zh-CN"/>
              </w:rPr>
              <w:t>污水处理站臭气、</w:t>
            </w:r>
            <w:r>
              <w:rPr>
                <w:rFonts w:hint="default" w:ascii="Times New Roman" w:hAnsi="Times New Roman" w:eastAsia="宋体" w:cs="Times New Roman"/>
                <w:color w:val="000000" w:themeColor="text1"/>
                <w:sz w:val="24"/>
                <w:szCs w:val="24"/>
              </w:rPr>
              <w:t>食堂油烟</w:t>
            </w:r>
            <w:r>
              <w:rPr>
                <w:rFonts w:hint="default" w:ascii="Times New Roman" w:hAnsi="Times New Roman" w:cs="Times New Roman"/>
                <w:color w:val="000000" w:themeColor="text1"/>
                <w:sz w:val="24"/>
                <w:szCs w:val="24"/>
                <w:lang w:val="en-US" w:eastAsia="zh-CN"/>
              </w:rPr>
              <w:t>和锅炉燃烧废气</w:t>
            </w:r>
            <w:r>
              <w:rPr>
                <w:rFonts w:hint="default" w:ascii="Times New Roman" w:hAnsi="Times New Roman" w:eastAsia="宋体" w:cs="Times New Roman"/>
                <w:color w:val="000000" w:themeColor="text1"/>
                <w:sz w:val="24"/>
                <w:szCs w:val="24"/>
              </w:rPr>
              <w:t>产生废气量较小，在</w:t>
            </w:r>
            <w:r>
              <w:rPr>
                <w:rFonts w:hint="default" w:ascii="Times New Roman" w:hAnsi="Times New Roman" w:cs="Times New Roman"/>
                <w:color w:val="000000" w:themeColor="text1"/>
                <w:sz w:val="24"/>
                <w:szCs w:val="24"/>
                <w:lang w:val="en-US" w:eastAsia="zh-CN"/>
              </w:rPr>
              <w:t>采取相应的治理</w:t>
            </w:r>
            <w:r>
              <w:rPr>
                <w:rFonts w:hint="default" w:ascii="Times New Roman" w:hAnsi="Times New Roman" w:eastAsia="宋体" w:cs="Times New Roman"/>
                <w:color w:val="000000" w:themeColor="text1"/>
                <w:sz w:val="24"/>
                <w:szCs w:val="24"/>
              </w:rPr>
              <w:t>措施下，可以达标排放，对周围环境影响较小，项目废气治理措施可行。</w:t>
            </w:r>
          </w:p>
          <w:p w14:paraId="2F06F559">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lang w:val="en-US" w:eastAsia="zh-CN"/>
              </w:rPr>
            </w:pPr>
            <w:r>
              <w:rPr>
                <w:rFonts w:hint="eastAsia" w:cs="Times New Roman"/>
                <w:b/>
                <w:bCs/>
                <w:color w:val="000000" w:themeColor="text1"/>
                <w:sz w:val="24"/>
                <w:szCs w:val="24"/>
                <w:lang w:eastAsia="zh-CN"/>
              </w:rPr>
              <w:t>（</w:t>
            </w:r>
            <w:r>
              <w:rPr>
                <w:rFonts w:hint="eastAsia" w:cs="Times New Roman"/>
                <w:b/>
                <w:bCs/>
                <w:color w:val="000000" w:themeColor="text1"/>
                <w:sz w:val="24"/>
                <w:szCs w:val="24"/>
                <w:lang w:val="en-US" w:eastAsia="zh-CN"/>
              </w:rPr>
              <w:t>9</w:t>
            </w:r>
            <w:r>
              <w:rPr>
                <w:rFonts w:hint="eastAsia" w:cs="Times New Roman"/>
                <w:b/>
                <w:bCs/>
                <w:color w:val="000000" w:themeColor="text1"/>
                <w:sz w:val="24"/>
                <w:szCs w:val="24"/>
                <w:lang w:eastAsia="zh-CN"/>
              </w:rPr>
              <w:t>）</w:t>
            </w:r>
            <w:r>
              <w:rPr>
                <w:rFonts w:hint="eastAsia" w:cs="Times New Roman"/>
                <w:b/>
                <w:bCs/>
                <w:color w:val="000000" w:themeColor="text1"/>
                <w:sz w:val="24"/>
                <w:szCs w:val="24"/>
                <w:lang w:val="en-US" w:eastAsia="zh-CN"/>
              </w:rPr>
              <w:t>非正常排放分析</w:t>
            </w:r>
          </w:p>
          <w:p w14:paraId="59864EFD">
            <w:pPr>
              <w:adjustRightInd w:val="0"/>
              <w:snapToGrid w:val="0"/>
              <w:spacing w:line="360" w:lineRule="auto"/>
              <w:ind w:firstLine="480" w:firstLineChars="200"/>
              <w:rPr>
                <w:rFonts w:hint="eastAsia" w:ascii="Times New Roman" w:hAnsi="Times New Roman" w:eastAsia="宋体" w:cs="Times New Roman"/>
                <w:b w:val="0"/>
                <w:bCs w:val="0"/>
                <w:color w:val="000000" w:themeColor="text1"/>
                <w:sz w:val="24"/>
                <w:szCs w:val="24"/>
                <w:lang w:eastAsia="zh-CN"/>
              </w:rPr>
            </w:pPr>
            <w:r>
              <w:rPr>
                <w:rFonts w:hint="default" w:ascii="Times New Roman" w:hAnsi="Times New Roman" w:eastAsia="宋体" w:cs="Times New Roman"/>
                <w:b w:val="0"/>
                <w:bCs w:val="0"/>
                <w:color w:val="000000" w:themeColor="text1"/>
                <w:sz w:val="24"/>
                <w:szCs w:val="24"/>
              </w:rPr>
              <w:t>本项目的非正常工况主要考虑</w:t>
            </w:r>
            <w:r>
              <w:rPr>
                <w:rFonts w:hint="eastAsia" w:cs="Times New Roman"/>
                <w:b w:val="0"/>
                <w:bCs w:val="0"/>
                <w:color w:val="000000" w:themeColor="text1"/>
                <w:sz w:val="24"/>
                <w:szCs w:val="24"/>
                <w:lang w:val="en-US" w:eastAsia="zh-CN"/>
              </w:rPr>
              <w:t>污水站臭气除臭装置和</w:t>
            </w:r>
            <w:r>
              <w:rPr>
                <w:rFonts w:hint="default" w:ascii="Times New Roman" w:hAnsi="Times New Roman" w:eastAsia="宋体" w:cs="Times New Roman"/>
                <w:b w:val="0"/>
                <w:bCs w:val="0"/>
                <w:color w:val="000000" w:themeColor="text1"/>
                <w:sz w:val="24"/>
                <w:szCs w:val="24"/>
              </w:rPr>
              <w:t>静电油烟处理装置失效时的工况，非正常工况下废气排放情况</w:t>
            </w:r>
            <w:r>
              <w:rPr>
                <w:rFonts w:hint="eastAsia" w:cs="Times New Roman"/>
                <w:b w:val="0"/>
                <w:bCs w:val="0"/>
                <w:color w:val="000000" w:themeColor="text1"/>
                <w:sz w:val="24"/>
                <w:szCs w:val="24"/>
                <w:lang w:eastAsia="zh-CN"/>
              </w:rPr>
              <w:t>见下</w:t>
            </w:r>
            <w:r>
              <w:rPr>
                <w:rFonts w:hint="default" w:ascii="Times New Roman" w:hAnsi="Times New Roman" w:eastAsia="宋体" w:cs="Times New Roman"/>
                <w:b w:val="0"/>
                <w:bCs w:val="0"/>
                <w:color w:val="000000" w:themeColor="text1"/>
                <w:sz w:val="24"/>
                <w:szCs w:val="24"/>
              </w:rPr>
              <w:t>表</w:t>
            </w:r>
            <w:r>
              <w:rPr>
                <w:rFonts w:hint="eastAsia" w:cs="Times New Roman"/>
                <w:b w:val="0"/>
                <w:bCs w:val="0"/>
                <w:color w:val="000000" w:themeColor="text1"/>
                <w:sz w:val="24"/>
                <w:szCs w:val="24"/>
                <w:lang w:eastAsia="zh-CN"/>
              </w:rPr>
              <w:t>。</w:t>
            </w:r>
          </w:p>
          <w:p w14:paraId="55F4AEB6">
            <w:pPr>
              <w:adjustRightInd w:val="0"/>
              <w:snapToGrid w:val="0"/>
              <w:spacing w:line="360" w:lineRule="auto"/>
              <w:jc w:val="center"/>
              <w:rPr>
                <w:rFonts w:hint="default" w:ascii="Times New Roman" w:hAnsi="Times New Roman" w:eastAsia="宋体" w:cs="Times New Roman"/>
                <w:b/>
                <w:bCs/>
                <w:color w:val="000000" w:themeColor="text1"/>
                <w:sz w:val="21"/>
                <w:szCs w:val="21"/>
                <w:lang w:val="en-US" w:eastAsia="zh-CN"/>
              </w:rPr>
            </w:pPr>
            <w:r>
              <w:rPr>
                <w:rFonts w:hint="eastAsia" w:cs="Times New Roman"/>
                <w:b/>
                <w:bCs/>
                <w:color w:val="000000" w:themeColor="text1"/>
                <w:sz w:val="21"/>
                <w:szCs w:val="21"/>
                <w:lang w:val="en-US" w:eastAsia="zh-CN"/>
              </w:rPr>
              <w:t>表4-10 非正常工况废气排放情况</w:t>
            </w:r>
          </w:p>
          <w:tbl>
            <w:tblPr>
              <w:tblStyle w:val="25"/>
              <w:tblW w:w="84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335"/>
              <w:gridCol w:w="675"/>
              <w:gridCol w:w="1050"/>
              <w:gridCol w:w="926"/>
              <w:gridCol w:w="855"/>
              <w:gridCol w:w="904"/>
              <w:gridCol w:w="2006"/>
            </w:tblGrid>
            <w:tr w14:paraId="7288A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66D4D3DE">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污染源</w:t>
                  </w:r>
                </w:p>
              </w:tc>
              <w:tc>
                <w:tcPr>
                  <w:tcW w:w="1335" w:type="dxa"/>
                  <w:vAlign w:val="center"/>
                </w:tcPr>
                <w:p w14:paraId="02E85D9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非正常排放原因</w:t>
                  </w:r>
                </w:p>
              </w:tc>
              <w:tc>
                <w:tcPr>
                  <w:tcW w:w="675" w:type="dxa"/>
                  <w:vAlign w:val="center"/>
                </w:tcPr>
                <w:p w14:paraId="2F8B053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污染物</w:t>
                  </w:r>
                </w:p>
              </w:tc>
              <w:tc>
                <w:tcPr>
                  <w:tcW w:w="1050" w:type="dxa"/>
                  <w:vAlign w:val="center"/>
                </w:tcPr>
                <w:p w14:paraId="6F8DAD7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排放浓度mg/m</w:t>
                  </w:r>
                  <w:r>
                    <w:rPr>
                      <w:rFonts w:hint="eastAsia" w:ascii="Times New Roman" w:hAnsi="Times New Roman" w:eastAsia="宋体" w:cs="Times New Roman"/>
                      <w:b w:val="0"/>
                      <w:bCs w:val="0"/>
                      <w:color w:val="000000" w:themeColor="text1"/>
                      <w:sz w:val="21"/>
                      <w:szCs w:val="21"/>
                      <w:vertAlign w:val="superscript"/>
                    </w:rPr>
                    <w:t>3</w:t>
                  </w:r>
                </w:p>
              </w:tc>
              <w:tc>
                <w:tcPr>
                  <w:tcW w:w="926" w:type="dxa"/>
                  <w:vAlign w:val="center"/>
                </w:tcPr>
                <w:p w14:paraId="4564BC1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排放速率kg/h</w:t>
                  </w:r>
                </w:p>
              </w:tc>
              <w:tc>
                <w:tcPr>
                  <w:tcW w:w="855" w:type="dxa"/>
                  <w:vAlign w:val="center"/>
                </w:tcPr>
                <w:p w14:paraId="33DE35B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单次持续时间</w:t>
                  </w:r>
                </w:p>
              </w:tc>
              <w:tc>
                <w:tcPr>
                  <w:tcW w:w="904" w:type="dxa"/>
                  <w:vAlign w:val="center"/>
                </w:tcPr>
                <w:p w14:paraId="7DBC465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年发生频次</w:t>
                  </w:r>
                </w:p>
              </w:tc>
              <w:tc>
                <w:tcPr>
                  <w:tcW w:w="2006" w:type="dxa"/>
                  <w:vAlign w:val="center"/>
                </w:tcPr>
                <w:p w14:paraId="4893311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应对措施</w:t>
                  </w:r>
                </w:p>
              </w:tc>
            </w:tr>
            <w:tr w14:paraId="3A9A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restart"/>
                  <w:vAlign w:val="center"/>
                </w:tcPr>
                <w:p w14:paraId="5F38E069">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DA001</w:t>
                  </w:r>
                </w:p>
              </w:tc>
              <w:tc>
                <w:tcPr>
                  <w:tcW w:w="1335" w:type="dxa"/>
                  <w:vMerge w:val="restart"/>
                  <w:vAlign w:val="center"/>
                </w:tcPr>
                <w:p w14:paraId="482E21C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lang w:val="en-US" w:eastAsia="zh-CN"/>
                    </w:rPr>
                    <w:t>碱水喷淋+活性炭吸附系统故障</w:t>
                  </w:r>
                  <w:r>
                    <w:rPr>
                      <w:rFonts w:hint="eastAsia" w:ascii="Times New Roman" w:hAnsi="Times New Roman" w:eastAsia="宋体" w:cs="Times New Roman"/>
                      <w:b w:val="0"/>
                      <w:bCs w:val="0"/>
                      <w:color w:val="000000" w:themeColor="text1"/>
                      <w:sz w:val="21"/>
                      <w:szCs w:val="21"/>
                      <w:vertAlign w:val="baseline"/>
                    </w:rPr>
                    <w:t>，处理效率为0</w:t>
                  </w:r>
                </w:p>
              </w:tc>
              <w:tc>
                <w:tcPr>
                  <w:tcW w:w="675" w:type="dxa"/>
                  <w:vAlign w:val="center"/>
                </w:tcPr>
                <w:p w14:paraId="6C28856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color w:val="000000" w:themeColor="text1"/>
                      <w:sz w:val="21"/>
                      <w:szCs w:val="21"/>
                    </w:rPr>
                    <w:t>氨</w:t>
                  </w:r>
                </w:p>
              </w:tc>
              <w:tc>
                <w:tcPr>
                  <w:tcW w:w="1050" w:type="dxa"/>
                  <w:vAlign w:val="center"/>
                </w:tcPr>
                <w:p w14:paraId="26F86C3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ascii="Times New Roman" w:hAnsi="Times New Roman" w:eastAsia="宋体" w:cs="Times New Roman"/>
                      <w:b w:val="0"/>
                      <w:bCs w:val="0"/>
                      <w:color w:val="000000" w:themeColor="text1"/>
                      <w:sz w:val="21"/>
                      <w:szCs w:val="21"/>
                      <w:vertAlign w:val="baseline"/>
                      <w:lang w:val="en-US" w:eastAsia="zh-CN"/>
                    </w:rPr>
                    <w:t>0.</w:t>
                  </w:r>
                  <w:r>
                    <w:rPr>
                      <w:rFonts w:hint="eastAsia" w:cs="Times New Roman"/>
                      <w:b w:val="0"/>
                      <w:bCs w:val="0"/>
                      <w:color w:val="000000" w:themeColor="text1"/>
                      <w:sz w:val="21"/>
                      <w:szCs w:val="21"/>
                      <w:vertAlign w:val="baseline"/>
                      <w:lang w:val="en-US" w:eastAsia="zh-CN"/>
                    </w:rPr>
                    <w:t>63</w:t>
                  </w:r>
                </w:p>
              </w:tc>
              <w:tc>
                <w:tcPr>
                  <w:tcW w:w="926" w:type="dxa"/>
                  <w:vAlign w:val="center"/>
                </w:tcPr>
                <w:p w14:paraId="641CC0B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ascii="Times New Roman" w:hAnsi="Times New Roman" w:eastAsia="宋体" w:cs="Times New Roman"/>
                      <w:b w:val="0"/>
                      <w:bCs w:val="0"/>
                      <w:color w:val="000000" w:themeColor="text1"/>
                      <w:sz w:val="21"/>
                      <w:szCs w:val="21"/>
                      <w:vertAlign w:val="baseline"/>
                      <w:lang w:val="en-US" w:eastAsia="zh-CN"/>
                    </w:rPr>
                    <w:t>0.00</w:t>
                  </w:r>
                  <w:r>
                    <w:rPr>
                      <w:rFonts w:hint="eastAsia" w:cs="Times New Roman"/>
                      <w:b w:val="0"/>
                      <w:bCs w:val="0"/>
                      <w:color w:val="000000" w:themeColor="text1"/>
                      <w:sz w:val="21"/>
                      <w:szCs w:val="21"/>
                      <w:vertAlign w:val="baseline"/>
                      <w:lang w:val="en-US" w:eastAsia="zh-CN"/>
                    </w:rPr>
                    <w:t>189</w:t>
                  </w:r>
                </w:p>
              </w:tc>
              <w:tc>
                <w:tcPr>
                  <w:tcW w:w="855" w:type="dxa"/>
                  <w:vMerge w:val="restart"/>
                  <w:vAlign w:val="center"/>
                </w:tcPr>
                <w:p w14:paraId="0CA9DE53">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b w:val="0"/>
                      <w:bCs w:val="0"/>
                      <w:color w:val="000000" w:themeColor="text1"/>
                      <w:sz w:val="21"/>
                      <w:szCs w:val="21"/>
                      <w:vertAlign w:val="baseline"/>
                      <w:lang w:val="en-US" w:eastAsia="zh-CN"/>
                    </w:rPr>
                    <w:t>0-1h</w:t>
                  </w:r>
                </w:p>
              </w:tc>
              <w:tc>
                <w:tcPr>
                  <w:tcW w:w="904" w:type="dxa"/>
                  <w:vMerge w:val="restart"/>
                  <w:vAlign w:val="center"/>
                </w:tcPr>
                <w:p w14:paraId="6EA9654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b w:val="0"/>
                      <w:bCs w:val="0"/>
                      <w:color w:val="000000" w:themeColor="text1"/>
                      <w:sz w:val="21"/>
                      <w:szCs w:val="21"/>
                      <w:vertAlign w:val="baseline"/>
                      <w:lang w:val="en-US" w:eastAsia="zh-CN"/>
                    </w:rPr>
                    <w:t>1</w:t>
                  </w:r>
                  <w:r>
                    <w:rPr>
                      <w:rFonts w:hint="eastAsia" w:ascii="Times New Roman" w:hAnsi="Times New Roman" w:eastAsia="宋体" w:cs="Times New Roman"/>
                      <w:b w:val="0"/>
                      <w:bCs w:val="0"/>
                      <w:color w:val="000000" w:themeColor="text1"/>
                      <w:sz w:val="21"/>
                      <w:szCs w:val="21"/>
                      <w:vertAlign w:val="baseline"/>
                      <w:lang w:val="en-US" w:eastAsia="zh-CN"/>
                    </w:rPr>
                    <w:t>次</w:t>
                  </w:r>
                </w:p>
              </w:tc>
              <w:tc>
                <w:tcPr>
                  <w:tcW w:w="2006" w:type="dxa"/>
                  <w:vMerge w:val="restart"/>
                  <w:vAlign w:val="center"/>
                </w:tcPr>
                <w:p w14:paraId="41DB491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ascii="Times New Roman" w:hAnsi="Times New Roman" w:eastAsia="宋体" w:cs="Times New Roman"/>
                      <w:b w:val="0"/>
                      <w:bCs w:val="0"/>
                      <w:color w:val="000000" w:themeColor="text1"/>
                      <w:sz w:val="21"/>
                      <w:szCs w:val="21"/>
                      <w:vertAlign w:val="baseline"/>
                      <w:lang w:val="en-US" w:eastAsia="zh-CN"/>
                    </w:rPr>
                    <w:t>加强污水站、设备间封闭，减少恶臭逸散，尽快检修、待废气处理设施正常运行后及时处理臭气</w:t>
                  </w:r>
                </w:p>
              </w:tc>
            </w:tr>
            <w:tr w14:paraId="0C65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Merge w:val="continue"/>
                  <w:vAlign w:val="center"/>
                </w:tcPr>
                <w:p w14:paraId="74235BB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rPr>
                  </w:pPr>
                </w:p>
              </w:tc>
              <w:tc>
                <w:tcPr>
                  <w:tcW w:w="1335" w:type="dxa"/>
                  <w:vMerge w:val="continue"/>
                  <w:vAlign w:val="center"/>
                </w:tcPr>
                <w:p w14:paraId="37A2CB2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p>
              </w:tc>
              <w:tc>
                <w:tcPr>
                  <w:tcW w:w="675" w:type="dxa"/>
                  <w:vAlign w:val="center"/>
                </w:tcPr>
                <w:p w14:paraId="6861536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硫化氢</w:t>
                  </w:r>
                </w:p>
              </w:tc>
              <w:tc>
                <w:tcPr>
                  <w:tcW w:w="1050" w:type="dxa"/>
                  <w:vAlign w:val="center"/>
                </w:tcPr>
                <w:p w14:paraId="4FBE65D2">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ascii="Times New Roman" w:hAnsi="Times New Roman" w:eastAsia="宋体" w:cs="Times New Roman"/>
                      <w:b w:val="0"/>
                      <w:bCs w:val="0"/>
                      <w:color w:val="000000" w:themeColor="text1"/>
                      <w:sz w:val="21"/>
                      <w:szCs w:val="21"/>
                      <w:vertAlign w:val="baseline"/>
                      <w:lang w:val="en-US" w:eastAsia="zh-CN"/>
                    </w:rPr>
                    <w:t>0.02</w:t>
                  </w:r>
                  <w:r>
                    <w:rPr>
                      <w:rFonts w:hint="eastAsia" w:cs="Times New Roman"/>
                      <w:b w:val="0"/>
                      <w:bCs w:val="0"/>
                      <w:color w:val="000000" w:themeColor="text1"/>
                      <w:sz w:val="21"/>
                      <w:szCs w:val="21"/>
                      <w:vertAlign w:val="baseline"/>
                      <w:lang w:val="en-US" w:eastAsia="zh-CN"/>
                    </w:rPr>
                    <w:t>3</w:t>
                  </w:r>
                </w:p>
              </w:tc>
              <w:tc>
                <w:tcPr>
                  <w:tcW w:w="926" w:type="dxa"/>
                  <w:vAlign w:val="center"/>
                </w:tcPr>
                <w:p w14:paraId="336AF85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ascii="Times New Roman" w:hAnsi="Times New Roman" w:eastAsia="宋体" w:cs="Times New Roman"/>
                      <w:b w:val="0"/>
                      <w:bCs w:val="0"/>
                      <w:color w:val="000000" w:themeColor="text1"/>
                      <w:sz w:val="21"/>
                      <w:szCs w:val="21"/>
                      <w:vertAlign w:val="baseline"/>
                      <w:lang w:val="en-US" w:eastAsia="zh-CN"/>
                    </w:rPr>
                    <w:t>0.0000</w:t>
                  </w:r>
                  <w:r>
                    <w:rPr>
                      <w:rFonts w:hint="eastAsia" w:cs="Times New Roman"/>
                      <w:b w:val="0"/>
                      <w:bCs w:val="0"/>
                      <w:color w:val="000000" w:themeColor="text1"/>
                      <w:sz w:val="21"/>
                      <w:szCs w:val="21"/>
                      <w:vertAlign w:val="baseline"/>
                      <w:lang w:val="en-US" w:eastAsia="zh-CN"/>
                    </w:rPr>
                    <w:t>7</w:t>
                  </w:r>
                </w:p>
              </w:tc>
              <w:tc>
                <w:tcPr>
                  <w:tcW w:w="855" w:type="dxa"/>
                  <w:vMerge w:val="continue"/>
                  <w:vAlign w:val="center"/>
                </w:tcPr>
                <w:p w14:paraId="6205C42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p>
              </w:tc>
              <w:tc>
                <w:tcPr>
                  <w:tcW w:w="904" w:type="dxa"/>
                  <w:vMerge w:val="continue"/>
                  <w:vAlign w:val="center"/>
                </w:tcPr>
                <w:p w14:paraId="269D7CC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p>
              </w:tc>
              <w:tc>
                <w:tcPr>
                  <w:tcW w:w="2006" w:type="dxa"/>
                  <w:vMerge w:val="continue"/>
                  <w:vAlign w:val="center"/>
                </w:tcPr>
                <w:p w14:paraId="2AA8B18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b w:val="0"/>
                      <w:bCs w:val="0"/>
                      <w:color w:val="000000" w:themeColor="text1"/>
                      <w:sz w:val="21"/>
                      <w:szCs w:val="21"/>
                      <w:vertAlign w:val="baseline"/>
                      <w:lang w:val="en-US" w:eastAsia="zh-CN"/>
                    </w:rPr>
                  </w:pPr>
                </w:p>
              </w:tc>
            </w:tr>
            <w:tr w14:paraId="2CBC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8" w:type="dxa"/>
                  <w:vAlign w:val="center"/>
                </w:tcPr>
                <w:p w14:paraId="7118B560">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eastAsia="zh-CN"/>
                    </w:rPr>
                  </w:pPr>
                  <w:r>
                    <w:rPr>
                      <w:rFonts w:hint="eastAsia" w:cs="Times New Roman"/>
                      <w:b w:val="0"/>
                      <w:bCs w:val="0"/>
                      <w:color w:val="000000" w:themeColor="text1"/>
                      <w:sz w:val="21"/>
                      <w:szCs w:val="21"/>
                      <w:vertAlign w:val="baseline"/>
                      <w:lang w:val="en-US" w:eastAsia="zh-CN"/>
                    </w:rPr>
                    <w:t>DA003</w:t>
                  </w:r>
                </w:p>
              </w:tc>
              <w:tc>
                <w:tcPr>
                  <w:tcW w:w="1335" w:type="dxa"/>
                  <w:vAlign w:val="center"/>
                </w:tcPr>
                <w:p w14:paraId="2E0E53EC">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rPr>
                    <w:t>静电油烟处理</w:t>
                  </w:r>
                  <w:r>
                    <w:rPr>
                      <w:rFonts w:hint="eastAsia" w:ascii="Times New Roman" w:hAnsi="Times New Roman" w:eastAsia="宋体" w:cs="Times New Roman"/>
                      <w:b w:val="0"/>
                      <w:bCs w:val="0"/>
                      <w:color w:val="000000" w:themeColor="text1"/>
                      <w:sz w:val="21"/>
                      <w:szCs w:val="21"/>
                      <w:vertAlign w:val="baseline"/>
                      <w:lang w:val="en-US" w:eastAsia="zh-CN"/>
                    </w:rPr>
                    <w:t>装置</w:t>
                  </w:r>
                  <w:r>
                    <w:rPr>
                      <w:rFonts w:hint="eastAsia" w:ascii="Times New Roman" w:hAnsi="Times New Roman" w:eastAsia="宋体" w:cs="Times New Roman"/>
                      <w:b w:val="0"/>
                      <w:bCs w:val="0"/>
                      <w:color w:val="000000" w:themeColor="text1"/>
                      <w:sz w:val="21"/>
                      <w:szCs w:val="21"/>
                      <w:vertAlign w:val="baseline"/>
                    </w:rPr>
                    <w:t>发生故障，处理效率为0</w:t>
                  </w:r>
                </w:p>
              </w:tc>
              <w:tc>
                <w:tcPr>
                  <w:tcW w:w="675" w:type="dxa"/>
                  <w:vAlign w:val="center"/>
                </w:tcPr>
                <w:p w14:paraId="5EF63E3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eastAsia" w:ascii="Times New Roman" w:hAnsi="Times New Roman" w:eastAsia="宋体" w:cs="Times New Roman"/>
                      <w:b w:val="0"/>
                      <w:bCs w:val="0"/>
                      <w:color w:val="000000" w:themeColor="text1"/>
                      <w:sz w:val="21"/>
                      <w:szCs w:val="21"/>
                      <w:vertAlign w:val="baseline"/>
                      <w:lang w:eastAsia="zh-CN"/>
                    </w:rPr>
                    <w:t>油烟</w:t>
                  </w:r>
                </w:p>
              </w:tc>
              <w:tc>
                <w:tcPr>
                  <w:tcW w:w="1050" w:type="dxa"/>
                  <w:vAlign w:val="center"/>
                </w:tcPr>
                <w:p w14:paraId="5A55783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ascii="Times New Roman" w:hAnsi="Times New Roman" w:eastAsia="宋体" w:cs="Times New Roman"/>
                      <w:b w:val="0"/>
                      <w:bCs w:val="0"/>
                      <w:color w:val="000000" w:themeColor="text1"/>
                      <w:sz w:val="21"/>
                      <w:szCs w:val="21"/>
                      <w:vertAlign w:val="baseline"/>
                      <w:lang w:val="en-US" w:eastAsia="zh-CN"/>
                    </w:rPr>
                    <w:t>4.0</w:t>
                  </w:r>
                </w:p>
              </w:tc>
              <w:tc>
                <w:tcPr>
                  <w:tcW w:w="926" w:type="dxa"/>
                  <w:vAlign w:val="center"/>
                </w:tcPr>
                <w:p w14:paraId="7F8106A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ascii="Times New Roman" w:hAnsi="Times New Roman" w:eastAsia="宋体" w:cs="Times New Roman"/>
                      <w:b w:val="0"/>
                      <w:bCs w:val="0"/>
                      <w:color w:val="000000" w:themeColor="text1"/>
                      <w:sz w:val="21"/>
                      <w:szCs w:val="21"/>
                      <w:vertAlign w:val="baseline"/>
                      <w:lang w:val="en-US" w:eastAsia="zh-CN"/>
                    </w:rPr>
                    <w:t>0.06</w:t>
                  </w:r>
                </w:p>
              </w:tc>
              <w:tc>
                <w:tcPr>
                  <w:tcW w:w="855" w:type="dxa"/>
                  <w:vAlign w:val="center"/>
                </w:tcPr>
                <w:p w14:paraId="61B7CEB6">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b w:val="0"/>
                      <w:bCs w:val="0"/>
                      <w:color w:val="000000" w:themeColor="text1"/>
                      <w:sz w:val="21"/>
                      <w:szCs w:val="21"/>
                      <w:vertAlign w:val="baseline"/>
                      <w:lang w:val="en-US" w:eastAsia="zh-CN"/>
                    </w:rPr>
                    <w:t>0-1h</w:t>
                  </w:r>
                </w:p>
              </w:tc>
              <w:tc>
                <w:tcPr>
                  <w:tcW w:w="904" w:type="dxa"/>
                  <w:vAlign w:val="center"/>
                </w:tcPr>
                <w:p w14:paraId="3D73056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rPr>
                  </w:pPr>
                  <w:r>
                    <w:rPr>
                      <w:rFonts w:hint="default" w:ascii="Times New Roman" w:hAnsi="Times New Roman" w:eastAsia="宋体" w:cs="Times New Roman"/>
                      <w:b w:val="0"/>
                      <w:bCs w:val="0"/>
                      <w:color w:val="000000" w:themeColor="text1"/>
                      <w:sz w:val="21"/>
                      <w:szCs w:val="21"/>
                      <w:vertAlign w:val="baseline"/>
                      <w:lang w:val="en-US" w:eastAsia="zh-CN"/>
                    </w:rPr>
                    <w:t>1</w:t>
                  </w:r>
                  <w:r>
                    <w:rPr>
                      <w:rFonts w:hint="eastAsia" w:ascii="Times New Roman" w:hAnsi="Times New Roman" w:eastAsia="宋体" w:cs="Times New Roman"/>
                      <w:b w:val="0"/>
                      <w:bCs w:val="0"/>
                      <w:color w:val="000000" w:themeColor="text1"/>
                      <w:sz w:val="21"/>
                      <w:szCs w:val="21"/>
                      <w:vertAlign w:val="baseline"/>
                      <w:lang w:val="en-US" w:eastAsia="zh-CN"/>
                    </w:rPr>
                    <w:t>次</w:t>
                  </w:r>
                </w:p>
              </w:tc>
              <w:tc>
                <w:tcPr>
                  <w:tcW w:w="2006" w:type="dxa"/>
                  <w:vAlign w:val="center"/>
                </w:tcPr>
                <w:p w14:paraId="316B753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themeColor="text1"/>
                      <w:sz w:val="21"/>
                      <w:szCs w:val="21"/>
                      <w:vertAlign w:val="baseline"/>
                      <w:lang w:val="en-US"/>
                    </w:rPr>
                  </w:pPr>
                  <w:r>
                    <w:rPr>
                      <w:rFonts w:hint="eastAsia" w:ascii="Times New Roman" w:hAnsi="Times New Roman" w:eastAsia="宋体" w:cs="Times New Roman"/>
                      <w:b w:val="0"/>
                      <w:bCs w:val="0"/>
                      <w:color w:val="000000" w:themeColor="text1"/>
                      <w:sz w:val="21"/>
                      <w:szCs w:val="21"/>
                      <w:vertAlign w:val="baseline"/>
                      <w:lang w:val="en-US" w:eastAsia="zh-CN"/>
                    </w:rPr>
                    <w:t>停产，尽快检修、待废气处理设施正常运行后方可继续运营</w:t>
                  </w:r>
                </w:p>
              </w:tc>
            </w:tr>
          </w:tbl>
          <w:p w14:paraId="00253E95">
            <w:pPr>
              <w:adjustRightInd w:val="0"/>
              <w:snapToGrid w:val="0"/>
              <w:spacing w:line="360" w:lineRule="auto"/>
              <w:ind w:firstLine="480" w:firstLineChars="200"/>
              <w:rPr>
                <w:rFonts w:hint="default" w:ascii="Times New Roman" w:hAnsi="Times New Roman" w:eastAsia="宋体" w:cs="Times New Roman"/>
                <w:b w:val="0"/>
                <w:bCs w:val="0"/>
                <w:color w:val="000000" w:themeColor="text1"/>
                <w:sz w:val="24"/>
                <w:szCs w:val="24"/>
              </w:rPr>
            </w:pPr>
            <w:r>
              <w:rPr>
                <w:rFonts w:hint="default" w:ascii="Times New Roman" w:hAnsi="Times New Roman" w:eastAsia="宋体" w:cs="Times New Roman"/>
                <w:b w:val="0"/>
                <w:bCs w:val="0"/>
                <w:color w:val="000000" w:themeColor="text1"/>
                <w:sz w:val="24"/>
                <w:szCs w:val="24"/>
              </w:rPr>
              <w:t>由上表可知，非正常情况下，</w:t>
            </w:r>
            <w:r>
              <w:rPr>
                <w:rFonts w:hint="eastAsia" w:cs="Times New Roman"/>
                <w:b w:val="0"/>
                <w:bCs w:val="0"/>
                <w:color w:val="000000" w:themeColor="text1"/>
                <w:sz w:val="24"/>
                <w:szCs w:val="24"/>
                <w:lang w:val="en-US" w:eastAsia="zh-CN"/>
              </w:rPr>
              <w:t>各污染物排放</w:t>
            </w:r>
            <w:r>
              <w:rPr>
                <w:rFonts w:hint="default" w:ascii="Times New Roman" w:hAnsi="Times New Roman" w:eastAsia="宋体" w:cs="Times New Roman"/>
                <w:b w:val="0"/>
                <w:bCs w:val="0"/>
                <w:color w:val="000000" w:themeColor="text1"/>
                <w:sz w:val="24"/>
                <w:szCs w:val="24"/>
              </w:rPr>
              <w:t>浓度将会明显升高，排放量会有一定程度的增加。建设单位应</w:t>
            </w:r>
            <w:r>
              <w:rPr>
                <w:rFonts w:hint="eastAsia" w:cs="Times New Roman"/>
                <w:b w:val="0"/>
                <w:bCs w:val="0"/>
                <w:color w:val="000000" w:themeColor="text1"/>
                <w:sz w:val="24"/>
                <w:szCs w:val="24"/>
                <w:lang w:eastAsia="zh-CN"/>
              </w:rPr>
              <w:t>加强</w:t>
            </w:r>
            <w:r>
              <w:rPr>
                <w:rFonts w:hint="eastAsia" w:cs="Times New Roman"/>
                <w:b w:val="0"/>
                <w:bCs w:val="0"/>
                <w:color w:val="000000" w:themeColor="text1"/>
                <w:sz w:val="24"/>
                <w:szCs w:val="24"/>
                <w:lang w:val="en-US" w:eastAsia="zh-CN"/>
              </w:rPr>
              <w:t>废气</w:t>
            </w:r>
            <w:r>
              <w:rPr>
                <w:rFonts w:hint="default" w:ascii="Times New Roman" w:hAnsi="Times New Roman" w:eastAsia="宋体" w:cs="Times New Roman"/>
                <w:b w:val="0"/>
                <w:bCs w:val="0"/>
                <w:color w:val="000000" w:themeColor="text1"/>
                <w:sz w:val="24"/>
                <w:szCs w:val="24"/>
              </w:rPr>
              <w:t>处理装置的维护和检修，保持最佳运行状态，避免非正常排放发生；</w:t>
            </w:r>
            <w:r>
              <w:rPr>
                <w:rFonts w:hint="eastAsia" w:cs="Times New Roman"/>
                <w:b w:val="0"/>
                <w:bCs w:val="0"/>
                <w:color w:val="000000" w:themeColor="text1"/>
                <w:sz w:val="24"/>
                <w:szCs w:val="24"/>
                <w:lang w:val="en-US" w:eastAsia="zh-CN"/>
              </w:rPr>
              <w:t>在</w:t>
            </w:r>
            <w:r>
              <w:rPr>
                <w:rFonts w:hint="default" w:ascii="Times New Roman" w:hAnsi="Times New Roman" w:eastAsia="宋体" w:cs="Times New Roman"/>
                <w:b w:val="0"/>
                <w:bCs w:val="0"/>
                <w:color w:val="000000" w:themeColor="text1"/>
                <w:sz w:val="24"/>
                <w:szCs w:val="24"/>
              </w:rPr>
              <w:t>碱水喷淋+活性炭吸附系统故障</w:t>
            </w:r>
            <w:r>
              <w:rPr>
                <w:rFonts w:hint="eastAsia" w:cs="Times New Roman"/>
                <w:b w:val="0"/>
                <w:bCs w:val="0"/>
                <w:color w:val="000000" w:themeColor="text1"/>
                <w:sz w:val="24"/>
                <w:szCs w:val="24"/>
                <w:lang w:val="en-US" w:eastAsia="zh-CN"/>
              </w:rPr>
              <w:t>时，要及时封闭各水池的进出气孔，加强污水站和设备间的封闭，减少恶臭废气逸散出来，待处理系统修复后及时将封闭在设备间内的恶臭废气收集处理后再外排</w:t>
            </w:r>
            <w:r>
              <w:rPr>
                <w:rFonts w:hint="eastAsia" w:cs="Times New Roman"/>
                <w:b w:val="0"/>
                <w:bCs w:val="0"/>
                <w:color w:val="000000" w:themeColor="text1"/>
                <w:sz w:val="24"/>
                <w:szCs w:val="24"/>
                <w:lang w:eastAsia="zh-CN"/>
              </w:rPr>
              <w:t>；</w:t>
            </w:r>
            <w:r>
              <w:rPr>
                <w:rFonts w:hint="default" w:ascii="Times New Roman" w:hAnsi="Times New Roman" w:eastAsia="宋体" w:cs="Times New Roman"/>
                <w:b w:val="0"/>
                <w:bCs w:val="0"/>
                <w:color w:val="000000" w:themeColor="text1"/>
                <w:sz w:val="24"/>
                <w:szCs w:val="24"/>
              </w:rPr>
              <w:t>在静电油烟处理装置停止运行或出现故障时，</w:t>
            </w:r>
            <w:r>
              <w:rPr>
                <w:rFonts w:hint="eastAsia" w:cs="Times New Roman"/>
                <w:b w:val="0"/>
                <w:bCs w:val="0"/>
                <w:color w:val="000000" w:themeColor="text1"/>
                <w:sz w:val="24"/>
                <w:szCs w:val="24"/>
                <w:lang w:val="en-US" w:eastAsia="zh-CN"/>
              </w:rPr>
              <w:t>食堂应暂时停止烹饪，并尽快修理静电油烟处理装置，待处理装置修复完成后再进行烹饪</w:t>
            </w:r>
            <w:r>
              <w:rPr>
                <w:rFonts w:hint="default" w:ascii="Times New Roman" w:hAnsi="Times New Roman" w:eastAsia="宋体" w:cs="Times New Roman"/>
                <w:b w:val="0"/>
                <w:bCs w:val="0"/>
                <w:color w:val="000000" w:themeColor="text1"/>
                <w:sz w:val="24"/>
                <w:szCs w:val="24"/>
              </w:rPr>
              <w:t>。为杜绝废气非正常排放，应采取以下措施确保废气达标排放：</w:t>
            </w:r>
          </w:p>
          <w:p w14:paraId="07BDE8E6">
            <w:pPr>
              <w:adjustRightInd w:val="0"/>
              <w:snapToGrid w:val="0"/>
              <w:spacing w:line="360" w:lineRule="auto"/>
              <w:ind w:firstLine="480" w:firstLineChars="200"/>
              <w:rPr>
                <w:rFonts w:hint="default" w:ascii="Times New Roman" w:hAnsi="Times New Roman" w:eastAsia="宋体" w:cs="Times New Roman"/>
                <w:b w:val="0"/>
                <w:bCs w:val="0"/>
                <w:color w:val="000000" w:themeColor="text1"/>
                <w:sz w:val="24"/>
                <w:szCs w:val="24"/>
              </w:rPr>
            </w:pPr>
            <w:r>
              <w:rPr>
                <w:rFonts w:hint="default" w:ascii="Times New Roman" w:hAnsi="Times New Roman" w:eastAsia="宋体" w:cs="Times New Roman"/>
                <w:b w:val="0"/>
                <w:bCs w:val="0"/>
                <w:color w:val="000000" w:themeColor="text1"/>
                <w:sz w:val="24"/>
                <w:szCs w:val="24"/>
              </w:rPr>
              <w:t>①安排专人负责</w:t>
            </w:r>
            <w:r>
              <w:rPr>
                <w:rFonts w:hint="eastAsia" w:cs="Times New Roman"/>
                <w:b w:val="0"/>
                <w:bCs w:val="0"/>
                <w:color w:val="000000" w:themeColor="text1"/>
                <w:sz w:val="24"/>
                <w:szCs w:val="24"/>
                <w:lang w:val="en-US" w:eastAsia="zh-CN"/>
              </w:rPr>
              <w:t>废气</w:t>
            </w:r>
            <w:r>
              <w:rPr>
                <w:rFonts w:hint="default" w:ascii="Times New Roman" w:hAnsi="Times New Roman" w:eastAsia="宋体" w:cs="Times New Roman"/>
                <w:b w:val="0"/>
                <w:bCs w:val="0"/>
                <w:color w:val="000000" w:themeColor="text1"/>
                <w:sz w:val="24"/>
                <w:szCs w:val="24"/>
              </w:rPr>
              <w:t>处理装置的日常维护和管理，每隔固定时间检查、汇报情况，及时发现设施的隐患，确保废气处理设施正常运行；</w:t>
            </w:r>
          </w:p>
          <w:p w14:paraId="26BD7E32">
            <w:pPr>
              <w:adjustRightInd w:val="0"/>
              <w:snapToGrid w:val="0"/>
              <w:spacing w:line="360" w:lineRule="auto"/>
              <w:ind w:firstLine="480" w:firstLineChars="200"/>
              <w:rPr>
                <w:rFonts w:hint="default" w:ascii="Times New Roman" w:hAnsi="Times New Roman" w:eastAsia="宋体" w:cs="Times New Roman"/>
                <w:b w:val="0"/>
                <w:bCs w:val="0"/>
                <w:color w:val="000000" w:themeColor="text1"/>
                <w:sz w:val="24"/>
                <w:szCs w:val="24"/>
              </w:rPr>
            </w:pPr>
            <w:r>
              <w:rPr>
                <w:rFonts w:hint="default" w:ascii="Times New Roman" w:hAnsi="Times New Roman" w:eastAsia="宋体" w:cs="Times New Roman"/>
                <w:b w:val="0"/>
                <w:bCs w:val="0"/>
                <w:color w:val="000000" w:themeColor="text1"/>
                <w:sz w:val="24"/>
                <w:szCs w:val="24"/>
              </w:rPr>
              <w:t>②建立健全的环保管理机构对环保管理人员和技术人员进行岗位培训，委托具有专业资质的检测单位对项目排放的各类污染物进行定期检测；</w:t>
            </w:r>
          </w:p>
          <w:p w14:paraId="71001F6C">
            <w:pPr>
              <w:adjustRightInd w:val="0"/>
              <w:snapToGrid w:val="0"/>
              <w:spacing w:line="360" w:lineRule="auto"/>
              <w:ind w:firstLine="480" w:firstLineChars="200"/>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val="0"/>
                <w:bCs w:val="0"/>
                <w:color w:val="000000" w:themeColor="text1"/>
                <w:sz w:val="24"/>
                <w:szCs w:val="24"/>
              </w:rPr>
              <w:t>③定期维护、检修</w:t>
            </w:r>
            <w:r>
              <w:rPr>
                <w:rFonts w:hint="eastAsia" w:cs="Times New Roman"/>
                <w:b w:val="0"/>
                <w:bCs w:val="0"/>
                <w:color w:val="000000" w:themeColor="text1"/>
                <w:sz w:val="24"/>
                <w:szCs w:val="24"/>
                <w:lang w:val="en-US" w:eastAsia="zh-CN"/>
              </w:rPr>
              <w:t>废气</w:t>
            </w:r>
            <w:r>
              <w:rPr>
                <w:rFonts w:hint="default" w:ascii="Times New Roman" w:hAnsi="Times New Roman" w:eastAsia="宋体" w:cs="Times New Roman"/>
                <w:b w:val="0"/>
                <w:bCs w:val="0"/>
                <w:color w:val="000000" w:themeColor="text1"/>
                <w:sz w:val="24"/>
                <w:szCs w:val="24"/>
              </w:rPr>
              <w:t>处理装置，保持废气处理装置的处理能力和处理效率</w:t>
            </w:r>
            <w:r>
              <w:rPr>
                <w:rFonts w:hint="eastAsia" w:cs="Times New Roman"/>
                <w:b w:val="0"/>
                <w:bCs w:val="0"/>
                <w:color w:val="000000" w:themeColor="text1"/>
                <w:sz w:val="24"/>
                <w:szCs w:val="24"/>
                <w:lang w:eastAsia="zh-CN"/>
              </w:rPr>
              <w:t>。</w:t>
            </w:r>
          </w:p>
          <w:p w14:paraId="5F3E80E4">
            <w:pPr>
              <w:adjustRightInd w:val="0"/>
              <w:snapToGrid w:val="0"/>
              <w:spacing w:line="360" w:lineRule="auto"/>
              <w:ind w:firstLine="482" w:firstLineChars="200"/>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w:t>
            </w:r>
            <w:r>
              <w:rPr>
                <w:rFonts w:hint="eastAsia" w:cs="Times New Roman"/>
                <w:b/>
                <w:bCs/>
                <w:color w:val="000000" w:themeColor="text1"/>
                <w:sz w:val="24"/>
                <w:szCs w:val="24"/>
                <w:lang w:val="en-US" w:eastAsia="zh-CN"/>
              </w:rPr>
              <w:t>10</w:t>
            </w:r>
            <w:r>
              <w:rPr>
                <w:rFonts w:hint="default" w:ascii="Times New Roman" w:hAnsi="Times New Roman" w:eastAsia="宋体" w:cs="Times New Roman"/>
                <w:b/>
                <w:bCs/>
                <w:color w:val="000000" w:themeColor="text1"/>
                <w:sz w:val="24"/>
                <w:szCs w:val="24"/>
              </w:rPr>
              <w:t>）自行监测计划</w:t>
            </w:r>
          </w:p>
          <w:p w14:paraId="5A4EB939">
            <w:pPr>
              <w:adjustRightInd w:val="0"/>
              <w:snapToGrid w:val="0"/>
              <w:spacing w:line="360" w:lineRule="auto"/>
              <w:ind w:firstLine="480" w:firstLineChars="200"/>
              <w:rPr>
                <w:rFonts w:hint="default" w:ascii="Times New Roman" w:hAnsi="Times New Roman" w:cs="Times New Roman"/>
                <w:color w:val="000000" w:themeColor="text1"/>
                <w:sz w:val="24"/>
                <w:szCs w:val="32"/>
              </w:rPr>
            </w:pPr>
            <w:r>
              <w:rPr>
                <w:rFonts w:hint="default" w:ascii="Times New Roman" w:hAnsi="Times New Roman" w:eastAsia="宋体" w:cs="Times New Roman"/>
                <w:color w:val="000000" w:themeColor="text1"/>
                <w:sz w:val="24"/>
                <w:szCs w:val="24"/>
              </w:rPr>
              <w:t>根据《排污单位自行监测技术指南 总则》（HJ 819-2017）、《排污许可证申请与核发技术规范 总则》（HJ 942-2018）</w:t>
            </w:r>
            <w:r>
              <w:rPr>
                <w:rFonts w:hint="eastAsia" w:cs="Times New Roman"/>
                <w:color w:val="000000" w:themeColor="text1"/>
                <w:sz w:val="24"/>
                <w:szCs w:val="24"/>
                <w:lang w:eastAsia="zh-CN"/>
              </w:rPr>
              <w:t>、</w:t>
            </w:r>
            <w:r>
              <w:rPr>
                <w:rFonts w:hint="default" w:ascii="Times New Roman" w:hAnsi="Times New Roman" w:eastAsia="宋体" w:cs="Times New Roman"/>
                <w:color w:val="000000" w:themeColor="text1"/>
                <w:sz w:val="24"/>
                <w:szCs w:val="24"/>
              </w:rPr>
              <w:t xml:space="preserve">《排污许可证申请与核发技术规范 </w:t>
            </w:r>
            <w:r>
              <w:rPr>
                <w:rFonts w:hint="eastAsia" w:ascii="Times New Roman" w:hAnsi="Times New Roman" w:eastAsia="宋体" w:cs="Times New Roman"/>
                <w:color w:val="000000" w:themeColor="text1"/>
                <w:sz w:val="24"/>
                <w:szCs w:val="24"/>
                <w:lang w:val="en-US" w:eastAsia="zh-CN"/>
              </w:rPr>
              <w:t>锅炉</w:t>
            </w:r>
            <w:r>
              <w:rPr>
                <w:rFonts w:hint="default" w:ascii="Times New Roman" w:hAnsi="Times New Roman" w:eastAsia="宋体" w:cs="Times New Roman"/>
                <w:color w:val="000000" w:themeColor="text1"/>
                <w:sz w:val="24"/>
                <w:szCs w:val="24"/>
              </w:rPr>
              <w:t>》（HJ 9</w:t>
            </w:r>
            <w:r>
              <w:rPr>
                <w:rFonts w:hint="eastAsia" w:ascii="Times New Roman" w:hAnsi="Times New Roman" w:eastAsia="宋体" w:cs="Times New Roman"/>
                <w:color w:val="000000" w:themeColor="text1"/>
                <w:sz w:val="24"/>
                <w:szCs w:val="24"/>
                <w:lang w:val="en-US" w:eastAsia="zh-CN"/>
              </w:rPr>
              <w:t>53</w:t>
            </w:r>
            <w:r>
              <w:rPr>
                <w:rFonts w:hint="default" w:ascii="Times New Roman" w:hAnsi="Times New Roman" w:eastAsia="宋体" w:cs="Times New Roman"/>
                <w:color w:val="000000" w:themeColor="text1"/>
                <w:sz w:val="24"/>
                <w:szCs w:val="24"/>
              </w:rPr>
              <w:t>-2018）</w:t>
            </w:r>
            <w:r>
              <w:rPr>
                <w:rFonts w:hint="eastAsia" w:cs="Times New Roman"/>
                <w:color w:val="000000" w:themeColor="text1"/>
                <w:sz w:val="24"/>
                <w:szCs w:val="24"/>
                <w:lang w:eastAsia="zh-CN"/>
              </w:rPr>
              <w:t>、《排污单位自行监测技术指南 火力发电及锅炉》（HJ 820-2017）</w:t>
            </w:r>
            <w:r>
              <w:rPr>
                <w:rFonts w:hint="default" w:ascii="Times New Roman" w:hAnsi="Times New Roman" w:cs="Times New Roman"/>
                <w:color w:val="000000" w:themeColor="text1"/>
                <w:sz w:val="24"/>
                <w:szCs w:val="24"/>
                <w:lang w:val="en-US" w:eastAsia="zh-CN"/>
              </w:rPr>
              <w:t>及</w:t>
            </w:r>
            <w:r>
              <w:rPr>
                <w:rFonts w:hint="default" w:ascii="Times New Roman" w:hAnsi="Times New Roman" w:eastAsia="宋体" w:cs="Times New Roman"/>
                <w:color w:val="000000" w:themeColor="text1"/>
                <w:sz w:val="24"/>
                <w:szCs w:val="24"/>
              </w:rPr>
              <w:t>《排污许可证申请与核发技术规范 医疗机构》（HJ 1105-2020），本项目运营期废气监测计划如下。</w:t>
            </w:r>
          </w:p>
          <w:p w14:paraId="2E33CDE3">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表4-</w:t>
            </w:r>
            <w:r>
              <w:rPr>
                <w:rFonts w:hint="eastAsia" w:cs="Times New Roman"/>
                <w:b/>
                <w:bCs/>
                <w:color w:val="000000" w:themeColor="text1"/>
                <w:sz w:val="21"/>
                <w:szCs w:val="21"/>
                <w:lang w:val="en-US" w:eastAsia="zh-CN"/>
              </w:rPr>
              <w:t>11</w:t>
            </w:r>
            <w:r>
              <w:rPr>
                <w:rFonts w:hint="default" w:ascii="Times New Roman" w:hAnsi="Times New Roman" w:eastAsia="宋体" w:cs="Times New Roman"/>
                <w:b/>
                <w:bCs/>
                <w:color w:val="000000" w:themeColor="text1"/>
                <w:sz w:val="21"/>
                <w:szCs w:val="21"/>
              </w:rPr>
              <w:t xml:space="preserve"> 废气监测计划</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020"/>
              <w:gridCol w:w="2047"/>
              <w:gridCol w:w="3550"/>
              <w:gridCol w:w="1115"/>
            </w:tblGrid>
            <w:tr w14:paraId="43AA1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tcPr>
                <w:p w14:paraId="0651473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bCs/>
                      <w:color w:val="000000" w:themeColor="text1"/>
                      <w:sz w:val="21"/>
                      <w:szCs w:val="21"/>
                      <w:lang w:eastAsia="zh-CN"/>
                    </w:rPr>
                  </w:pPr>
                  <w:r>
                    <w:rPr>
                      <w:rFonts w:hint="eastAsia" w:cs="Times New Roman"/>
                      <w:b/>
                      <w:bCs/>
                      <w:color w:val="000000" w:themeColor="text1"/>
                      <w:sz w:val="21"/>
                      <w:szCs w:val="21"/>
                      <w:lang w:val="en-US" w:eastAsia="zh-CN"/>
                    </w:rPr>
                    <w:t>类别</w:t>
                  </w:r>
                </w:p>
              </w:tc>
              <w:tc>
                <w:tcPr>
                  <w:tcW w:w="3067" w:type="dxa"/>
                  <w:gridSpan w:val="2"/>
                </w:tcPr>
                <w:p w14:paraId="7BAD4B8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监测点位</w:t>
                  </w:r>
                </w:p>
              </w:tc>
              <w:tc>
                <w:tcPr>
                  <w:tcW w:w="3550" w:type="dxa"/>
                </w:tcPr>
                <w:p w14:paraId="3B96D32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监测内容</w:t>
                  </w:r>
                </w:p>
              </w:tc>
              <w:tc>
                <w:tcPr>
                  <w:tcW w:w="1115" w:type="dxa"/>
                </w:tcPr>
                <w:p w14:paraId="31B8D41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监测频次</w:t>
                  </w:r>
                </w:p>
              </w:tc>
            </w:tr>
            <w:tr w14:paraId="0100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restart"/>
                  <w:vAlign w:val="center"/>
                </w:tcPr>
                <w:p w14:paraId="08B7586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废气</w:t>
                  </w:r>
                </w:p>
              </w:tc>
              <w:tc>
                <w:tcPr>
                  <w:tcW w:w="1020" w:type="dxa"/>
                  <w:vMerge w:val="restart"/>
                  <w:vAlign w:val="center"/>
                </w:tcPr>
                <w:p w14:paraId="02E5969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无组织</w:t>
                  </w:r>
                </w:p>
              </w:tc>
              <w:tc>
                <w:tcPr>
                  <w:tcW w:w="2047" w:type="dxa"/>
                  <w:vAlign w:val="center"/>
                </w:tcPr>
                <w:p w14:paraId="2DFA312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污水处理站周界</w:t>
                  </w:r>
                </w:p>
              </w:tc>
              <w:tc>
                <w:tcPr>
                  <w:tcW w:w="3550" w:type="dxa"/>
                  <w:vAlign w:val="center"/>
                </w:tcPr>
                <w:p w14:paraId="0013492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氨、硫化氢、甲烷、氯气、臭气浓度</w:t>
                  </w:r>
                </w:p>
              </w:tc>
              <w:tc>
                <w:tcPr>
                  <w:tcW w:w="1115" w:type="dxa"/>
                  <w:vAlign w:val="center"/>
                </w:tcPr>
                <w:p w14:paraId="0FDB242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1次/</w:t>
                  </w:r>
                  <w:r>
                    <w:rPr>
                      <w:rFonts w:hint="default" w:ascii="Times New Roman" w:hAnsi="Times New Roman" w:cs="Times New Roman"/>
                      <w:color w:val="000000" w:themeColor="text1"/>
                      <w:sz w:val="21"/>
                      <w:szCs w:val="21"/>
                      <w:lang w:val="en-US" w:eastAsia="zh-CN"/>
                    </w:rPr>
                    <w:t>季度</w:t>
                  </w:r>
                </w:p>
              </w:tc>
            </w:tr>
            <w:tr w14:paraId="3FB6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continue"/>
                  <w:vAlign w:val="center"/>
                </w:tcPr>
                <w:p w14:paraId="5937A3B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020" w:type="dxa"/>
                  <w:vMerge w:val="continue"/>
                  <w:vAlign w:val="center"/>
                </w:tcPr>
                <w:p w14:paraId="104D526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2047" w:type="dxa"/>
                  <w:vAlign w:val="center"/>
                </w:tcPr>
                <w:p w14:paraId="254C29C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厂界下风向</w:t>
                  </w:r>
                </w:p>
              </w:tc>
              <w:tc>
                <w:tcPr>
                  <w:tcW w:w="3550" w:type="dxa"/>
                  <w:vAlign w:val="center"/>
                </w:tcPr>
                <w:p w14:paraId="07EEE47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臭气浓度</w:t>
                  </w:r>
                </w:p>
              </w:tc>
              <w:tc>
                <w:tcPr>
                  <w:tcW w:w="1115" w:type="dxa"/>
                  <w:vAlign w:val="center"/>
                </w:tcPr>
                <w:p w14:paraId="3669309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1次/年</w:t>
                  </w:r>
                </w:p>
              </w:tc>
            </w:tr>
            <w:tr w14:paraId="79B8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continue"/>
                  <w:vAlign w:val="center"/>
                </w:tcPr>
                <w:p w14:paraId="0D6C4D4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020" w:type="dxa"/>
                  <w:vMerge w:val="restart"/>
                  <w:vAlign w:val="center"/>
                </w:tcPr>
                <w:p w14:paraId="19F5E1E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有组织</w:t>
                  </w:r>
                </w:p>
              </w:tc>
              <w:tc>
                <w:tcPr>
                  <w:tcW w:w="2047" w:type="dxa"/>
                  <w:vMerge w:val="restart"/>
                  <w:vAlign w:val="center"/>
                </w:tcPr>
                <w:p w14:paraId="08FDC5D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锅炉废气排放口</w:t>
                  </w:r>
                </w:p>
              </w:tc>
              <w:tc>
                <w:tcPr>
                  <w:tcW w:w="3550" w:type="dxa"/>
                  <w:vAlign w:val="center"/>
                </w:tcPr>
                <w:p w14:paraId="114875D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颗粒物</w:t>
                  </w:r>
                  <w:r>
                    <w:rPr>
                      <w:rFonts w:hint="default" w:ascii="Times New Roman" w:hAnsi="Times New Roman" w:cs="Times New Roman"/>
                      <w:color w:val="000000" w:themeColor="text1"/>
                      <w:sz w:val="21"/>
                      <w:szCs w:val="21"/>
                      <w:lang w:val="en-US" w:eastAsia="zh-CN"/>
                    </w:rPr>
                    <w:t>、SO</w:t>
                  </w:r>
                  <w:r>
                    <w:rPr>
                      <w:rFonts w:hint="default" w:ascii="Times New Roman" w:hAnsi="Times New Roman" w:cs="Times New Roman"/>
                      <w:color w:val="000000" w:themeColor="text1"/>
                      <w:sz w:val="21"/>
                      <w:szCs w:val="21"/>
                      <w:vertAlign w:val="subscript"/>
                      <w:lang w:val="en-US" w:eastAsia="zh-CN"/>
                    </w:rPr>
                    <w:t>2</w:t>
                  </w:r>
                  <w:r>
                    <w:rPr>
                      <w:rFonts w:hint="default" w:ascii="Times New Roman" w:hAnsi="Times New Roman" w:cs="Times New Roman"/>
                      <w:color w:val="000000" w:themeColor="text1"/>
                      <w:sz w:val="21"/>
                      <w:szCs w:val="21"/>
                      <w:lang w:val="en-US" w:eastAsia="zh-CN"/>
                    </w:rPr>
                    <w:t>、</w:t>
                  </w:r>
                  <w:r>
                    <w:rPr>
                      <w:rFonts w:hint="eastAsia" w:cs="Times New Roman"/>
                      <w:color w:val="000000" w:themeColor="text1"/>
                      <w:sz w:val="21"/>
                      <w:szCs w:val="21"/>
                      <w:lang w:val="en-US" w:eastAsia="zh-CN"/>
                    </w:rPr>
                    <w:t>林格曼</w:t>
                  </w:r>
                  <w:r>
                    <w:rPr>
                      <w:rFonts w:hint="default" w:ascii="Times New Roman" w:hAnsi="Times New Roman" w:cs="Times New Roman"/>
                      <w:color w:val="000000" w:themeColor="text1"/>
                      <w:sz w:val="21"/>
                      <w:szCs w:val="21"/>
                      <w:lang w:val="en-US" w:eastAsia="zh-CN"/>
                    </w:rPr>
                    <w:t>黑度</w:t>
                  </w:r>
                </w:p>
              </w:tc>
              <w:tc>
                <w:tcPr>
                  <w:tcW w:w="1115" w:type="dxa"/>
                  <w:vAlign w:val="center"/>
                </w:tcPr>
                <w:p w14:paraId="721ED0B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1次/年</w:t>
                  </w:r>
                </w:p>
              </w:tc>
            </w:tr>
            <w:tr w14:paraId="37B9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continue"/>
                  <w:vAlign w:val="center"/>
                </w:tcPr>
                <w:p w14:paraId="22233DB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020" w:type="dxa"/>
                  <w:vMerge w:val="continue"/>
                  <w:vAlign w:val="center"/>
                </w:tcPr>
                <w:p w14:paraId="3DABFFE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2047" w:type="dxa"/>
                  <w:vMerge w:val="continue"/>
                  <w:vAlign w:val="center"/>
                </w:tcPr>
                <w:p w14:paraId="1CC5589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3550" w:type="dxa"/>
                  <w:vAlign w:val="center"/>
                </w:tcPr>
                <w:p w14:paraId="0A8CD1A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NO</w:t>
                  </w:r>
                  <w:r>
                    <w:rPr>
                      <w:rFonts w:hint="default" w:ascii="Times New Roman" w:hAnsi="Times New Roman" w:cs="Times New Roman"/>
                      <w:color w:val="000000" w:themeColor="text1"/>
                      <w:sz w:val="21"/>
                      <w:szCs w:val="21"/>
                      <w:vertAlign w:val="subscript"/>
                      <w:lang w:val="en-US" w:eastAsia="zh-CN"/>
                    </w:rPr>
                    <w:t>X</w:t>
                  </w:r>
                </w:p>
              </w:tc>
              <w:tc>
                <w:tcPr>
                  <w:tcW w:w="1115" w:type="dxa"/>
                  <w:vAlign w:val="center"/>
                </w:tcPr>
                <w:p w14:paraId="0847D45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eastAsia" w:cs="Times New Roman"/>
                      <w:color w:val="000000" w:themeColor="text1"/>
                      <w:sz w:val="21"/>
                      <w:szCs w:val="21"/>
                      <w:lang w:val="en-US" w:eastAsia="zh-CN"/>
                    </w:rPr>
                    <w:t>1次/月</w:t>
                  </w:r>
                </w:p>
              </w:tc>
            </w:tr>
            <w:tr w14:paraId="7C2B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continue"/>
                  <w:vAlign w:val="center"/>
                </w:tcPr>
                <w:p w14:paraId="6777FF0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020" w:type="dxa"/>
                  <w:vMerge w:val="continue"/>
                  <w:vAlign w:val="center"/>
                </w:tcPr>
                <w:p w14:paraId="0BAA5BE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lang w:val="en-US" w:eastAsia="zh-CN"/>
                    </w:rPr>
                  </w:pPr>
                </w:p>
              </w:tc>
              <w:tc>
                <w:tcPr>
                  <w:tcW w:w="2047" w:type="dxa"/>
                  <w:vAlign w:val="center"/>
                </w:tcPr>
                <w:p w14:paraId="21FF5C8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eastAsia" w:cs="Times New Roman"/>
                      <w:color w:val="000000" w:themeColor="text1"/>
                      <w:sz w:val="21"/>
                      <w:szCs w:val="21"/>
                      <w:lang w:val="en-US" w:eastAsia="zh-CN"/>
                    </w:rPr>
                    <w:t>污水站臭气排放口</w:t>
                  </w:r>
                </w:p>
              </w:tc>
              <w:tc>
                <w:tcPr>
                  <w:tcW w:w="3550" w:type="dxa"/>
                  <w:shd w:val="clear" w:color="auto" w:fill="auto"/>
                  <w:vAlign w:val="center"/>
                </w:tcPr>
                <w:p w14:paraId="25CCB7F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lang w:val="en-US" w:eastAsia="zh-CN" w:bidi="ar-SA"/>
                    </w:rPr>
                  </w:pPr>
                  <w:r>
                    <w:rPr>
                      <w:rFonts w:hint="default" w:ascii="Times New Roman" w:hAnsi="Times New Roman" w:eastAsia="宋体" w:cs="Times New Roman"/>
                      <w:color w:val="000000" w:themeColor="text1"/>
                      <w:sz w:val="21"/>
                      <w:szCs w:val="21"/>
                    </w:rPr>
                    <w:t>氨、硫化氢、臭气浓度</w:t>
                  </w:r>
                </w:p>
              </w:tc>
              <w:tc>
                <w:tcPr>
                  <w:tcW w:w="1115" w:type="dxa"/>
                  <w:vAlign w:val="center"/>
                </w:tcPr>
                <w:p w14:paraId="3605463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1次/</w:t>
                  </w:r>
                  <w:r>
                    <w:rPr>
                      <w:rFonts w:hint="default" w:ascii="Times New Roman" w:hAnsi="Times New Roman" w:cs="Times New Roman"/>
                      <w:color w:val="000000" w:themeColor="text1"/>
                      <w:sz w:val="21"/>
                      <w:szCs w:val="21"/>
                      <w:lang w:val="en-US" w:eastAsia="zh-CN"/>
                    </w:rPr>
                    <w:t>季度</w:t>
                  </w:r>
                </w:p>
              </w:tc>
            </w:tr>
            <w:tr w14:paraId="5529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continue"/>
                  <w:vAlign w:val="center"/>
                </w:tcPr>
                <w:p w14:paraId="6D8CF55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020" w:type="dxa"/>
                  <w:vMerge w:val="continue"/>
                  <w:vAlign w:val="center"/>
                </w:tcPr>
                <w:p w14:paraId="3AF666E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2047" w:type="dxa"/>
                  <w:vAlign w:val="center"/>
                </w:tcPr>
                <w:p w14:paraId="571DB3D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食堂油烟排放口</w:t>
                  </w:r>
                </w:p>
              </w:tc>
              <w:tc>
                <w:tcPr>
                  <w:tcW w:w="3550" w:type="dxa"/>
                  <w:vAlign w:val="center"/>
                </w:tcPr>
                <w:p w14:paraId="5657576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油烟</w:t>
                  </w:r>
                </w:p>
              </w:tc>
              <w:tc>
                <w:tcPr>
                  <w:tcW w:w="1115" w:type="dxa"/>
                  <w:vAlign w:val="center"/>
                </w:tcPr>
                <w:p w14:paraId="58A37E4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1次/年</w:t>
                  </w:r>
                </w:p>
              </w:tc>
            </w:tr>
          </w:tbl>
          <w:p w14:paraId="17DEB278">
            <w:pPr>
              <w:pStyle w:val="58"/>
              <w:keepNext w:val="0"/>
              <w:keepLines w:val="0"/>
              <w:pageBreakBefore w:val="0"/>
              <w:widowControl w:val="0"/>
              <w:numPr>
                <w:ilvl w:val="0"/>
                <w:numId w:val="6"/>
              </w:numPr>
              <w:kinsoku/>
              <w:wordWrap/>
              <w:overflowPunct/>
              <w:topLinePunct w:val="0"/>
              <w:autoSpaceDE/>
              <w:autoSpaceDN/>
              <w:bidi w:val="0"/>
              <w:spacing w:line="360" w:lineRule="auto"/>
              <w:ind w:firstLineChars="0"/>
              <w:textAlignment w:val="auto"/>
              <w:rPr>
                <w:rFonts w:hint="default" w:ascii="Times New Roman" w:hAnsi="Times New Roman" w:eastAsia="宋体" w:cs="Times New Roman"/>
                <w:b/>
                <w:bCs/>
                <w:color w:val="000000" w:themeColor="text1"/>
                <w:sz w:val="24"/>
                <w:szCs w:val="24"/>
                <w:u w:val="none"/>
              </w:rPr>
            </w:pPr>
            <w:r>
              <w:rPr>
                <w:rFonts w:hint="default" w:ascii="Times New Roman" w:hAnsi="Times New Roman" w:eastAsia="宋体" w:cs="Times New Roman"/>
                <w:b/>
                <w:bCs/>
                <w:color w:val="000000" w:themeColor="text1"/>
                <w:sz w:val="24"/>
                <w:szCs w:val="24"/>
              </w:rPr>
              <w:t>废</w:t>
            </w:r>
            <w:r>
              <w:rPr>
                <w:rFonts w:hint="default" w:ascii="Times New Roman" w:hAnsi="Times New Roman" w:eastAsia="宋体" w:cs="Times New Roman"/>
                <w:b/>
                <w:bCs/>
                <w:color w:val="000000" w:themeColor="text1"/>
                <w:sz w:val="24"/>
                <w:szCs w:val="24"/>
                <w:u w:val="none"/>
              </w:rPr>
              <w:t>水</w:t>
            </w:r>
          </w:p>
          <w:p w14:paraId="78470411">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cs="Times New Roman"/>
                <w:b/>
                <w:bCs/>
                <w:color w:val="000000" w:themeColor="text1"/>
                <w:sz w:val="24"/>
                <w:szCs w:val="24"/>
                <w:u w:val="none"/>
                <w:lang w:val="en-US" w:eastAsia="zh-CN"/>
              </w:rPr>
            </w:pPr>
            <w:r>
              <w:rPr>
                <w:rFonts w:hint="eastAsia" w:cs="Times New Roman"/>
                <w:b/>
                <w:bCs/>
                <w:color w:val="000000" w:themeColor="text1"/>
                <w:sz w:val="24"/>
                <w:szCs w:val="24"/>
                <w:u w:val="none"/>
                <w:lang w:val="en-US" w:eastAsia="zh-CN"/>
              </w:rPr>
              <w:t>（1）废水源强核算</w:t>
            </w:r>
          </w:p>
          <w:p w14:paraId="04CC601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u w:val="single"/>
                <w:lang w:val="en-US" w:eastAsia="zh-CN"/>
              </w:rPr>
            </w:pPr>
            <w:r>
              <w:rPr>
                <w:rFonts w:hint="default" w:ascii="Times New Roman" w:hAnsi="Times New Roman" w:cs="Times New Roman"/>
                <w:color w:val="000000" w:themeColor="text1"/>
                <w:sz w:val="24"/>
                <w:szCs w:val="24"/>
                <w:u w:val="single"/>
                <w:lang w:val="en-US" w:eastAsia="zh-CN"/>
              </w:rPr>
              <w:t>项目医院内设置的医学影像科不使用传统的照片胶片洗印，采用干式激光打印，无洗印废水产生；项目不设口腔科，无含汞废水产生；项目污水站设备间内设有一个小型碱水喷淋塔（氢氧化钠）用于处理污水站恶臭气体，喷淋水循环使用不外排，定期补水，循环水量1m</w:t>
            </w:r>
            <w:r>
              <w:rPr>
                <w:rFonts w:hint="default" w:ascii="Times New Roman" w:hAnsi="Times New Roman" w:cs="Times New Roman"/>
                <w:color w:val="000000" w:themeColor="text1"/>
                <w:sz w:val="24"/>
                <w:szCs w:val="24"/>
                <w:u w:val="single"/>
                <w:vertAlign w:val="superscript"/>
                <w:lang w:val="en-US" w:eastAsia="zh-CN"/>
              </w:rPr>
              <w:t>3</w:t>
            </w:r>
            <w:r>
              <w:rPr>
                <w:rFonts w:hint="eastAsia" w:cs="Times New Roman"/>
                <w:color w:val="000000" w:themeColor="text1"/>
                <w:sz w:val="24"/>
                <w:szCs w:val="24"/>
                <w:u w:val="single"/>
                <w:vertAlign w:val="baseline"/>
                <w:lang w:val="en-US" w:eastAsia="zh-CN"/>
              </w:rPr>
              <w:t>/d</w:t>
            </w:r>
            <w:r>
              <w:rPr>
                <w:rFonts w:hint="default" w:ascii="Times New Roman" w:hAnsi="Times New Roman" w:cs="Times New Roman"/>
                <w:color w:val="000000" w:themeColor="text1"/>
                <w:sz w:val="24"/>
                <w:szCs w:val="24"/>
                <w:u w:val="single"/>
                <w:lang w:val="en-US" w:eastAsia="zh-CN"/>
              </w:rPr>
              <w:t>。</w:t>
            </w:r>
          </w:p>
          <w:p w14:paraId="386BAF7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医院内设传染病科</w:t>
            </w:r>
            <w:r>
              <w:rPr>
                <w:rFonts w:hint="eastAsia" w:cs="Times New Roman"/>
                <w:color w:val="000000" w:themeColor="text1"/>
                <w:sz w:val="24"/>
                <w:szCs w:val="24"/>
                <w:u w:val="none"/>
                <w:lang w:val="en-US" w:eastAsia="zh-CN"/>
              </w:rPr>
              <w:t>（38张床位）</w:t>
            </w:r>
            <w:r>
              <w:rPr>
                <w:rFonts w:hint="default" w:ascii="Times New Roman" w:hAnsi="Times New Roman" w:cs="Times New Roman"/>
                <w:color w:val="000000" w:themeColor="text1"/>
                <w:sz w:val="24"/>
                <w:szCs w:val="24"/>
                <w:u w:val="none"/>
                <w:lang w:val="en-US" w:eastAsia="zh-CN"/>
              </w:rPr>
              <w:t>，项目主要废水包括：职工生活污水、食堂废水、门诊病人废水、住院病人废水、传染病科废水等。</w:t>
            </w:r>
          </w:p>
          <w:p w14:paraId="7ADA95EF">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eastAsia" w:ascii="Times New Roman" w:hAnsi="Times New Roman" w:cs="Times New Roman"/>
                <w:color w:val="000000" w:themeColor="text1"/>
                <w:kern w:val="0"/>
                <w:sz w:val="24"/>
                <w:szCs w:val="24"/>
                <w:u w:val="single"/>
                <w:lang w:val="en-US" w:eastAsia="zh-CN"/>
              </w:rPr>
              <w:t>①</w:t>
            </w:r>
            <w:r>
              <w:rPr>
                <w:rFonts w:hint="default" w:ascii="Times New Roman" w:hAnsi="Times New Roman" w:cs="Times New Roman"/>
                <w:color w:val="000000" w:themeColor="text1"/>
                <w:kern w:val="0"/>
                <w:sz w:val="24"/>
                <w:szCs w:val="24"/>
                <w:u w:val="single"/>
                <w:lang w:val="en-US" w:eastAsia="zh-CN"/>
              </w:rPr>
              <w:t>生活污水</w:t>
            </w:r>
          </w:p>
          <w:p w14:paraId="47F349B6">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default" w:ascii="Times New Roman" w:hAnsi="Times New Roman" w:cs="Times New Roman"/>
                <w:color w:val="000000" w:themeColor="text1"/>
                <w:kern w:val="0"/>
                <w:sz w:val="24"/>
                <w:szCs w:val="24"/>
                <w:u w:val="single"/>
                <w:lang w:val="en-US" w:eastAsia="zh-CN"/>
              </w:rPr>
              <w:t>本项目员工人数为240人（其中行政管理人员约20人，主要位于行政办公楼中），根据</w:t>
            </w:r>
            <w:r>
              <w:rPr>
                <w:rFonts w:hint="eastAsia" w:ascii="Times New Roman" w:hAnsi="Times New Roman" w:cs="Times New Roman"/>
                <w:color w:val="000000" w:themeColor="text1"/>
                <w:kern w:val="0"/>
                <w:sz w:val="24"/>
                <w:szCs w:val="24"/>
                <w:u w:val="single"/>
                <w:lang w:val="en-US" w:eastAsia="zh-CN"/>
              </w:rPr>
              <w:t>《综合医院建筑设计标准》（GB 51039-2014）</w:t>
            </w:r>
            <w:r>
              <w:rPr>
                <w:rFonts w:hint="default" w:ascii="Times New Roman" w:hAnsi="Times New Roman" w:cs="Times New Roman"/>
                <w:color w:val="000000" w:themeColor="text1"/>
                <w:kern w:val="0"/>
                <w:sz w:val="24"/>
                <w:szCs w:val="24"/>
                <w:u w:val="single"/>
                <w:lang w:val="en-US" w:eastAsia="zh-CN"/>
              </w:rPr>
              <w:t>，职工用水量按150L/人·d计，则用水量为36m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/d（13140m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/a）（其中行政办公楼员工的用水量为3m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/d，1095m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/a）；排污系数取0.8，则项目生活污水排放量为28.8m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/d（10512m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/a）（其中行政办公楼员工的排水量为2.4m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/d，876m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w:t>
            </w:r>
          </w:p>
          <w:p w14:paraId="65F44367">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eastAsia" w:ascii="Times New Roman" w:hAnsi="Times New Roman" w:cs="Times New Roman"/>
                <w:color w:val="000000" w:themeColor="text1"/>
                <w:kern w:val="0"/>
                <w:sz w:val="24"/>
                <w:szCs w:val="24"/>
                <w:u w:val="single"/>
                <w:lang w:val="en-US" w:eastAsia="zh-CN"/>
              </w:rPr>
              <w:t>②</w:t>
            </w:r>
            <w:r>
              <w:rPr>
                <w:rFonts w:hint="default" w:ascii="Times New Roman" w:hAnsi="Times New Roman" w:cs="Times New Roman"/>
                <w:color w:val="000000" w:themeColor="text1"/>
                <w:kern w:val="0"/>
                <w:sz w:val="24"/>
                <w:szCs w:val="24"/>
                <w:u w:val="single"/>
                <w:lang w:val="en-US" w:eastAsia="zh-CN"/>
              </w:rPr>
              <w:t>食堂用水</w:t>
            </w:r>
          </w:p>
          <w:p w14:paraId="03D15CA7">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u w:val="single"/>
                <w:lang w:val="en-US" w:eastAsia="zh-CN"/>
              </w:rPr>
            </w:pPr>
            <w:r>
              <w:rPr>
                <w:rFonts w:hint="default" w:ascii="Times New Roman" w:hAnsi="Times New Roman" w:eastAsia="宋体" w:cs="Times New Roman"/>
                <w:color w:val="000000" w:themeColor="text1"/>
                <w:sz w:val="24"/>
                <w:szCs w:val="24"/>
                <w:u w:val="single"/>
              </w:rPr>
              <w:t>根据建设单位提供资料，本项目</w:t>
            </w:r>
            <w:r>
              <w:rPr>
                <w:rFonts w:hint="default" w:ascii="Times New Roman" w:hAnsi="Times New Roman" w:cs="Times New Roman"/>
                <w:color w:val="000000" w:themeColor="text1"/>
                <w:sz w:val="24"/>
                <w:szCs w:val="24"/>
                <w:u w:val="single"/>
                <w:lang w:val="en-US" w:eastAsia="zh-CN"/>
              </w:rPr>
              <w:t>食堂</w:t>
            </w:r>
            <w:r>
              <w:rPr>
                <w:rFonts w:hint="default" w:ascii="Times New Roman" w:hAnsi="Times New Roman" w:eastAsia="宋体" w:cs="Times New Roman"/>
                <w:color w:val="000000" w:themeColor="text1"/>
                <w:sz w:val="24"/>
                <w:szCs w:val="24"/>
                <w:u w:val="single"/>
              </w:rPr>
              <w:t>全天</w:t>
            </w:r>
            <w:r>
              <w:rPr>
                <w:rFonts w:hint="eastAsia" w:cs="Times New Roman"/>
                <w:color w:val="000000" w:themeColor="text1"/>
                <w:sz w:val="24"/>
                <w:szCs w:val="24"/>
                <w:u w:val="single"/>
                <w:lang w:eastAsia="zh-CN"/>
              </w:rPr>
              <w:t>（</w:t>
            </w:r>
            <w:r>
              <w:rPr>
                <w:rFonts w:hint="eastAsia" w:cs="Times New Roman"/>
                <w:color w:val="000000" w:themeColor="text1"/>
                <w:sz w:val="24"/>
                <w:szCs w:val="24"/>
                <w:u w:val="single"/>
                <w:lang w:val="en-US" w:eastAsia="zh-CN"/>
              </w:rPr>
              <w:t>早中晚</w:t>
            </w:r>
            <w:r>
              <w:rPr>
                <w:rFonts w:hint="eastAsia" w:cs="Times New Roman"/>
                <w:color w:val="000000" w:themeColor="text1"/>
                <w:sz w:val="24"/>
                <w:szCs w:val="24"/>
                <w:u w:val="single"/>
                <w:lang w:eastAsia="zh-CN"/>
              </w:rPr>
              <w:t>）</w:t>
            </w:r>
            <w:r>
              <w:rPr>
                <w:rFonts w:hint="default" w:ascii="Times New Roman" w:hAnsi="Times New Roman" w:eastAsia="宋体" w:cs="Times New Roman"/>
                <w:color w:val="000000" w:themeColor="text1"/>
                <w:sz w:val="24"/>
                <w:szCs w:val="24"/>
                <w:u w:val="single"/>
              </w:rPr>
              <w:t>设计供应500人次/日</w:t>
            </w:r>
            <w:r>
              <w:rPr>
                <w:rFonts w:hint="default" w:ascii="Times New Roman" w:hAnsi="Times New Roman" w:cs="Times New Roman"/>
                <w:color w:val="000000" w:themeColor="text1"/>
                <w:sz w:val="24"/>
                <w:szCs w:val="24"/>
                <w:u w:val="single"/>
                <w:lang w:eastAsia="zh-CN"/>
              </w:rPr>
              <w:t>，</w:t>
            </w:r>
            <w:r>
              <w:rPr>
                <w:rFonts w:hint="default" w:ascii="Times New Roman" w:hAnsi="Times New Roman" w:cs="Times New Roman"/>
                <w:color w:val="000000" w:themeColor="text1"/>
                <w:kern w:val="0"/>
                <w:sz w:val="24"/>
                <w:szCs w:val="24"/>
                <w:u w:val="single"/>
                <w:lang w:val="en-US" w:eastAsia="zh-CN"/>
              </w:rPr>
              <w:t>根据</w:t>
            </w:r>
            <w:r>
              <w:rPr>
                <w:rFonts w:hint="eastAsia" w:ascii="Times New Roman" w:hAnsi="Times New Roman" w:cs="Times New Roman"/>
                <w:color w:val="000000" w:themeColor="text1"/>
                <w:kern w:val="0"/>
                <w:sz w:val="24"/>
                <w:szCs w:val="24"/>
                <w:u w:val="single"/>
                <w:lang w:val="en-US" w:eastAsia="zh-CN"/>
              </w:rPr>
              <w:t>《综合医院建筑设计规范》（GB51039-2014）</w:t>
            </w:r>
            <w:r>
              <w:rPr>
                <w:rFonts w:hint="default" w:ascii="Times New Roman" w:hAnsi="Times New Roman" w:cs="Times New Roman"/>
                <w:color w:val="000000" w:themeColor="text1"/>
                <w:kern w:val="0"/>
                <w:sz w:val="24"/>
                <w:szCs w:val="24"/>
                <w:u w:val="single"/>
                <w:lang w:val="en-US" w:eastAsia="zh-CN"/>
              </w:rPr>
              <w:t>，食堂用水量按照20L/（人•餐），食堂用水量为10m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/d（3650m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/a），排污系数取0.8，则项目食堂污水排放量为8m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/d（2920m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w:t>
            </w:r>
          </w:p>
          <w:p w14:paraId="1009134B">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eastAsia" w:ascii="Times New Roman" w:hAnsi="Times New Roman" w:cs="Times New Roman"/>
                <w:color w:val="000000" w:themeColor="text1"/>
                <w:kern w:val="0"/>
                <w:sz w:val="24"/>
                <w:szCs w:val="24"/>
                <w:u w:val="single"/>
                <w:lang w:val="en-US" w:eastAsia="zh-CN"/>
              </w:rPr>
              <w:t>③</w:t>
            </w:r>
            <w:r>
              <w:rPr>
                <w:rFonts w:hint="default" w:ascii="Times New Roman" w:hAnsi="Times New Roman" w:cs="Times New Roman"/>
                <w:color w:val="000000" w:themeColor="text1"/>
                <w:kern w:val="0"/>
                <w:sz w:val="24"/>
                <w:szCs w:val="24"/>
                <w:u w:val="single"/>
                <w:lang w:val="en-US" w:eastAsia="zh-CN"/>
              </w:rPr>
              <w:t>地面拖洗水</w:t>
            </w:r>
          </w:p>
          <w:p w14:paraId="2A423DDE">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default" w:ascii="Times New Roman" w:hAnsi="Times New Roman" w:cs="Times New Roman"/>
                <w:color w:val="000000" w:themeColor="text1"/>
                <w:kern w:val="0"/>
                <w:sz w:val="24"/>
                <w:szCs w:val="24"/>
                <w:u w:val="single"/>
                <w:lang w:val="en-US" w:eastAsia="zh-CN"/>
              </w:rPr>
              <w:t>本项目建筑面积为35692m</w:t>
            </w:r>
            <w:r>
              <w:rPr>
                <w:rFonts w:hint="default" w:ascii="Times New Roman" w:hAnsi="Times New Roman" w:cs="Times New Roman"/>
                <w:color w:val="000000" w:themeColor="text1"/>
                <w:kern w:val="0"/>
                <w:sz w:val="24"/>
                <w:szCs w:val="24"/>
                <w:u w:val="single"/>
                <w:vertAlign w:val="superscript"/>
                <w:lang w:val="en-US" w:eastAsia="zh-CN"/>
              </w:rPr>
              <w:t>2</w:t>
            </w:r>
            <w:r>
              <w:rPr>
                <w:rFonts w:hint="default" w:ascii="Times New Roman" w:hAnsi="Times New Roman" w:cs="Times New Roman"/>
                <w:color w:val="000000" w:themeColor="text1"/>
                <w:kern w:val="0"/>
                <w:sz w:val="24"/>
                <w:szCs w:val="24"/>
                <w:u w:val="single"/>
                <w:lang w:val="en-US" w:eastAsia="zh-CN"/>
              </w:rPr>
              <w:t>，每日用拖把进行清洁，用水量按0.05L/m</w:t>
            </w:r>
            <w:r>
              <w:rPr>
                <w:rFonts w:hint="default" w:ascii="Times New Roman" w:hAnsi="Times New Roman" w:cs="Times New Roman"/>
                <w:color w:val="000000" w:themeColor="text1"/>
                <w:kern w:val="0"/>
                <w:sz w:val="24"/>
                <w:szCs w:val="24"/>
                <w:u w:val="single"/>
                <w:vertAlign w:val="superscript"/>
                <w:lang w:val="en-US" w:eastAsia="zh-CN"/>
              </w:rPr>
              <w:t>2</w:t>
            </w:r>
            <w:r>
              <w:rPr>
                <w:rFonts w:hint="default" w:ascii="Times New Roman" w:hAnsi="Times New Roman" w:cs="Times New Roman"/>
                <w:color w:val="000000" w:themeColor="text1"/>
                <w:kern w:val="0"/>
                <w:sz w:val="24"/>
                <w:szCs w:val="24"/>
                <w:u w:val="single"/>
                <w:lang w:val="en-US" w:eastAsia="zh-CN"/>
              </w:rPr>
              <w:t>·d 计，则地面拖洗用水量约为1.78m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/d(651.38m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/a)，地面拖洗水全部蒸发不外排。</w:t>
            </w:r>
          </w:p>
          <w:p w14:paraId="5EC8E224">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eastAsia" w:ascii="Times New Roman" w:hAnsi="Times New Roman" w:cs="Times New Roman"/>
                <w:color w:val="000000" w:themeColor="text1"/>
                <w:kern w:val="0"/>
                <w:sz w:val="24"/>
                <w:szCs w:val="24"/>
                <w:u w:val="single"/>
                <w:lang w:val="en-US" w:eastAsia="zh-CN"/>
              </w:rPr>
              <w:t>④</w:t>
            </w:r>
            <w:r>
              <w:rPr>
                <w:rFonts w:hint="default" w:ascii="Times New Roman" w:hAnsi="Times New Roman" w:cs="Times New Roman"/>
                <w:color w:val="000000" w:themeColor="text1"/>
                <w:kern w:val="0"/>
                <w:sz w:val="24"/>
                <w:szCs w:val="24"/>
                <w:u w:val="single"/>
                <w:lang w:val="en-US" w:eastAsia="zh-CN"/>
              </w:rPr>
              <w:t>住院用水</w:t>
            </w:r>
          </w:p>
          <w:p w14:paraId="00980145">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default" w:ascii="Times New Roman" w:hAnsi="Times New Roman" w:cs="Times New Roman"/>
                <w:color w:val="000000" w:themeColor="text1"/>
                <w:kern w:val="0"/>
                <w:sz w:val="24"/>
                <w:szCs w:val="24"/>
                <w:u w:val="single"/>
                <w:lang w:val="en-US" w:eastAsia="zh-CN"/>
              </w:rPr>
              <w:t>本项目共设360张住院床位，根据</w:t>
            </w:r>
            <w:r>
              <w:rPr>
                <w:rFonts w:hint="eastAsia" w:ascii="Times New Roman" w:hAnsi="Times New Roman" w:cs="Times New Roman"/>
                <w:color w:val="000000" w:themeColor="text1"/>
                <w:kern w:val="0"/>
                <w:sz w:val="24"/>
                <w:szCs w:val="24"/>
                <w:u w:val="single"/>
                <w:lang w:val="en-US" w:eastAsia="zh-CN"/>
              </w:rPr>
              <w:t>《综合医院建筑设计标准》（GB 51039-2014）中 表6.2.2，住院部设单独卫生间用水定额为250~400L/床•d</w:t>
            </w:r>
            <w:r>
              <w:rPr>
                <w:rFonts w:hint="default" w:ascii="Times New Roman" w:hAnsi="Times New Roman" w:cs="Times New Roman"/>
                <w:color w:val="000000" w:themeColor="text1"/>
                <w:kern w:val="0"/>
                <w:sz w:val="24"/>
                <w:szCs w:val="24"/>
                <w:u w:val="single"/>
                <w:lang w:val="en-US" w:eastAsia="zh-CN"/>
              </w:rPr>
              <w:t>，</w:t>
            </w:r>
            <w:r>
              <w:rPr>
                <w:rFonts w:hint="eastAsia" w:ascii="Times New Roman" w:hAnsi="Times New Roman" w:cs="Times New Roman"/>
                <w:color w:val="000000" w:themeColor="text1"/>
                <w:kern w:val="0"/>
                <w:sz w:val="24"/>
                <w:szCs w:val="24"/>
                <w:u w:val="single"/>
                <w:lang w:val="en-US" w:eastAsia="zh-CN"/>
              </w:rPr>
              <w:t>本项目</w:t>
            </w:r>
            <w:r>
              <w:rPr>
                <w:rFonts w:hint="default" w:ascii="Times New Roman" w:hAnsi="Times New Roman" w:cs="Times New Roman"/>
                <w:color w:val="000000" w:themeColor="text1"/>
                <w:kern w:val="0"/>
                <w:sz w:val="24"/>
                <w:szCs w:val="24"/>
                <w:u w:val="single"/>
                <w:lang w:val="en-US" w:eastAsia="zh-CN"/>
              </w:rPr>
              <w:t>住院病人及其陪护人员用水按400L/床·天计，则住院用水量为144m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/d（52560m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/a），排污系数取0.8，则项目住院废水排放量为115.2m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/d（42048m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w:t>
            </w:r>
          </w:p>
          <w:p w14:paraId="0DF737BC">
            <w:pPr>
              <w:autoSpaceDE w:val="0"/>
              <w:autoSpaceDN w:val="0"/>
              <w:adjustRightInd w:val="0"/>
              <w:snapToGrid w:val="0"/>
              <w:spacing w:line="360" w:lineRule="auto"/>
              <w:ind w:firstLine="482" w:firstLineChars="200"/>
              <w:jc w:val="left"/>
              <w:rPr>
                <w:rFonts w:hint="default" w:ascii="Times New Roman" w:hAnsi="Times New Roman" w:cs="Times New Roman"/>
                <w:color w:val="000000" w:themeColor="text1"/>
                <w:kern w:val="0"/>
                <w:sz w:val="24"/>
                <w:szCs w:val="24"/>
                <w:u w:val="single"/>
                <w:lang w:val="en-US" w:eastAsia="zh-CN"/>
              </w:rPr>
            </w:pPr>
            <w:r>
              <w:rPr>
                <w:rFonts w:hint="eastAsia" w:cs="Times New Roman"/>
                <w:b/>
                <w:bCs/>
                <w:color w:val="000000" w:themeColor="text1"/>
                <w:kern w:val="0"/>
                <w:sz w:val="24"/>
                <w:szCs w:val="24"/>
                <w:highlight w:val="none"/>
                <w:u w:val="single"/>
                <w:lang w:val="en-US" w:eastAsia="zh-CN"/>
              </w:rPr>
              <w:t>传染科废水：</w:t>
            </w:r>
            <w:r>
              <w:rPr>
                <w:rFonts w:hint="eastAsia" w:cs="Times New Roman"/>
                <w:color w:val="000000" w:themeColor="text1"/>
                <w:kern w:val="0"/>
                <w:sz w:val="24"/>
                <w:szCs w:val="24"/>
                <w:highlight w:val="none"/>
                <w:u w:val="single"/>
                <w:lang w:val="en-US" w:eastAsia="zh-CN"/>
              </w:rPr>
              <w:t>住院床位中，</w:t>
            </w:r>
            <w:r>
              <w:rPr>
                <w:rFonts w:hint="default" w:ascii="Times New Roman" w:hAnsi="Times New Roman" w:cs="Times New Roman"/>
                <w:color w:val="000000" w:themeColor="text1"/>
                <w:kern w:val="0"/>
                <w:sz w:val="24"/>
                <w:szCs w:val="24"/>
                <w:highlight w:val="none"/>
                <w:u w:val="single"/>
                <w:lang w:val="en-US" w:eastAsia="zh-CN"/>
              </w:rPr>
              <w:t>传染病楼</w:t>
            </w:r>
            <w:r>
              <w:rPr>
                <w:rFonts w:hint="eastAsia" w:cs="Times New Roman"/>
                <w:color w:val="000000" w:themeColor="text1"/>
                <w:kern w:val="0"/>
                <w:sz w:val="24"/>
                <w:szCs w:val="24"/>
                <w:highlight w:val="none"/>
                <w:u w:val="single"/>
                <w:lang w:val="en-US" w:eastAsia="zh-CN"/>
              </w:rPr>
              <w:t>共设38个床位</w:t>
            </w:r>
            <w:r>
              <w:rPr>
                <w:rFonts w:hint="default" w:ascii="Times New Roman" w:hAnsi="Times New Roman" w:cs="Times New Roman"/>
                <w:color w:val="000000" w:themeColor="text1"/>
                <w:kern w:val="0"/>
                <w:sz w:val="24"/>
                <w:szCs w:val="24"/>
                <w:u w:val="single"/>
                <w:lang w:val="en-US" w:eastAsia="zh-CN"/>
              </w:rPr>
              <w:t>，主要为结核病人，少量肝病、艾滋病人，</w:t>
            </w:r>
            <w:r>
              <w:rPr>
                <w:rFonts w:hint="eastAsia" w:cs="Times New Roman"/>
                <w:color w:val="000000" w:themeColor="text1"/>
                <w:kern w:val="0"/>
                <w:sz w:val="24"/>
                <w:szCs w:val="24"/>
                <w:u w:val="single"/>
                <w:lang w:val="en-US" w:eastAsia="zh-CN"/>
              </w:rPr>
              <w:t>则</w:t>
            </w:r>
            <w:r>
              <w:rPr>
                <w:rFonts w:hint="default" w:ascii="Times New Roman" w:hAnsi="Times New Roman" w:cs="Times New Roman"/>
                <w:color w:val="000000" w:themeColor="text1"/>
                <w:kern w:val="0"/>
                <w:sz w:val="24"/>
                <w:szCs w:val="24"/>
                <w:u w:val="single"/>
                <w:lang w:val="en-US" w:eastAsia="zh-CN"/>
              </w:rPr>
              <w:t>传染病楼</w:t>
            </w:r>
            <w:r>
              <w:rPr>
                <w:rFonts w:hint="eastAsia" w:cs="Times New Roman"/>
                <w:color w:val="000000" w:themeColor="text1"/>
                <w:kern w:val="0"/>
                <w:sz w:val="24"/>
                <w:szCs w:val="24"/>
                <w:u w:val="single"/>
                <w:lang w:val="en-US" w:eastAsia="zh-CN"/>
              </w:rPr>
              <w:t>最大</w:t>
            </w:r>
            <w:r>
              <w:rPr>
                <w:rFonts w:hint="default" w:ascii="Times New Roman" w:hAnsi="Times New Roman" w:cs="Times New Roman"/>
                <w:color w:val="000000" w:themeColor="text1"/>
                <w:kern w:val="0"/>
                <w:sz w:val="24"/>
                <w:szCs w:val="24"/>
                <w:u w:val="single"/>
                <w:lang w:val="en-US" w:eastAsia="zh-CN"/>
              </w:rPr>
              <w:t>住院用水量为</w:t>
            </w:r>
            <w:r>
              <w:rPr>
                <w:rFonts w:hint="eastAsia" w:cs="Times New Roman"/>
                <w:color w:val="000000" w:themeColor="text1"/>
                <w:kern w:val="0"/>
                <w:sz w:val="24"/>
                <w:szCs w:val="24"/>
                <w:u w:val="single"/>
                <w:lang w:val="en-US" w:eastAsia="zh-CN"/>
              </w:rPr>
              <w:t>15.2</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w:t>
            </w:r>
            <w:r>
              <w:rPr>
                <w:rFonts w:hint="eastAsia" w:cs="Times New Roman"/>
                <w:color w:val="000000" w:themeColor="text1"/>
                <w:kern w:val="0"/>
                <w:sz w:val="24"/>
                <w:szCs w:val="24"/>
                <w:u w:val="single"/>
                <w:lang w:val="en-US" w:eastAsia="zh-CN"/>
              </w:rPr>
              <w:t>5548</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/a），排污系数取0.8</w:t>
            </w:r>
            <w:r>
              <w:rPr>
                <w:rFonts w:hint="eastAsia" w:cs="Times New Roman"/>
                <w:color w:val="000000" w:themeColor="text1"/>
                <w:kern w:val="0"/>
                <w:sz w:val="24"/>
                <w:szCs w:val="24"/>
                <w:u w:val="single"/>
                <w:lang w:val="en-US" w:eastAsia="zh-CN"/>
              </w:rPr>
              <w:t>，</w:t>
            </w:r>
            <w:r>
              <w:rPr>
                <w:rFonts w:hint="default" w:ascii="Times New Roman" w:hAnsi="Times New Roman" w:cs="Times New Roman"/>
                <w:color w:val="000000" w:themeColor="text1"/>
                <w:kern w:val="0"/>
                <w:sz w:val="24"/>
                <w:szCs w:val="24"/>
                <w:u w:val="single"/>
                <w:lang w:val="en-US" w:eastAsia="zh-CN"/>
              </w:rPr>
              <w:t>排放量为</w:t>
            </w:r>
            <w:r>
              <w:rPr>
                <w:rFonts w:hint="eastAsia" w:cs="Times New Roman"/>
                <w:color w:val="000000" w:themeColor="text1"/>
                <w:kern w:val="0"/>
                <w:sz w:val="24"/>
                <w:szCs w:val="24"/>
                <w:u w:val="single"/>
                <w:lang w:val="en-US" w:eastAsia="zh-CN"/>
              </w:rPr>
              <w:t>12.2</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w:t>
            </w:r>
            <w:r>
              <w:rPr>
                <w:rFonts w:hint="eastAsia" w:cs="Times New Roman"/>
                <w:color w:val="000000" w:themeColor="text1"/>
                <w:kern w:val="0"/>
                <w:sz w:val="24"/>
                <w:szCs w:val="24"/>
                <w:u w:val="single"/>
                <w:lang w:val="en-US" w:eastAsia="zh-CN"/>
              </w:rPr>
              <w:t>4438.4</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/a），计入总体住院用、排水中。</w:t>
            </w:r>
          </w:p>
          <w:p w14:paraId="21CBA778">
            <w:pPr>
              <w:autoSpaceDE w:val="0"/>
              <w:autoSpaceDN w:val="0"/>
              <w:adjustRightInd w:val="0"/>
              <w:snapToGrid w:val="0"/>
              <w:spacing w:line="360" w:lineRule="auto"/>
              <w:ind w:firstLine="480" w:firstLineChars="200"/>
              <w:jc w:val="left"/>
              <w:rPr>
                <w:rFonts w:hint="default" w:ascii="Times New Roman" w:hAnsi="Times New Roman" w:cs="Times New Roman"/>
                <w:color w:val="000000" w:themeColor="text1"/>
                <w:kern w:val="0"/>
                <w:sz w:val="24"/>
                <w:szCs w:val="24"/>
                <w:u w:val="single"/>
                <w:lang w:val="en-US" w:eastAsia="zh-CN"/>
              </w:rPr>
            </w:pPr>
            <w:r>
              <w:rPr>
                <w:rFonts w:hint="eastAsia" w:ascii="Times New Roman" w:hAnsi="Times New Roman" w:cs="Times New Roman"/>
                <w:color w:val="000000" w:themeColor="text1"/>
                <w:kern w:val="0"/>
                <w:sz w:val="24"/>
                <w:szCs w:val="24"/>
                <w:u w:val="single"/>
                <w:lang w:val="en-US" w:eastAsia="zh-CN"/>
              </w:rPr>
              <w:t>⑤</w:t>
            </w:r>
            <w:r>
              <w:rPr>
                <w:rFonts w:hint="default" w:ascii="Times New Roman" w:hAnsi="Times New Roman" w:cs="Times New Roman"/>
                <w:color w:val="000000" w:themeColor="text1"/>
                <w:kern w:val="0"/>
                <w:sz w:val="24"/>
                <w:szCs w:val="24"/>
                <w:u w:val="single"/>
                <w:lang w:val="en-US" w:eastAsia="zh-CN"/>
              </w:rPr>
              <w:t>门诊病人用水</w:t>
            </w:r>
          </w:p>
          <w:p w14:paraId="320352F9">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u w:val="single"/>
                <w:lang w:val="en-US" w:eastAsia="zh-CN"/>
              </w:rPr>
            </w:pPr>
            <w:r>
              <w:rPr>
                <w:rFonts w:hint="default" w:ascii="Times New Roman" w:hAnsi="Times New Roman" w:cs="Times New Roman"/>
                <w:color w:val="000000" w:themeColor="text1"/>
                <w:kern w:val="0"/>
                <w:sz w:val="24"/>
                <w:szCs w:val="24"/>
                <w:u w:val="single"/>
                <w:lang w:val="en-US" w:eastAsia="zh-CN"/>
              </w:rPr>
              <w:t>根据院方提供的数据，本院门诊规模为800人次/天，根据</w:t>
            </w:r>
            <w:r>
              <w:rPr>
                <w:rFonts w:hint="eastAsia" w:ascii="Times New Roman" w:hAnsi="Times New Roman" w:cs="Times New Roman"/>
                <w:color w:val="000000" w:themeColor="text1"/>
                <w:kern w:val="0"/>
                <w:sz w:val="24"/>
                <w:szCs w:val="24"/>
                <w:u w:val="single"/>
                <w:lang w:val="en-US" w:eastAsia="zh-CN"/>
              </w:rPr>
              <w:t>《综合医院建筑设计标准》（GB 51039-2014）</w:t>
            </w:r>
            <w:r>
              <w:rPr>
                <w:rFonts w:hint="eastAsia" w:cs="Times New Roman"/>
                <w:color w:val="000000" w:themeColor="text1"/>
                <w:kern w:val="0"/>
                <w:sz w:val="24"/>
                <w:szCs w:val="24"/>
                <w:u w:val="single"/>
                <w:lang w:val="en-US" w:eastAsia="zh-CN"/>
              </w:rPr>
              <w:t>中表6.2.2</w:t>
            </w:r>
            <w:r>
              <w:rPr>
                <w:rFonts w:hint="default" w:ascii="Times New Roman" w:hAnsi="Times New Roman" w:cs="Times New Roman"/>
                <w:color w:val="000000" w:themeColor="text1"/>
                <w:kern w:val="0"/>
                <w:sz w:val="24"/>
                <w:szCs w:val="24"/>
                <w:u w:val="single"/>
                <w:lang w:val="en-US" w:eastAsia="zh-CN"/>
              </w:rPr>
              <w:t>，</w:t>
            </w:r>
            <w:r>
              <w:rPr>
                <w:rFonts w:hint="eastAsia" w:cs="Times New Roman"/>
                <w:color w:val="000000" w:themeColor="text1"/>
                <w:kern w:val="0"/>
                <w:sz w:val="24"/>
                <w:szCs w:val="24"/>
                <w:u w:val="single"/>
                <w:lang w:val="en-US" w:eastAsia="zh-CN"/>
              </w:rPr>
              <w:t>门、急诊患者最高日用水量为：10-15L/（人·次），本项目</w:t>
            </w:r>
            <w:r>
              <w:rPr>
                <w:rFonts w:hint="default" w:ascii="Times New Roman" w:hAnsi="Times New Roman" w:cs="Times New Roman"/>
                <w:color w:val="000000" w:themeColor="text1"/>
                <w:kern w:val="0"/>
                <w:sz w:val="24"/>
                <w:szCs w:val="24"/>
                <w:u w:val="single"/>
                <w:lang w:val="en-US" w:eastAsia="zh-CN"/>
              </w:rPr>
              <w:t>门诊用水量按</w:t>
            </w:r>
            <w:r>
              <w:rPr>
                <w:rFonts w:hint="eastAsia" w:cs="Times New Roman"/>
                <w:color w:val="000000" w:themeColor="text1"/>
                <w:kern w:val="0"/>
                <w:sz w:val="24"/>
                <w:szCs w:val="24"/>
                <w:u w:val="single"/>
                <w:lang w:val="en-US" w:eastAsia="zh-CN"/>
              </w:rPr>
              <w:t>1</w:t>
            </w:r>
            <w:r>
              <w:rPr>
                <w:rFonts w:hint="default" w:ascii="Times New Roman" w:hAnsi="Times New Roman" w:cs="Times New Roman"/>
                <w:color w:val="000000" w:themeColor="text1"/>
                <w:kern w:val="0"/>
                <w:sz w:val="24"/>
                <w:szCs w:val="24"/>
                <w:u w:val="single"/>
                <w:lang w:val="en-US" w:eastAsia="zh-CN"/>
              </w:rPr>
              <w:t>5L/人·d计，则用水量为</w:t>
            </w:r>
            <w:r>
              <w:rPr>
                <w:rFonts w:hint="eastAsia" w:cs="Times New Roman"/>
                <w:color w:val="000000" w:themeColor="text1"/>
                <w:kern w:val="0"/>
                <w:sz w:val="24"/>
                <w:szCs w:val="24"/>
                <w:u w:val="single"/>
                <w:lang w:val="en-US" w:eastAsia="zh-CN"/>
              </w:rPr>
              <w:t>12</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w:t>
            </w:r>
            <w:r>
              <w:rPr>
                <w:rFonts w:hint="eastAsia" w:cs="Times New Roman"/>
                <w:color w:val="000000" w:themeColor="text1"/>
                <w:kern w:val="0"/>
                <w:sz w:val="24"/>
                <w:szCs w:val="24"/>
                <w:u w:val="single"/>
                <w:lang w:val="en-US" w:eastAsia="zh-CN"/>
              </w:rPr>
              <w:t>4380</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/a）；排污系数取0.8，则项目生活污水排放量为</w:t>
            </w:r>
            <w:r>
              <w:rPr>
                <w:rFonts w:hint="eastAsia" w:cs="Times New Roman"/>
                <w:color w:val="000000" w:themeColor="text1"/>
                <w:kern w:val="0"/>
                <w:sz w:val="24"/>
                <w:szCs w:val="24"/>
                <w:u w:val="single"/>
                <w:lang w:val="en-US" w:eastAsia="zh-CN"/>
              </w:rPr>
              <w:t>9.6</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/d（</w:t>
            </w:r>
            <w:r>
              <w:rPr>
                <w:rFonts w:hint="eastAsia" w:cs="Times New Roman"/>
                <w:color w:val="000000" w:themeColor="text1"/>
                <w:kern w:val="0"/>
                <w:sz w:val="24"/>
                <w:szCs w:val="24"/>
                <w:u w:val="single"/>
                <w:lang w:val="en-US" w:eastAsia="zh-CN"/>
              </w:rPr>
              <w:t>3504</w:t>
            </w:r>
            <w:r>
              <w:rPr>
                <w:rFonts w:hint="default" w:ascii="Times New Roman" w:hAnsi="Times New Roman" w:cs="Times New Roman"/>
                <w:color w:val="000000" w:themeColor="text1"/>
                <w:kern w:val="0"/>
                <w:sz w:val="24"/>
                <w:szCs w:val="24"/>
                <w:u w:val="single"/>
                <w:lang w:val="en-US" w:eastAsia="zh-CN"/>
              </w:rPr>
              <w:t>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w:t>
            </w:r>
          </w:p>
          <w:p w14:paraId="4F55EE52">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000000" w:themeColor="text1"/>
                <w:kern w:val="0"/>
                <w:sz w:val="24"/>
                <w:szCs w:val="24"/>
                <w:u w:val="single"/>
                <w:lang w:val="en-US" w:eastAsia="zh-CN"/>
              </w:rPr>
            </w:pPr>
            <w:r>
              <w:rPr>
                <w:rFonts w:hint="eastAsia" w:ascii="Times New Roman" w:hAnsi="Times New Roman" w:cs="Times New Roman"/>
                <w:color w:val="000000" w:themeColor="text1"/>
                <w:kern w:val="0"/>
                <w:sz w:val="24"/>
                <w:szCs w:val="24"/>
                <w:u w:val="single"/>
                <w:lang w:val="en-US" w:eastAsia="zh-CN"/>
              </w:rPr>
              <w:t>⑥</w:t>
            </w:r>
            <w:r>
              <w:rPr>
                <w:rFonts w:hint="default" w:ascii="Times New Roman" w:hAnsi="Times New Roman" w:cs="Times New Roman"/>
                <w:color w:val="000000" w:themeColor="text1"/>
                <w:kern w:val="0"/>
                <w:sz w:val="24"/>
                <w:szCs w:val="24"/>
                <w:u w:val="single"/>
                <w:lang w:val="en-US" w:eastAsia="zh-CN"/>
              </w:rPr>
              <w:t>喷淋塔用水</w:t>
            </w:r>
          </w:p>
          <w:p w14:paraId="4ED5C85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u w:val="none"/>
                <w:lang w:val="en-US" w:eastAsia="zh-CN"/>
              </w:rPr>
            </w:pPr>
            <w:r>
              <w:rPr>
                <w:rFonts w:hint="default" w:ascii="Times New Roman" w:hAnsi="Times New Roman" w:cs="Times New Roman"/>
                <w:color w:val="000000" w:themeColor="text1"/>
                <w:kern w:val="0"/>
                <w:sz w:val="24"/>
                <w:szCs w:val="24"/>
                <w:u w:val="single"/>
                <w:lang w:val="en-US" w:eastAsia="zh-CN"/>
              </w:rPr>
              <w:t>项目污水站格栅间中设有一套碱水喷淋+活性炭吸附用于</w:t>
            </w:r>
            <w:r>
              <w:rPr>
                <w:rFonts w:hint="eastAsia" w:cs="Times New Roman"/>
                <w:color w:val="000000" w:themeColor="text1"/>
                <w:kern w:val="0"/>
                <w:sz w:val="24"/>
                <w:szCs w:val="24"/>
                <w:u w:val="single"/>
                <w:lang w:val="en-US" w:eastAsia="zh-CN"/>
              </w:rPr>
              <w:t>处理污水站各操作井逸散出</w:t>
            </w:r>
            <w:r>
              <w:rPr>
                <w:rFonts w:hint="default" w:ascii="Times New Roman" w:hAnsi="Times New Roman" w:cs="Times New Roman"/>
                <w:color w:val="000000" w:themeColor="text1"/>
                <w:kern w:val="0"/>
                <w:sz w:val="24"/>
                <w:szCs w:val="24"/>
                <w:u w:val="single"/>
                <w:lang w:val="en-US" w:eastAsia="zh-CN"/>
              </w:rPr>
              <w:t>的臭气，</w:t>
            </w:r>
            <w:r>
              <w:rPr>
                <w:rFonts w:hint="eastAsia" w:cs="Times New Roman"/>
                <w:color w:val="000000" w:themeColor="text1"/>
                <w:kern w:val="0"/>
                <w:sz w:val="24"/>
                <w:szCs w:val="24"/>
                <w:u w:val="single"/>
                <w:lang w:val="en-US" w:eastAsia="zh-CN"/>
              </w:rPr>
              <w:t>根据企业提供的数据，</w:t>
            </w:r>
            <w:r>
              <w:rPr>
                <w:rFonts w:hint="default" w:ascii="Times New Roman" w:hAnsi="Times New Roman" w:cs="Times New Roman"/>
                <w:color w:val="000000" w:themeColor="text1"/>
                <w:kern w:val="0"/>
                <w:sz w:val="24"/>
                <w:szCs w:val="24"/>
                <w:u w:val="single"/>
                <w:lang w:val="en-US" w:eastAsia="zh-CN"/>
              </w:rPr>
              <w:t>喷淋系统循环量为1m</w:t>
            </w:r>
            <w:r>
              <w:rPr>
                <w:rFonts w:hint="default" w:ascii="Times New Roman" w:hAnsi="Times New Roman" w:cs="Times New Roman"/>
                <w:color w:val="000000" w:themeColor="text1"/>
                <w:kern w:val="0"/>
                <w:sz w:val="24"/>
                <w:szCs w:val="24"/>
                <w:u w:val="single"/>
                <w:vertAlign w:val="superscript"/>
                <w:lang w:val="en-US" w:eastAsia="zh-CN"/>
              </w:rPr>
              <w:t>3</w:t>
            </w:r>
            <w:r>
              <w:rPr>
                <w:rFonts w:hint="eastAsia" w:cs="Times New Roman"/>
                <w:color w:val="000000" w:themeColor="text1"/>
                <w:kern w:val="0"/>
                <w:sz w:val="24"/>
                <w:szCs w:val="24"/>
                <w:u w:val="single"/>
                <w:vertAlign w:val="baseline"/>
                <w:lang w:val="en-US" w:eastAsia="zh-CN"/>
              </w:rPr>
              <w:t>/d</w:t>
            </w:r>
            <w:r>
              <w:rPr>
                <w:rFonts w:hint="default" w:ascii="Times New Roman" w:hAnsi="Times New Roman" w:cs="Times New Roman"/>
                <w:color w:val="000000" w:themeColor="text1"/>
                <w:kern w:val="0"/>
                <w:sz w:val="24"/>
                <w:szCs w:val="24"/>
                <w:u w:val="single"/>
                <w:lang w:val="en-US" w:eastAsia="zh-CN"/>
              </w:rPr>
              <w:t>，年补水量为3m</w:t>
            </w:r>
            <w:r>
              <w:rPr>
                <w:rFonts w:hint="default" w:ascii="Times New Roman" w:hAnsi="Times New Roman" w:cs="Times New Roman"/>
                <w:color w:val="000000" w:themeColor="text1"/>
                <w:kern w:val="0"/>
                <w:sz w:val="24"/>
                <w:szCs w:val="24"/>
                <w:u w:val="single"/>
                <w:vertAlign w:val="superscript"/>
                <w:lang w:val="en-US" w:eastAsia="zh-CN"/>
              </w:rPr>
              <w:t>3</w:t>
            </w:r>
            <w:r>
              <w:rPr>
                <w:rFonts w:hint="default" w:ascii="Times New Roman" w:hAnsi="Times New Roman" w:cs="Times New Roman"/>
                <w:color w:val="000000" w:themeColor="text1"/>
                <w:kern w:val="0"/>
                <w:sz w:val="24"/>
                <w:szCs w:val="24"/>
                <w:u w:val="single"/>
                <w:lang w:val="en-US" w:eastAsia="zh-CN"/>
              </w:rPr>
              <w:t>/a，水量全部蒸发，不外排</w:t>
            </w:r>
            <w:r>
              <w:rPr>
                <w:rFonts w:hint="default" w:ascii="Times New Roman" w:hAnsi="Times New Roman" w:cs="Times New Roman"/>
                <w:color w:val="000000" w:themeColor="text1"/>
                <w:sz w:val="24"/>
                <w:szCs w:val="24"/>
                <w:u w:val="none"/>
                <w:lang w:val="en-US" w:eastAsia="zh-CN"/>
              </w:rPr>
              <w:t>。</w:t>
            </w:r>
          </w:p>
          <w:p w14:paraId="03E00A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u w:val="none"/>
                <w:lang w:val="en-US" w:eastAsia="zh-CN"/>
              </w:rPr>
            </w:pPr>
            <w:r>
              <w:rPr>
                <w:rFonts w:hint="eastAsia" w:cs="Times New Roman"/>
                <w:color w:val="000000" w:themeColor="text1"/>
                <w:sz w:val="24"/>
                <w:szCs w:val="24"/>
                <w:u w:val="none"/>
                <w:lang w:val="en-US" w:eastAsia="zh-CN"/>
              </w:rPr>
              <w:t>综上所述，</w:t>
            </w:r>
            <w:r>
              <w:rPr>
                <w:rFonts w:hint="default" w:ascii="Times New Roman" w:hAnsi="Times New Roman" w:cs="Times New Roman"/>
                <w:color w:val="000000" w:themeColor="text1"/>
                <w:sz w:val="24"/>
                <w:szCs w:val="24"/>
                <w:u w:val="none"/>
                <w:lang w:val="en-US" w:eastAsia="zh-CN"/>
              </w:rPr>
              <w:t>项目总污水排放量约为</w:t>
            </w:r>
            <w:r>
              <w:rPr>
                <w:rFonts w:hint="eastAsia" w:cs="Times New Roman"/>
                <w:color w:val="000000" w:themeColor="text1"/>
                <w:sz w:val="24"/>
                <w:szCs w:val="24"/>
                <w:u w:val="none"/>
                <w:lang w:val="en-US" w:eastAsia="zh-CN"/>
              </w:rPr>
              <w:t>58984</w:t>
            </w:r>
            <w:r>
              <w:rPr>
                <w:rFonts w:hint="default" w:ascii="Times New Roman" w:hAnsi="Times New Roman" w:cs="Times New Roman"/>
                <w:color w:val="000000" w:themeColor="text1"/>
                <w:sz w:val="24"/>
                <w:szCs w:val="24"/>
                <w:u w:val="none"/>
                <w:lang w:val="en-US" w:eastAsia="zh-CN"/>
              </w:rPr>
              <w:t>t/a（16</w:t>
            </w:r>
            <w:r>
              <w:rPr>
                <w:rFonts w:hint="eastAsia" w:cs="Times New Roman"/>
                <w:color w:val="000000" w:themeColor="text1"/>
                <w:sz w:val="24"/>
                <w:szCs w:val="24"/>
                <w:u w:val="none"/>
                <w:lang w:val="en-US" w:eastAsia="zh-CN"/>
              </w:rPr>
              <w:t>1.6</w:t>
            </w:r>
            <w:r>
              <w:rPr>
                <w:rFonts w:hint="default" w:ascii="Times New Roman" w:hAnsi="Times New Roman" w:cs="Times New Roman"/>
                <w:color w:val="000000" w:themeColor="text1"/>
                <w:sz w:val="24"/>
                <w:szCs w:val="24"/>
                <w:u w:val="none"/>
                <w:lang w:val="en-US" w:eastAsia="zh-CN"/>
              </w:rPr>
              <w:t>t/d），其中传染病人废水排放量约为</w:t>
            </w:r>
            <w:r>
              <w:rPr>
                <w:rFonts w:hint="eastAsia" w:cs="Times New Roman"/>
                <w:color w:val="000000" w:themeColor="text1"/>
                <w:kern w:val="0"/>
                <w:sz w:val="24"/>
                <w:szCs w:val="24"/>
                <w:lang w:val="en-US" w:eastAsia="zh-CN"/>
              </w:rPr>
              <w:t>4438.4</w:t>
            </w:r>
            <w:r>
              <w:rPr>
                <w:rFonts w:hint="default" w:ascii="Times New Roman" w:hAnsi="Times New Roman" w:cs="Times New Roman"/>
                <w:color w:val="000000" w:themeColor="text1"/>
                <w:sz w:val="24"/>
                <w:szCs w:val="24"/>
                <w:u w:val="none"/>
                <w:lang w:val="en-US" w:eastAsia="zh-CN"/>
              </w:rPr>
              <w:t>t/a（</w:t>
            </w:r>
            <w:r>
              <w:rPr>
                <w:rFonts w:hint="eastAsia" w:cs="Times New Roman"/>
                <w:color w:val="000000" w:themeColor="text1"/>
                <w:sz w:val="24"/>
                <w:szCs w:val="24"/>
                <w:u w:val="none"/>
                <w:lang w:val="en-US" w:eastAsia="zh-CN"/>
              </w:rPr>
              <w:t>12.2</w:t>
            </w:r>
            <w:r>
              <w:rPr>
                <w:rFonts w:hint="default" w:ascii="Times New Roman" w:hAnsi="Times New Roman" w:cs="Times New Roman"/>
                <w:color w:val="000000" w:themeColor="text1"/>
                <w:sz w:val="24"/>
                <w:szCs w:val="24"/>
                <w:u w:val="none"/>
                <w:lang w:val="en-US" w:eastAsia="zh-CN"/>
              </w:rPr>
              <w:t>t/d）。</w:t>
            </w:r>
          </w:p>
          <w:p w14:paraId="5FFBCC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根据《医院污水处理工程技术规范》HJ2029-2013），在无实测资料的情况下，医院的一般医疗废水水质可参考下表</w:t>
            </w:r>
            <w:r>
              <w:rPr>
                <w:rFonts w:hint="eastAsia" w:cs="Times New Roman"/>
                <w:color w:val="000000" w:themeColor="text1"/>
                <w:sz w:val="24"/>
                <w:szCs w:val="24"/>
                <w:u w:val="none"/>
                <w:lang w:val="en-US" w:eastAsia="zh-CN"/>
              </w:rPr>
              <w:t>，同时参考《饮食业环境保护技术规范》（HJ554-2010）7.1.3项说明：“饮食业单位含油污水的动植物油浓度：100~200mg/L。</w:t>
            </w:r>
          </w:p>
          <w:p w14:paraId="1E1EB536">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000000" w:themeColor="text1"/>
                <w:sz w:val="21"/>
                <w:szCs w:val="21"/>
                <w:u w:val="none"/>
                <w:lang w:val="en-US" w:eastAsia="zh-CN"/>
              </w:rPr>
            </w:pPr>
            <w:r>
              <w:rPr>
                <w:rFonts w:hint="eastAsia" w:cs="Times New Roman"/>
                <w:b/>
                <w:bCs/>
                <w:color w:val="000000" w:themeColor="text1"/>
                <w:sz w:val="21"/>
                <w:szCs w:val="21"/>
                <w:u w:val="none"/>
                <w:lang w:val="en-US" w:eastAsia="zh-CN"/>
              </w:rPr>
              <w:t xml:space="preserve">表4-12 医院污水水质指标参考数据  </w:t>
            </w:r>
            <w:r>
              <w:rPr>
                <w:rFonts w:hint="eastAsia" w:cs="Times New Roman"/>
                <w:b w:val="0"/>
                <w:bCs w:val="0"/>
                <w:color w:val="000000" w:themeColor="text1"/>
                <w:sz w:val="21"/>
                <w:szCs w:val="21"/>
                <w:u w:val="none"/>
                <w:lang w:val="en-US" w:eastAsia="zh-CN"/>
              </w:rPr>
              <w:t>单位：mg/L</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1065"/>
              <w:gridCol w:w="945"/>
              <w:gridCol w:w="945"/>
              <w:gridCol w:w="915"/>
              <w:gridCol w:w="1777"/>
              <w:gridCol w:w="1125"/>
            </w:tblGrid>
            <w:tr w14:paraId="1E22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4300D22F">
                  <w:pPr>
                    <w:keepNext w:val="0"/>
                    <w:keepLines w:val="0"/>
                    <w:pageBreakBefore w:val="0"/>
                    <w:kinsoku/>
                    <w:wordWrap/>
                    <w:overflowPunct/>
                    <w:topLinePunct w:val="0"/>
                    <w:autoSpaceDE/>
                    <w:autoSpaceDN/>
                    <w:bidi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b/>
                      <w:bCs/>
                      <w:color w:val="000000" w:themeColor="text1"/>
                      <w:sz w:val="21"/>
                      <w:szCs w:val="21"/>
                      <w:u w:val="none"/>
                      <w:lang w:val="en-US" w:eastAsia="zh-CN"/>
                    </w:rPr>
                    <w:t>指标</w:t>
                  </w:r>
                </w:p>
              </w:tc>
              <w:tc>
                <w:tcPr>
                  <w:tcW w:w="1065" w:type="dxa"/>
                  <w:vAlign w:val="center"/>
                </w:tcPr>
                <w:p w14:paraId="27CABF95">
                  <w:pPr>
                    <w:keepNext w:val="0"/>
                    <w:keepLines w:val="0"/>
                    <w:pageBreakBefore w:val="0"/>
                    <w:widowControl/>
                    <w:kinsoku/>
                    <w:wordWrap/>
                    <w:overflowPunct/>
                    <w:topLinePunct w:val="0"/>
                    <w:autoSpaceDE/>
                    <w:autoSpaceDN/>
                    <w:bidi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eastAsia="宋体" w:cs="Times New Roman"/>
                      <w:b/>
                      <w:bCs/>
                      <w:color w:val="000000" w:themeColor="text1"/>
                      <w:sz w:val="21"/>
                      <w:szCs w:val="21"/>
                      <w:u w:val="none"/>
                    </w:rPr>
                    <w:t>COD</w:t>
                  </w:r>
                  <w:r>
                    <w:rPr>
                      <w:rFonts w:hint="default" w:ascii="Times New Roman" w:hAnsi="Times New Roman" w:eastAsia="宋体" w:cs="Times New Roman"/>
                      <w:b/>
                      <w:bCs/>
                      <w:color w:val="000000" w:themeColor="text1"/>
                      <w:sz w:val="21"/>
                      <w:szCs w:val="21"/>
                      <w:u w:val="none"/>
                      <w:vertAlign w:val="subscript"/>
                    </w:rPr>
                    <w:t>Cr</w:t>
                  </w:r>
                </w:p>
              </w:tc>
              <w:tc>
                <w:tcPr>
                  <w:tcW w:w="945" w:type="dxa"/>
                  <w:vAlign w:val="center"/>
                </w:tcPr>
                <w:p w14:paraId="2C1E13B0">
                  <w:pPr>
                    <w:keepNext w:val="0"/>
                    <w:keepLines w:val="0"/>
                    <w:pageBreakBefore w:val="0"/>
                    <w:widowControl/>
                    <w:kinsoku/>
                    <w:wordWrap/>
                    <w:overflowPunct/>
                    <w:topLinePunct w:val="0"/>
                    <w:autoSpaceDE/>
                    <w:autoSpaceDN/>
                    <w:bidi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eastAsia="宋体" w:cs="Times New Roman"/>
                      <w:b/>
                      <w:bCs/>
                      <w:color w:val="000000" w:themeColor="text1"/>
                      <w:sz w:val="21"/>
                      <w:szCs w:val="21"/>
                      <w:u w:val="none"/>
                    </w:rPr>
                    <w:t>BOD</w:t>
                  </w:r>
                  <w:r>
                    <w:rPr>
                      <w:rFonts w:hint="default" w:ascii="Times New Roman" w:hAnsi="Times New Roman" w:eastAsia="宋体" w:cs="Times New Roman"/>
                      <w:b/>
                      <w:bCs/>
                      <w:color w:val="000000" w:themeColor="text1"/>
                      <w:sz w:val="21"/>
                      <w:szCs w:val="21"/>
                      <w:u w:val="none"/>
                      <w:vertAlign w:val="subscript"/>
                    </w:rPr>
                    <w:t>5</w:t>
                  </w:r>
                </w:p>
              </w:tc>
              <w:tc>
                <w:tcPr>
                  <w:tcW w:w="945" w:type="dxa"/>
                  <w:vAlign w:val="center"/>
                </w:tcPr>
                <w:p w14:paraId="5ADAFEDE">
                  <w:pPr>
                    <w:keepNext w:val="0"/>
                    <w:keepLines w:val="0"/>
                    <w:pageBreakBefore w:val="0"/>
                    <w:widowControl/>
                    <w:kinsoku/>
                    <w:wordWrap/>
                    <w:overflowPunct/>
                    <w:topLinePunct w:val="0"/>
                    <w:autoSpaceDE/>
                    <w:autoSpaceDN/>
                    <w:bidi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eastAsia="宋体" w:cs="Times New Roman"/>
                      <w:b/>
                      <w:bCs/>
                      <w:color w:val="000000" w:themeColor="text1"/>
                      <w:sz w:val="21"/>
                      <w:szCs w:val="21"/>
                      <w:u w:val="none"/>
                    </w:rPr>
                    <w:t>SS</w:t>
                  </w:r>
                </w:p>
              </w:tc>
              <w:tc>
                <w:tcPr>
                  <w:tcW w:w="915" w:type="dxa"/>
                  <w:vAlign w:val="center"/>
                </w:tcPr>
                <w:p w14:paraId="51554253">
                  <w:pPr>
                    <w:keepNext w:val="0"/>
                    <w:keepLines w:val="0"/>
                    <w:pageBreakBefore w:val="0"/>
                    <w:widowControl/>
                    <w:kinsoku/>
                    <w:wordWrap/>
                    <w:overflowPunct/>
                    <w:topLinePunct w:val="0"/>
                    <w:autoSpaceDE/>
                    <w:autoSpaceDN/>
                    <w:bidi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eastAsia="宋体" w:cs="Times New Roman"/>
                      <w:b/>
                      <w:bCs/>
                      <w:color w:val="000000" w:themeColor="text1"/>
                      <w:sz w:val="21"/>
                      <w:szCs w:val="21"/>
                      <w:u w:val="none"/>
                    </w:rPr>
                    <w:t>氨氮</w:t>
                  </w:r>
                </w:p>
              </w:tc>
              <w:tc>
                <w:tcPr>
                  <w:tcW w:w="1777" w:type="dxa"/>
                  <w:vAlign w:val="center"/>
                </w:tcPr>
                <w:p w14:paraId="21DAEFD6">
                  <w:pPr>
                    <w:keepNext w:val="0"/>
                    <w:keepLines w:val="0"/>
                    <w:pageBreakBefore w:val="0"/>
                    <w:widowControl/>
                    <w:kinsoku/>
                    <w:wordWrap/>
                    <w:overflowPunct/>
                    <w:topLinePunct w:val="0"/>
                    <w:autoSpaceDE/>
                    <w:autoSpaceDN/>
                    <w:bidi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default" w:ascii="Times New Roman" w:hAnsi="Times New Roman" w:eastAsia="宋体" w:cs="Times New Roman"/>
                      <w:b/>
                      <w:bCs/>
                      <w:color w:val="000000" w:themeColor="text1"/>
                      <w:sz w:val="21"/>
                      <w:szCs w:val="21"/>
                      <w:u w:val="none"/>
                    </w:rPr>
                    <w:t>粪大肠菌群（MPN/L）</w:t>
                  </w:r>
                </w:p>
              </w:tc>
              <w:tc>
                <w:tcPr>
                  <w:tcW w:w="1125" w:type="dxa"/>
                  <w:vAlign w:val="center"/>
                </w:tcPr>
                <w:p w14:paraId="4F90AB72">
                  <w:pPr>
                    <w:keepNext w:val="0"/>
                    <w:keepLines w:val="0"/>
                    <w:pageBreakBefore w:val="0"/>
                    <w:widowControl/>
                    <w:kinsoku/>
                    <w:wordWrap/>
                    <w:overflowPunct/>
                    <w:topLinePunct w:val="0"/>
                    <w:autoSpaceDE/>
                    <w:autoSpaceDN/>
                    <w:bidi w:val="0"/>
                    <w:spacing w:before="60" w:after="60" w:line="240" w:lineRule="auto"/>
                    <w:jc w:val="center"/>
                    <w:textAlignment w:val="auto"/>
                    <w:rPr>
                      <w:rFonts w:hint="eastAsia" w:ascii="Times New Roman" w:hAnsi="Times New Roman" w:eastAsia="宋体" w:cs="Times New Roman"/>
                      <w:b/>
                      <w:bCs/>
                      <w:color w:val="000000" w:themeColor="text1"/>
                      <w:sz w:val="21"/>
                      <w:szCs w:val="21"/>
                      <w:u w:val="none"/>
                      <w:lang w:val="en-US" w:eastAsia="zh-CN"/>
                    </w:rPr>
                  </w:pPr>
                  <w:r>
                    <w:rPr>
                      <w:rFonts w:hint="eastAsia" w:ascii="Times New Roman" w:hAnsi="Times New Roman" w:eastAsia="宋体" w:cs="Times New Roman"/>
                      <w:b/>
                      <w:bCs/>
                      <w:color w:val="000000" w:themeColor="text1"/>
                      <w:sz w:val="21"/>
                      <w:szCs w:val="21"/>
                      <w:u w:val="none"/>
                      <w:lang w:val="en-US" w:eastAsia="zh-CN"/>
                    </w:rPr>
                    <w:t>动植物油</w:t>
                  </w:r>
                </w:p>
              </w:tc>
            </w:tr>
            <w:tr w14:paraId="1C96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0EE359D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污染物浓度范围</w:t>
                  </w:r>
                </w:p>
              </w:tc>
              <w:tc>
                <w:tcPr>
                  <w:tcW w:w="1065" w:type="dxa"/>
                  <w:vAlign w:val="center"/>
                </w:tcPr>
                <w:p w14:paraId="1E90EF5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150~300</w:t>
                  </w:r>
                </w:p>
              </w:tc>
              <w:tc>
                <w:tcPr>
                  <w:tcW w:w="945" w:type="dxa"/>
                  <w:vAlign w:val="center"/>
                </w:tcPr>
                <w:p w14:paraId="7EF0962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80~150</w:t>
                  </w:r>
                </w:p>
              </w:tc>
              <w:tc>
                <w:tcPr>
                  <w:tcW w:w="945" w:type="dxa"/>
                  <w:vAlign w:val="center"/>
                </w:tcPr>
                <w:p w14:paraId="17BC382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40~120</w:t>
                  </w:r>
                </w:p>
              </w:tc>
              <w:tc>
                <w:tcPr>
                  <w:tcW w:w="915" w:type="dxa"/>
                  <w:vAlign w:val="center"/>
                </w:tcPr>
                <w:p w14:paraId="51E41EC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10~50</w:t>
                  </w:r>
                </w:p>
              </w:tc>
              <w:tc>
                <w:tcPr>
                  <w:tcW w:w="1777" w:type="dxa"/>
                  <w:vAlign w:val="center"/>
                </w:tcPr>
                <w:p w14:paraId="1A92B98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1.6</w:t>
                  </w:r>
                  <w:r>
                    <w:rPr>
                      <w:rFonts w:hint="default" w:ascii="Times New Roman" w:hAnsi="Times New Roman" w:eastAsia="宋体" w:cs="Times New Roman"/>
                      <w:color w:val="000000" w:themeColor="text1"/>
                      <w:sz w:val="21"/>
                      <w:szCs w:val="21"/>
                      <w:u w:val="none"/>
                      <w:lang w:val="en-US" w:eastAsia="zh-CN"/>
                    </w:rPr>
                    <w:t>×</w:t>
                  </w:r>
                  <w:r>
                    <w:rPr>
                      <w:rFonts w:hint="eastAsia" w:ascii="Times New Roman" w:hAnsi="Times New Roman" w:eastAsia="宋体" w:cs="Times New Roman"/>
                      <w:color w:val="000000" w:themeColor="text1"/>
                      <w:sz w:val="21"/>
                      <w:szCs w:val="21"/>
                      <w:u w:val="none"/>
                      <w:lang w:val="en-US" w:eastAsia="zh-CN"/>
                    </w:rPr>
                    <w:t>10</w:t>
                  </w:r>
                  <w:r>
                    <w:rPr>
                      <w:rFonts w:hint="eastAsia" w:ascii="Times New Roman" w:hAnsi="Times New Roman" w:eastAsia="宋体" w:cs="Times New Roman"/>
                      <w:color w:val="000000" w:themeColor="text1"/>
                      <w:sz w:val="21"/>
                      <w:szCs w:val="21"/>
                      <w:u w:val="none"/>
                      <w:vertAlign w:val="superscript"/>
                      <w:lang w:val="en-US" w:eastAsia="zh-CN"/>
                    </w:rPr>
                    <w:t>6</w:t>
                  </w:r>
                  <w:r>
                    <w:rPr>
                      <w:rFonts w:hint="eastAsia" w:ascii="Times New Roman" w:hAnsi="Times New Roman" w:eastAsia="宋体" w:cs="Times New Roman"/>
                      <w:color w:val="000000" w:themeColor="text1"/>
                      <w:sz w:val="21"/>
                      <w:szCs w:val="21"/>
                      <w:u w:val="none"/>
                      <w:vertAlign w:val="baseline"/>
                      <w:lang w:val="en-US" w:eastAsia="zh-CN"/>
                    </w:rPr>
                    <w:t>~</w:t>
                  </w:r>
                  <w:r>
                    <w:rPr>
                      <w:rFonts w:hint="eastAsia" w:ascii="Times New Roman" w:hAnsi="Times New Roman" w:eastAsia="宋体" w:cs="Times New Roman"/>
                      <w:color w:val="000000" w:themeColor="text1"/>
                      <w:sz w:val="21"/>
                      <w:szCs w:val="21"/>
                      <w:u w:val="none"/>
                      <w:lang w:val="en-US" w:eastAsia="zh-CN"/>
                    </w:rPr>
                    <w:t>3.0×10</w:t>
                  </w:r>
                  <w:r>
                    <w:rPr>
                      <w:rFonts w:hint="eastAsia" w:ascii="Times New Roman" w:hAnsi="Times New Roman" w:eastAsia="宋体" w:cs="Times New Roman"/>
                      <w:color w:val="000000" w:themeColor="text1"/>
                      <w:sz w:val="21"/>
                      <w:szCs w:val="21"/>
                      <w:u w:val="none"/>
                      <w:vertAlign w:val="superscript"/>
                      <w:lang w:val="en-US" w:eastAsia="zh-CN"/>
                    </w:rPr>
                    <w:t>8</w:t>
                  </w:r>
                </w:p>
              </w:tc>
              <w:tc>
                <w:tcPr>
                  <w:tcW w:w="1125" w:type="dxa"/>
                  <w:vAlign w:val="center"/>
                </w:tcPr>
                <w:p w14:paraId="036CD93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100-200</w:t>
                  </w:r>
                </w:p>
              </w:tc>
            </w:tr>
            <w:tr w14:paraId="76EE9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6CEDD5A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平均值</w:t>
                  </w:r>
                </w:p>
              </w:tc>
              <w:tc>
                <w:tcPr>
                  <w:tcW w:w="1065" w:type="dxa"/>
                  <w:vAlign w:val="center"/>
                </w:tcPr>
                <w:p w14:paraId="498B4B9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cs="Times New Roman"/>
                      <w:color w:val="000000" w:themeColor="text1"/>
                      <w:sz w:val="21"/>
                      <w:szCs w:val="21"/>
                      <w:u w:val="none"/>
                      <w:vertAlign w:val="baseline"/>
                      <w:lang w:val="en-US" w:eastAsia="zh-CN"/>
                    </w:rPr>
                    <w:t>225</w:t>
                  </w:r>
                </w:p>
              </w:tc>
              <w:tc>
                <w:tcPr>
                  <w:tcW w:w="945" w:type="dxa"/>
                  <w:vAlign w:val="center"/>
                </w:tcPr>
                <w:p w14:paraId="3E62A2F2">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cs="Times New Roman"/>
                      <w:color w:val="000000" w:themeColor="text1"/>
                      <w:sz w:val="21"/>
                      <w:szCs w:val="21"/>
                      <w:u w:val="none"/>
                      <w:vertAlign w:val="baseline"/>
                      <w:lang w:val="en-US" w:eastAsia="zh-CN"/>
                    </w:rPr>
                    <w:t>115</w:t>
                  </w:r>
                </w:p>
              </w:tc>
              <w:tc>
                <w:tcPr>
                  <w:tcW w:w="945" w:type="dxa"/>
                  <w:vAlign w:val="center"/>
                </w:tcPr>
                <w:p w14:paraId="39006F5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cs="Times New Roman"/>
                      <w:color w:val="000000" w:themeColor="text1"/>
                      <w:sz w:val="21"/>
                      <w:szCs w:val="21"/>
                      <w:u w:val="none"/>
                      <w:vertAlign w:val="baseline"/>
                      <w:lang w:val="en-US" w:eastAsia="zh-CN"/>
                    </w:rPr>
                    <w:t>80</w:t>
                  </w:r>
                </w:p>
              </w:tc>
              <w:tc>
                <w:tcPr>
                  <w:tcW w:w="915" w:type="dxa"/>
                  <w:vAlign w:val="center"/>
                </w:tcPr>
                <w:p w14:paraId="6E2AE67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cs="Times New Roman"/>
                      <w:color w:val="000000" w:themeColor="text1"/>
                      <w:sz w:val="21"/>
                      <w:szCs w:val="21"/>
                      <w:u w:val="none"/>
                      <w:vertAlign w:val="baseline"/>
                      <w:lang w:val="en-US" w:eastAsia="zh-CN"/>
                    </w:rPr>
                    <w:t>30</w:t>
                  </w:r>
                </w:p>
              </w:tc>
              <w:tc>
                <w:tcPr>
                  <w:tcW w:w="1777" w:type="dxa"/>
                  <w:vAlign w:val="center"/>
                </w:tcPr>
                <w:p w14:paraId="243685E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1.</w:t>
                  </w:r>
                  <w:r>
                    <w:rPr>
                      <w:rFonts w:hint="eastAsia" w:cs="Times New Roman"/>
                      <w:color w:val="000000" w:themeColor="text1"/>
                      <w:sz w:val="21"/>
                      <w:szCs w:val="21"/>
                      <w:u w:val="none"/>
                      <w:lang w:val="en-US" w:eastAsia="zh-CN"/>
                    </w:rPr>
                    <w:t>5</w:t>
                  </w:r>
                  <w:r>
                    <w:rPr>
                      <w:rFonts w:hint="default" w:ascii="Times New Roman" w:hAnsi="Times New Roman" w:eastAsia="宋体" w:cs="Times New Roman"/>
                      <w:color w:val="000000" w:themeColor="text1"/>
                      <w:sz w:val="21"/>
                      <w:szCs w:val="21"/>
                      <w:u w:val="none"/>
                      <w:lang w:val="en-US" w:eastAsia="zh-CN"/>
                    </w:rPr>
                    <w:t>×</w:t>
                  </w:r>
                  <w:r>
                    <w:rPr>
                      <w:rFonts w:hint="eastAsia" w:ascii="Times New Roman" w:hAnsi="Times New Roman" w:eastAsia="宋体" w:cs="Times New Roman"/>
                      <w:color w:val="000000" w:themeColor="text1"/>
                      <w:sz w:val="21"/>
                      <w:szCs w:val="21"/>
                      <w:u w:val="none"/>
                      <w:lang w:val="en-US" w:eastAsia="zh-CN"/>
                    </w:rPr>
                    <w:t>10</w:t>
                  </w:r>
                  <w:r>
                    <w:rPr>
                      <w:rFonts w:hint="eastAsia" w:ascii="Times New Roman" w:hAnsi="Times New Roman" w:eastAsia="宋体" w:cs="Times New Roman"/>
                      <w:color w:val="000000" w:themeColor="text1"/>
                      <w:sz w:val="21"/>
                      <w:szCs w:val="21"/>
                      <w:u w:val="none"/>
                      <w:vertAlign w:val="superscript"/>
                      <w:lang w:val="en-US" w:eastAsia="zh-CN"/>
                    </w:rPr>
                    <w:t>8</w:t>
                  </w:r>
                </w:p>
              </w:tc>
              <w:tc>
                <w:tcPr>
                  <w:tcW w:w="1125" w:type="dxa"/>
                  <w:vAlign w:val="center"/>
                </w:tcPr>
                <w:p w14:paraId="6B9102B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150</w:t>
                  </w:r>
                </w:p>
              </w:tc>
            </w:tr>
            <w:tr w14:paraId="7D56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vAlign w:val="center"/>
                </w:tcPr>
                <w:p w14:paraId="0E01FBB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本次评价取值</w:t>
                  </w:r>
                </w:p>
              </w:tc>
              <w:tc>
                <w:tcPr>
                  <w:tcW w:w="1065" w:type="dxa"/>
                  <w:vAlign w:val="center"/>
                </w:tcPr>
                <w:p w14:paraId="2C4ADDD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cs="Times New Roman"/>
                      <w:color w:val="000000" w:themeColor="text1"/>
                      <w:sz w:val="21"/>
                      <w:szCs w:val="21"/>
                      <w:u w:val="none"/>
                      <w:lang w:val="en-US" w:eastAsia="zh-CN"/>
                    </w:rPr>
                    <w:t>225</w:t>
                  </w:r>
                </w:p>
              </w:tc>
              <w:tc>
                <w:tcPr>
                  <w:tcW w:w="945" w:type="dxa"/>
                  <w:vAlign w:val="center"/>
                </w:tcPr>
                <w:p w14:paraId="1DDF1E6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1</w:t>
                  </w:r>
                  <w:r>
                    <w:rPr>
                      <w:rFonts w:hint="eastAsia" w:cs="Times New Roman"/>
                      <w:color w:val="000000" w:themeColor="text1"/>
                      <w:sz w:val="21"/>
                      <w:szCs w:val="21"/>
                      <w:u w:val="none"/>
                      <w:lang w:val="en-US" w:eastAsia="zh-CN"/>
                    </w:rPr>
                    <w:t>15</w:t>
                  </w:r>
                </w:p>
              </w:tc>
              <w:tc>
                <w:tcPr>
                  <w:tcW w:w="945" w:type="dxa"/>
                  <w:vAlign w:val="center"/>
                </w:tcPr>
                <w:p w14:paraId="392BB35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cs="Times New Roman"/>
                      <w:color w:val="000000" w:themeColor="text1"/>
                      <w:sz w:val="21"/>
                      <w:szCs w:val="21"/>
                      <w:u w:val="none"/>
                      <w:lang w:val="en-US" w:eastAsia="zh-CN"/>
                    </w:rPr>
                    <w:t>80</w:t>
                  </w:r>
                </w:p>
              </w:tc>
              <w:tc>
                <w:tcPr>
                  <w:tcW w:w="915" w:type="dxa"/>
                  <w:vAlign w:val="center"/>
                </w:tcPr>
                <w:p w14:paraId="213DE0B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30</w:t>
                  </w:r>
                </w:p>
              </w:tc>
              <w:tc>
                <w:tcPr>
                  <w:tcW w:w="1777" w:type="dxa"/>
                  <w:vAlign w:val="center"/>
                </w:tcPr>
                <w:p w14:paraId="7C5DDE8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cs="Times New Roman"/>
                      <w:color w:val="000000" w:themeColor="text1"/>
                      <w:sz w:val="21"/>
                      <w:szCs w:val="21"/>
                      <w:u w:val="none"/>
                      <w:vertAlign w:val="baseline"/>
                      <w:lang w:val="en-US" w:eastAsia="zh-CN"/>
                    </w:rPr>
                  </w:pPr>
                  <w:r>
                    <w:rPr>
                      <w:rFonts w:hint="eastAsia" w:ascii="Times New Roman" w:hAnsi="Times New Roman" w:eastAsia="宋体" w:cs="Times New Roman"/>
                      <w:color w:val="000000" w:themeColor="text1"/>
                      <w:sz w:val="21"/>
                      <w:szCs w:val="21"/>
                      <w:u w:val="none"/>
                      <w:lang w:val="en-US" w:eastAsia="zh-CN"/>
                    </w:rPr>
                    <w:t>1.</w:t>
                  </w:r>
                  <w:r>
                    <w:rPr>
                      <w:rFonts w:hint="eastAsia" w:cs="Times New Roman"/>
                      <w:color w:val="000000" w:themeColor="text1"/>
                      <w:sz w:val="21"/>
                      <w:szCs w:val="21"/>
                      <w:u w:val="none"/>
                      <w:lang w:val="en-US" w:eastAsia="zh-CN"/>
                    </w:rPr>
                    <w:t>5</w:t>
                  </w:r>
                  <w:r>
                    <w:rPr>
                      <w:rFonts w:hint="default" w:ascii="Times New Roman" w:hAnsi="Times New Roman" w:eastAsia="宋体" w:cs="Times New Roman"/>
                      <w:color w:val="000000" w:themeColor="text1"/>
                      <w:sz w:val="21"/>
                      <w:szCs w:val="21"/>
                      <w:u w:val="none"/>
                      <w:lang w:val="en-US" w:eastAsia="zh-CN"/>
                    </w:rPr>
                    <w:t>×</w:t>
                  </w:r>
                  <w:r>
                    <w:rPr>
                      <w:rFonts w:hint="eastAsia" w:ascii="Times New Roman" w:hAnsi="Times New Roman" w:eastAsia="宋体" w:cs="Times New Roman"/>
                      <w:color w:val="000000" w:themeColor="text1"/>
                      <w:sz w:val="21"/>
                      <w:szCs w:val="21"/>
                      <w:u w:val="none"/>
                      <w:lang w:val="en-US" w:eastAsia="zh-CN"/>
                    </w:rPr>
                    <w:t>10</w:t>
                  </w:r>
                  <w:r>
                    <w:rPr>
                      <w:rFonts w:hint="eastAsia" w:ascii="Times New Roman" w:hAnsi="Times New Roman" w:eastAsia="宋体" w:cs="Times New Roman"/>
                      <w:color w:val="000000" w:themeColor="text1"/>
                      <w:sz w:val="21"/>
                      <w:szCs w:val="21"/>
                      <w:u w:val="none"/>
                      <w:vertAlign w:val="superscript"/>
                      <w:lang w:val="en-US" w:eastAsia="zh-CN"/>
                    </w:rPr>
                    <w:t>8</w:t>
                  </w:r>
                </w:p>
              </w:tc>
              <w:tc>
                <w:tcPr>
                  <w:tcW w:w="1125" w:type="dxa"/>
                  <w:vAlign w:val="center"/>
                </w:tcPr>
                <w:p w14:paraId="27356BE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150</w:t>
                  </w:r>
                </w:p>
              </w:tc>
            </w:tr>
          </w:tbl>
          <w:p w14:paraId="3CC97B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b/>
                <w:bCs/>
                <w:color w:val="000000" w:themeColor="text1"/>
                <w:sz w:val="21"/>
                <w:szCs w:val="21"/>
                <w:u w:val="none"/>
                <w:lang w:val="en-US" w:eastAsia="zh-CN"/>
              </w:rPr>
            </w:pPr>
            <w:r>
              <w:rPr>
                <w:rFonts w:hint="eastAsia" w:cs="Times New Roman"/>
                <w:color w:val="000000" w:themeColor="text1"/>
                <w:sz w:val="24"/>
                <w:szCs w:val="24"/>
                <w:u w:val="none"/>
                <w:lang w:val="en-US" w:eastAsia="zh-CN"/>
              </w:rPr>
              <w:t>参照《国家鼓励发展的环境保护技术目录》（2009年版）中“一、城镇污水、污泥处理及水体修复技术 序号8”中：AO交错的污水处理单元处理效率</w:t>
            </w:r>
            <w:r>
              <w:rPr>
                <w:rFonts w:hint="default"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COD</w:t>
            </w:r>
            <w:r>
              <w:rPr>
                <w:rFonts w:hint="default" w:ascii="Times New Roman" w:hAnsi="Times New Roman" w:eastAsia="宋体" w:cs="Times New Roman"/>
                <w:b/>
                <w:bCs/>
                <w:color w:val="000000" w:themeColor="text1"/>
                <w:sz w:val="24"/>
                <w:szCs w:val="24"/>
                <w:u w:val="none"/>
                <w:vertAlign w:val="subscript"/>
                <w:lang w:val="en-US" w:eastAsia="zh-CN"/>
              </w:rPr>
              <w:t>Cr</w:t>
            </w:r>
            <w:r>
              <w:rPr>
                <w:rFonts w:hint="eastAsia" w:cs="Times New Roman"/>
                <w:color w:val="000000" w:themeColor="text1"/>
                <w:sz w:val="24"/>
                <w:szCs w:val="24"/>
                <w:u w:val="none"/>
                <w:lang w:val="en-US" w:eastAsia="zh-CN"/>
              </w:rPr>
              <w:t>去除率</w:t>
            </w:r>
            <w:r>
              <w:rPr>
                <w:rFonts w:hint="default"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67</w:t>
            </w:r>
            <w:r>
              <w:rPr>
                <w:rFonts w:hint="eastAsia" w:ascii="Times New Roman" w:hAnsi="Times New Roman" w:cs="Times New Roman"/>
                <w:color w:val="000000" w:themeColor="text1"/>
                <w:sz w:val="24"/>
                <w:szCs w:val="24"/>
                <w:u w:val="none"/>
                <w:lang w:val="en-US" w:eastAsia="zh-CN"/>
              </w:rPr>
              <w:t>%、BOD</w:t>
            </w:r>
            <w:r>
              <w:rPr>
                <w:rFonts w:hint="eastAsia" w:ascii="Times New Roman" w:hAnsi="Times New Roman" w:cs="Times New Roman"/>
                <w:color w:val="000000" w:themeColor="text1"/>
                <w:sz w:val="24"/>
                <w:szCs w:val="24"/>
                <w:u w:val="none"/>
                <w:vertAlign w:val="subscript"/>
                <w:lang w:val="en-US" w:eastAsia="zh-CN"/>
              </w:rPr>
              <w:t>5</w:t>
            </w:r>
            <w:r>
              <w:rPr>
                <w:rFonts w:hint="eastAsia" w:cs="Times New Roman"/>
                <w:color w:val="000000" w:themeColor="text1"/>
                <w:sz w:val="24"/>
                <w:szCs w:val="24"/>
                <w:u w:val="none"/>
                <w:lang w:val="en-US" w:eastAsia="zh-CN"/>
              </w:rPr>
              <w:t>去除率</w:t>
            </w:r>
            <w:r>
              <w:rPr>
                <w:rFonts w:hint="default"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83%、氨氮去除率</w:t>
            </w:r>
            <w:r>
              <w:rPr>
                <w:rFonts w:hint="default"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73%、SS去除率</w:t>
            </w:r>
            <w:r>
              <w:rPr>
                <w:rFonts w:hint="default"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87%；本项目食堂废水经隔油池预处理后再进入综合污水处理站，类比同行业及参考含油污水处理的技术规范，隔油池对动植物油处理效率约90%，氯系消毒对粪大肠菌群处理效率分别为：99.998%。</w:t>
            </w:r>
          </w:p>
          <w:p w14:paraId="2CC7120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color w:val="000000" w:themeColor="text1"/>
                <w:sz w:val="21"/>
                <w:szCs w:val="21"/>
                <w:u w:val="none"/>
                <w:lang w:val="en-US" w:eastAsia="zh-CN"/>
              </w:rPr>
            </w:pPr>
            <w:r>
              <w:rPr>
                <w:rFonts w:hint="eastAsia" w:cs="Times New Roman"/>
                <w:b/>
                <w:bCs/>
                <w:color w:val="000000" w:themeColor="text1"/>
                <w:sz w:val="21"/>
                <w:szCs w:val="21"/>
                <w:u w:val="none"/>
                <w:lang w:val="en-US" w:eastAsia="zh-CN"/>
              </w:rPr>
              <w:t>表4-13 本项目废水产排污情况一览表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1980"/>
              <w:gridCol w:w="862"/>
              <w:gridCol w:w="750"/>
              <w:gridCol w:w="600"/>
              <w:gridCol w:w="705"/>
              <w:gridCol w:w="1665"/>
              <w:gridCol w:w="1080"/>
            </w:tblGrid>
            <w:tr w14:paraId="751FA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Align w:val="center"/>
                </w:tcPr>
                <w:p w14:paraId="7F709C9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eastAsia" w:ascii="Times New Roman" w:hAnsi="Times New Roman" w:eastAsia="宋体" w:cs="Times New Roman"/>
                      <w:b/>
                      <w:bCs/>
                      <w:color w:val="000000" w:themeColor="text1"/>
                      <w:sz w:val="21"/>
                      <w:szCs w:val="21"/>
                      <w:u w:val="none"/>
                      <w:lang w:val="en-US" w:eastAsia="zh-CN"/>
                    </w:rPr>
                    <w:t>名称</w:t>
                  </w:r>
                </w:p>
              </w:tc>
              <w:tc>
                <w:tcPr>
                  <w:tcW w:w="1980" w:type="dxa"/>
                  <w:vAlign w:val="center"/>
                </w:tcPr>
                <w:p w14:paraId="4410F98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eastAsia" w:ascii="Times New Roman" w:hAnsi="Times New Roman" w:eastAsia="宋体" w:cs="Times New Roman"/>
                      <w:b/>
                      <w:bCs/>
                      <w:color w:val="000000" w:themeColor="text1"/>
                      <w:sz w:val="21"/>
                      <w:szCs w:val="21"/>
                      <w:u w:val="none"/>
                      <w:lang w:val="en-US" w:eastAsia="zh-CN"/>
                    </w:rPr>
                    <w:t>项目</w:t>
                  </w:r>
                </w:p>
              </w:tc>
              <w:tc>
                <w:tcPr>
                  <w:tcW w:w="862" w:type="dxa"/>
                  <w:vAlign w:val="center"/>
                </w:tcPr>
                <w:p w14:paraId="11FE55F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default" w:ascii="Times New Roman" w:hAnsi="Times New Roman" w:eastAsia="宋体" w:cs="Times New Roman"/>
                      <w:b/>
                      <w:bCs/>
                      <w:color w:val="000000" w:themeColor="text1"/>
                      <w:sz w:val="21"/>
                      <w:szCs w:val="21"/>
                      <w:u w:val="none"/>
                      <w:lang w:val="en-US" w:eastAsia="zh-CN"/>
                    </w:rPr>
                    <w:t>COD</w:t>
                  </w:r>
                  <w:r>
                    <w:rPr>
                      <w:rFonts w:hint="default" w:ascii="Times New Roman" w:hAnsi="Times New Roman" w:eastAsia="宋体" w:cs="Times New Roman"/>
                      <w:b/>
                      <w:bCs/>
                      <w:color w:val="000000" w:themeColor="text1"/>
                      <w:sz w:val="21"/>
                      <w:szCs w:val="21"/>
                      <w:u w:val="none"/>
                      <w:vertAlign w:val="subscript"/>
                      <w:lang w:val="en-US" w:eastAsia="zh-CN"/>
                    </w:rPr>
                    <w:t>Cr</w:t>
                  </w:r>
                </w:p>
              </w:tc>
              <w:tc>
                <w:tcPr>
                  <w:tcW w:w="750" w:type="dxa"/>
                  <w:vAlign w:val="center"/>
                </w:tcPr>
                <w:p w14:paraId="57A5BF7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default" w:ascii="Times New Roman" w:hAnsi="Times New Roman" w:eastAsia="宋体" w:cs="Times New Roman"/>
                      <w:b/>
                      <w:bCs/>
                      <w:color w:val="000000" w:themeColor="text1"/>
                      <w:sz w:val="21"/>
                      <w:szCs w:val="21"/>
                      <w:u w:val="none"/>
                      <w:lang w:val="en-US" w:eastAsia="zh-CN"/>
                    </w:rPr>
                    <w:t>BOD</w:t>
                  </w:r>
                  <w:r>
                    <w:rPr>
                      <w:rFonts w:hint="default" w:ascii="Times New Roman" w:hAnsi="Times New Roman" w:eastAsia="宋体" w:cs="Times New Roman"/>
                      <w:b/>
                      <w:bCs/>
                      <w:color w:val="000000" w:themeColor="text1"/>
                      <w:sz w:val="21"/>
                      <w:szCs w:val="21"/>
                      <w:u w:val="none"/>
                      <w:vertAlign w:val="subscript"/>
                      <w:lang w:val="en-US" w:eastAsia="zh-CN"/>
                    </w:rPr>
                    <w:t>5</w:t>
                  </w:r>
                </w:p>
              </w:tc>
              <w:tc>
                <w:tcPr>
                  <w:tcW w:w="600" w:type="dxa"/>
                  <w:vAlign w:val="center"/>
                </w:tcPr>
                <w:p w14:paraId="49B9C09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default" w:ascii="Times New Roman" w:hAnsi="Times New Roman" w:eastAsia="宋体" w:cs="Times New Roman"/>
                      <w:b/>
                      <w:bCs/>
                      <w:color w:val="000000" w:themeColor="text1"/>
                      <w:sz w:val="21"/>
                      <w:szCs w:val="21"/>
                      <w:u w:val="none"/>
                      <w:lang w:val="en-US" w:eastAsia="zh-CN"/>
                    </w:rPr>
                    <w:t>SS</w:t>
                  </w:r>
                </w:p>
              </w:tc>
              <w:tc>
                <w:tcPr>
                  <w:tcW w:w="705" w:type="dxa"/>
                  <w:vAlign w:val="center"/>
                </w:tcPr>
                <w:p w14:paraId="15CC434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default" w:ascii="Times New Roman" w:hAnsi="Times New Roman" w:eastAsia="宋体" w:cs="Times New Roman"/>
                      <w:b/>
                      <w:bCs/>
                      <w:color w:val="000000" w:themeColor="text1"/>
                      <w:sz w:val="21"/>
                      <w:szCs w:val="21"/>
                      <w:u w:val="none"/>
                      <w:lang w:val="en-US" w:eastAsia="zh-CN"/>
                    </w:rPr>
                    <w:t>氨氮</w:t>
                  </w:r>
                </w:p>
              </w:tc>
              <w:tc>
                <w:tcPr>
                  <w:tcW w:w="1665" w:type="dxa"/>
                  <w:vAlign w:val="center"/>
                </w:tcPr>
                <w:p w14:paraId="6482F68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default" w:ascii="Times New Roman" w:hAnsi="Times New Roman" w:eastAsia="宋体" w:cs="Times New Roman"/>
                      <w:b/>
                      <w:bCs/>
                      <w:color w:val="000000" w:themeColor="text1"/>
                      <w:sz w:val="21"/>
                      <w:szCs w:val="21"/>
                      <w:u w:val="none"/>
                      <w:lang w:val="en-US" w:eastAsia="zh-CN"/>
                    </w:rPr>
                    <w:t>粪大肠菌群</w:t>
                  </w:r>
                </w:p>
              </w:tc>
              <w:tc>
                <w:tcPr>
                  <w:tcW w:w="1080" w:type="dxa"/>
                  <w:vAlign w:val="center"/>
                </w:tcPr>
                <w:p w14:paraId="142F7B3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bCs/>
                      <w:color w:val="000000" w:themeColor="text1"/>
                      <w:sz w:val="21"/>
                      <w:szCs w:val="21"/>
                      <w:u w:val="none"/>
                      <w:lang w:val="en-US" w:eastAsia="zh-CN"/>
                    </w:rPr>
                  </w:pPr>
                  <w:r>
                    <w:rPr>
                      <w:rFonts w:hint="eastAsia" w:ascii="Times New Roman" w:hAnsi="Times New Roman" w:eastAsia="宋体" w:cs="Times New Roman"/>
                      <w:b/>
                      <w:bCs/>
                      <w:color w:val="000000" w:themeColor="text1"/>
                      <w:sz w:val="21"/>
                      <w:szCs w:val="21"/>
                      <w:u w:val="none"/>
                      <w:lang w:val="en-US" w:eastAsia="zh-CN"/>
                    </w:rPr>
                    <w:t>动植物油</w:t>
                  </w:r>
                </w:p>
              </w:tc>
            </w:tr>
            <w:tr w14:paraId="74B32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restart"/>
                  <w:vAlign w:val="center"/>
                </w:tcPr>
                <w:p w14:paraId="19531E3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综合废水（</w:t>
                  </w:r>
                  <w:r>
                    <w:rPr>
                      <w:rFonts w:hint="eastAsia" w:cs="Times New Roman"/>
                      <w:color w:val="000000" w:themeColor="text1"/>
                      <w:sz w:val="21"/>
                      <w:szCs w:val="21"/>
                      <w:u w:val="none"/>
                      <w:lang w:val="en-US" w:eastAsia="zh-CN"/>
                    </w:rPr>
                    <w:t>58984</w:t>
                  </w:r>
                  <w:r>
                    <w:rPr>
                      <w:rFonts w:hint="eastAsia" w:ascii="Times New Roman" w:hAnsi="Times New Roman" w:eastAsia="宋体" w:cs="Times New Roman"/>
                      <w:color w:val="000000" w:themeColor="text1"/>
                      <w:sz w:val="21"/>
                      <w:szCs w:val="21"/>
                      <w:u w:val="none"/>
                      <w:lang w:val="en-US" w:eastAsia="zh-CN"/>
                    </w:rPr>
                    <w:t>t/a）</w:t>
                  </w:r>
                </w:p>
              </w:tc>
              <w:tc>
                <w:tcPr>
                  <w:tcW w:w="1980" w:type="dxa"/>
                  <w:vAlign w:val="center"/>
                </w:tcPr>
                <w:p w14:paraId="01E6424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产生浓度mg/L</w:t>
                  </w:r>
                </w:p>
              </w:tc>
              <w:tc>
                <w:tcPr>
                  <w:tcW w:w="862" w:type="dxa"/>
                  <w:vAlign w:val="center"/>
                </w:tcPr>
                <w:p w14:paraId="7A1ECC1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vertAlign w:val="baseline"/>
                      <w:lang w:val="en-US" w:eastAsia="zh-CN"/>
                    </w:rPr>
                    <w:t>225</w:t>
                  </w:r>
                </w:p>
              </w:tc>
              <w:tc>
                <w:tcPr>
                  <w:tcW w:w="750" w:type="dxa"/>
                  <w:vAlign w:val="center"/>
                </w:tcPr>
                <w:p w14:paraId="034C7CC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vertAlign w:val="baseline"/>
                      <w:lang w:val="en-US" w:eastAsia="zh-CN"/>
                    </w:rPr>
                    <w:t>115</w:t>
                  </w:r>
                </w:p>
              </w:tc>
              <w:tc>
                <w:tcPr>
                  <w:tcW w:w="600" w:type="dxa"/>
                  <w:vAlign w:val="center"/>
                </w:tcPr>
                <w:p w14:paraId="3343E40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vertAlign w:val="baseline"/>
                      <w:lang w:val="en-US" w:eastAsia="zh-CN"/>
                    </w:rPr>
                    <w:t>80</w:t>
                  </w:r>
                </w:p>
              </w:tc>
              <w:tc>
                <w:tcPr>
                  <w:tcW w:w="705" w:type="dxa"/>
                  <w:vAlign w:val="center"/>
                </w:tcPr>
                <w:p w14:paraId="41FAF04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vertAlign w:val="baseline"/>
                      <w:lang w:val="en-US" w:eastAsia="zh-CN"/>
                    </w:rPr>
                    <w:t>30</w:t>
                  </w:r>
                </w:p>
              </w:tc>
              <w:tc>
                <w:tcPr>
                  <w:tcW w:w="1665" w:type="dxa"/>
                  <w:vAlign w:val="center"/>
                </w:tcPr>
                <w:p w14:paraId="3FCDBC4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1.</w:t>
                  </w:r>
                  <w:r>
                    <w:rPr>
                      <w:rFonts w:hint="eastAsia" w:cs="Times New Roman"/>
                      <w:color w:val="000000" w:themeColor="text1"/>
                      <w:sz w:val="21"/>
                      <w:szCs w:val="21"/>
                      <w:u w:val="none"/>
                      <w:lang w:val="en-US" w:eastAsia="zh-CN"/>
                    </w:rPr>
                    <w:t>5</w:t>
                  </w:r>
                  <w:r>
                    <w:rPr>
                      <w:rFonts w:hint="default" w:ascii="Times New Roman" w:hAnsi="Times New Roman" w:eastAsia="宋体" w:cs="Times New Roman"/>
                      <w:color w:val="000000" w:themeColor="text1"/>
                      <w:sz w:val="21"/>
                      <w:szCs w:val="21"/>
                      <w:u w:val="none"/>
                      <w:lang w:val="en-US" w:eastAsia="zh-CN"/>
                    </w:rPr>
                    <w:t>×</w:t>
                  </w:r>
                  <w:r>
                    <w:rPr>
                      <w:rFonts w:hint="eastAsia" w:ascii="Times New Roman" w:hAnsi="Times New Roman" w:eastAsia="宋体" w:cs="Times New Roman"/>
                      <w:color w:val="000000" w:themeColor="text1"/>
                      <w:sz w:val="21"/>
                      <w:szCs w:val="21"/>
                      <w:u w:val="none"/>
                      <w:lang w:val="en-US" w:eastAsia="zh-CN"/>
                    </w:rPr>
                    <w:t>10</w:t>
                  </w:r>
                  <w:r>
                    <w:rPr>
                      <w:rFonts w:hint="eastAsia" w:ascii="Times New Roman" w:hAnsi="Times New Roman" w:eastAsia="宋体" w:cs="Times New Roman"/>
                      <w:color w:val="000000" w:themeColor="text1"/>
                      <w:sz w:val="21"/>
                      <w:szCs w:val="21"/>
                      <w:u w:val="none"/>
                      <w:vertAlign w:val="superscript"/>
                      <w:lang w:val="en-US" w:eastAsia="zh-CN"/>
                    </w:rPr>
                    <w:t>8</w:t>
                  </w:r>
                  <w:r>
                    <w:rPr>
                      <w:rFonts w:hint="default" w:ascii="Times New Roman" w:hAnsi="Times New Roman" w:eastAsia="宋体" w:cs="Times New Roman"/>
                      <w:color w:val="000000" w:themeColor="text1"/>
                      <w:sz w:val="21"/>
                      <w:szCs w:val="21"/>
                      <w:u w:val="none"/>
                      <w:lang w:val="en-US" w:eastAsia="zh-CN"/>
                    </w:rPr>
                    <w:t>MPN/L</w:t>
                  </w:r>
                </w:p>
              </w:tc>
              <w:tc>
                <w:tcPr>
                  <w:tcW w:w="1080" w:type="dxa"/>
                  <w:vAlign w:val="center"/>
                </w:tcPr>
                <w:p w14:paraId="35FD66F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150</w:t>
                  </w:r>
                </w:p>
              </w:tc>
            </w:tr>
            <w:tr w14:paraId="307A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vAlign w:val="center"/>
                </w:tcPr>
                <w:p w14:paraId="65DB8F8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p>
              </w:tc>
              <w:tc>
                <w:tcPr>
                  <w:tcW w:w="1980" w:type="dxa"/>
                  <w:vAlign w:val="center"/>
                </w:tcPr>
                <w:p w14:paraId="7CB76A93">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产生量t/a</w:t>
                  </w:r>
                </w:p>
              </w:tc>
              <w:tc>
                <w:tcPr>
                  <w:tcW w:w="862" w:type="dxa"/>
                  <w:vAlign w:val="center"/>
                </w:tcPr>
                <w:p w14:paraId="4D481A15">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13.27</w:t>
                  </w:r>
                </w:p>
              </w:tc>
              <w:tc>
                <w:tcPr>
                  <w:tcW w:w="750" w:type="dxa"/>
                  <w:vAlign w:val="center"/>
                </w:tcPr>
                <w:p w14:paraId="7E46A81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6.78</w:t>
                  </w:r>
                </w:p>
              </w:tc>
              <w:tc>
                <w:tcPr>
                  <w:tcW w:w="600" w:type="dxa"/>
                  <w:vAlign w:val="center"/>
                </w:tcPr>
                <w:p w14:paraId="6C4201A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4.72</w:t>
                  </w:r>
                </w:p>
              </w:tc>
              <w:tc>
                <w:tcPr>
                  <w:tcW w:w="705" w:type="dxa"/>
                  <w:vAlign w:val="center"/>
                </w:tcPr>
                <w:p w14:paraId="35B6163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1.77</w:t>
                  </w:r>
                </w:p>
              </w:tc>
              <w:tc>
                <w:tcPr>
                  <w:tcW w:w="1665" w:type="dxa"/>
                  <w:vAlign w:val="center"/>
                </w:tcPr>
                <w:p w14:paraId="0BF8FA9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default" w:ascii="Times New Roman" w:hAnsi="Times New Roman" w:eastAsia="宋体" w:cs="Times New Roman"/>
                      <w:color w:val="000000" w:themeColor="text1"/>
                      <w:sz w:val="21"/>
                      <w:szCs w:val="21"/>
                      <w:u w:val="none"/>
                      <w:lang w:val="en-US" w:eastAsia="zh-CN"/>
                    </w:rPr>
                    <w:t>8.85×10¹⁵ MPN</w:t>
                  </w:r>
                </w:p>
              </w:tc>
              <w:tc>
                <w:tcPr>
                  <w:tcW w:w="1080" w:type="dxa"/>
                  <w:vAlign w:val="center"/>
                </w:tcPr>
                <w:p w14:paraId="6BB50BD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8.85</w:t>
                  </w:r>
                </w:p>
              </w:tc>
            </w:tr>
            <w:tr w14:paraId="7467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vAlign w:val="center"/>
                </w:tcPr>
                <w:p w14:paraId="0155EA7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p>
              </w:tc>
              <w:tc>
                <w:tcPr>
                  <w:tcW w:w="1980" w:type="dxa"/>
                  <w:vAlign w:val="center"/>
                </w:tcPr>
                <w:p w14:paraId="58D97F7C">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处理效率%</w:t>
                  </w:r>
                </w:p>
              </w:tc>
              <w:tc>
                <w:tcPr>
                  <w:tcW w:w="862" w:type="dxa"/>
                  <w:vAlign w:val="center"/>
                </w:tcPr>
                <w:p w14:paraId="3F1125CB">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67</w:t>
                  </w:r>
                </w:p>
              </w:tc>
              <w:tc>
                <w:tcPr>
                  <w:tcW w:w="750" w:type="dxa"/>
                  <w:vAlign w:val="center"/>
                </w:tcPr>
                <w:p w14:paraId="43D2066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83</w:t>
                  </w:r>
                </w:p>
              </w:tc>
              <w:tc>
                <w:tcPr>
                  <w:tcW w:w="600" w:type="dxa"/>
                  <w:vAlign w:val="center"/>
                </w:tcPr>
                <w:p w14:paraId="03CD6D2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87</w:t>
                  </w:r>
                </w:p>
              </w:tc>
              <w:tc>
                <w:tcPr>
                  <w:tcW w:w="705" w:type="dxa"/>
                  <w:vAlign w:val="center"/>
                </w:tcPr>
                <w:p w14:paraId="294C240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73</w:t>
                  </w:r>
                </w:p>
              </w:tc>
              <w:tc>
                <w:tcPr>
                  <w:tcW w:w="1665" w:type="dxa"/>
                  <w:vAlign w:val="center"/>
                </w:tcPr>
                <w:p w14:paraId="6F1BB47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99.998</w:t>
                  </w:r>
                </w:p>
              </w:tc>
              <w:tc>
                <w:tcPr>
                  <w:tcW w:w="1080" w:type="dxa"/>
                  <w:vAlign w:val="center"/>
                </w:tcPr>
                <w:p w14:paraId="41287CB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90</w:t>
                  </w:r>
                </w:p>
              </w:tc>
            </w:tr>
            <w:tr w14:paraId="5CE0A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vAlign w:val="center"/>
                </w:tcPr>
                <w:p w14:paraId="22E50F3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p>
              </w:tc>
              <w:tc>
                <w:tcPr>
                  <w:tcW w:w="1980" w:type="dxa"/>
                  <w:vAlign w:val="center"/>
                </w:tcPr>
                <w:p w14:paraId="21DB1B6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排放浓度</w:t>
                  </w:r>
                  <w:r>
                    <w:rPr>
                      <w:rFonts w:hint="eastAsia" w:ascii="Times New Roman" w:hAnsi="Times New Roman" w:eastAsia="宋体" w:cs="Times New Roman"/>
                      <w:color w:val="000000" w:themeColor="text1"/>
                      <w:sz w:val="21"/>
                      <w:szCs w:val="21"/>
                      <w:u w:val="none"/>
                      <w:lang w:val="en-US" w:eastAsia="zh-CN"/>
                    </w:rPr>
                    <w:t>mg/L</w:t>
                  </w:r>
                </w:p>
              </w:tc>
              <w:tc>
                <w:tcPr>
                  <w:tcW w:w="862" w:type="dxa"/>
                  <w:vAlign w:val="center"/>
                </w:tcPr>
                <w:p w14:paraId="3A84E60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74.25</w:t>
                  </w:r>
                </w:p>
              </w:tc>
              <w:tc>
                <w:tcPr>
                  <w:tcW w:w="750" w:type="dxa"/>
                  <w:vAlign w:val="center"/>
                </w:tcPr>
                <w:p w14:paraId="6FDB2D36">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19.55</w:t>
                  </w:r>
                </w:p>
              </w:tc>
              <w:tc>
                <w:tcPr>
                  <w:tcW w:w="600" w:type="dxa"/>
                  <w:vAlign w:val="center"/>
                </w:tcPr>
                <w:p w14:paraId="1985799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10.4</w:t>
                  </w:r>
                </w:p>
              </w:tc>
              <w:tc>
                <w:tcPr>
                  <w:tcW w:w="705" w:type="dxa"/>
                  <w:vAlign w:val="center"/>
                </w:tcPr>
                <w:p w14:paraId="613E219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8.1</w:t>
                  </w:r>
                </w:p>
              </w:tc>
              <w:tc>
                <w:tcPr>
                  <w:tcW w:w="1665" w:type="dxa"/>
                  <w:vAlign w:val="center"/>
                </w:tcPr>
                <w:p w14:paraId="7548553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3</w:t>
                  </w:r>
                  <w:r>
                    <w:rPr>
                      <w:rFonts w:hint="eastAsia" w:ascii="Times New Roman" w:hAnsi="Times New Roman" w:eastAsia="宋体" w:cs="Times New Roman"/>
                      <w:color w:val="000000" w:themeColor="text1"/>
                      <w:sz w:val="21"/>
                      <w:szCs w:val="21"/>
                      <w:u w:val="none"/>
                      <w:lang w:val="en-US" w:eastAsia="zh-CN"/>
                    </w:rPr>
                    <w:t>000</w:t>
                  </w:r>
                  <w:r>
                    <w:rPr>
                      <w:rFonts w:hint="default" w:ascii="Times New Roman" w:hAnsi="Times New Roman" w:eastAsia="宋体" w:cs="Times New Roman"/>
                      <w:color w:val="000000" w:themeColor="text1"/>
                      <w:sz w:val="21"/>
                      <w:szCs w:val="21"/>
                      <w:u w:val="none"/>
                      <w:lang w:val="en-US" w:eastAsia="zh-CN"/>
                    </w:rPr>
                    <w:t>MPN/L</w:t>
                  </w:r>
                </w:p>
              </w:tc>
              <w:tc>
                <w:tcPr>
                  <w:tcW w:w="1080" w:type="dxa"/>
                  <w:vAlign w:val="center"/>
                </w:tcPr>
                <w:p w14:paraId="254C89B2">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eastAsia"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15</w:t>
                  </w:r>
                </w:p>
              </w:tc>
            </w:tr>
            <w:tr w14:paraId="560CB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9" w:type="dxa"/>
                  <w:vMerge w:val="continue"/>
                  <w:vAlign w:val="center"/>
                </w:tcPr>
                <w:p w14:paraId="07311F28">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p>
              </w:tc>
              <w:tc>
                <w:tcPr>
                  <w:tcW w:w="1980" w:type="dxa"/>
                  <w:vAlign w:val="center"/>
                </w:tcPr>
                <w:p w14:paraId="0394920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排放量t/a</w:t>
                  </w:r>
                </w:p>
              </w:tc>
              <w:tc>
                <w:tcPr>
                  <w:tcW w:w="862" w:type="dxa"/>
                  <w:vAlign w:val="center"/>
                </w:tcPr>
                <w:p w14:paraId="12831247">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4.38</w:t>
                  </w:r>
                </w:p>
              </w:tc>
              <w:tc>
                <w:tcPr>
                  <w:tcW w:w="750" w:type="dxa"/>
                  <w:vAlign w:val="center"/>
                </w:tcPr>
                <w:p w14:paraId="08A1EFD2">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1.15</w:t>
                  </w:r>
                </w:p>
              </w:tc>
              <w:tc>
                <w:tcPr>
                  <w:tcW w:w="600" w:type="dxa"/>
                  <w:vAlign w:val="center"/>
                </w:tcPr>
                <w:p w14:paraId="6DF6CB8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0.61</w:t>
                  </w:r>
                </w:p>
              </w:tc>
              <w:tc>
                <w:tcPr>
                  <w:tcW w:w="705" w:type="dxa"/>
                  <w:vAlign w:val="center"/>
                </w:tcPr>
                <w:p w14:paraId="731A35A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0.48</w:t>
                  </w:r>
                </w:p>
              </w:tc>
              <w:tc>
                <w:tcPr>
                  <w:tcW w:w="1665" w:type="dxa"/>
                  <w:vAlign w:val="center"/>
                </w:tcPr>
                <w:p w14:paraId="549A61FE">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default" w:ascii="Times New Roman" w:hAnsi="Times New Roman" w:eastAsia="宋体" w:cs="Times New Roman"/>
                      <w:color w:val="000000" w:themeColor="text1"/>
                      <w:sz w:val="21"/>
                      <w:szCs w:val="21"/>
                      <w:u w:val="none"/>
                      <w:lang w:val="en-US" w:eastAsia="zh-CN"/>
                    </w:rPr>
                    <w:t xml:space="preserve">1.77×10 </w:t>
                  </w:r>
                  <w:r>
                    <w:rPr>
                      <w:rFonts w:hint="default" w:ascii="Times New Roman" w:hAnsi="Times New Roman" w:eastAsia="宋体" w:cs="Times New Roman"/>
                      <w:color w:val="000000" w:themeColor="text1"/>
                      <w:sz w:val="21"/>
                      <w:szCs w:val="21"/>
                      <w:u w:val="none"/>
                      <w:vertAlign w:val="superscript"/>
                      <w:lang w:val="en-US" w:eastAsia="zh-CN"/>
                    </w:rPr>
                    <w:t>11</w:t>
                  </w:r>
                  <w:r>
                    <w:rPr>
                      <w:rFonts w:hint="default" w:ascii="Times New Roman" w:hAnsi="Times New Roman" w:eastAsia="宋体" w:cs="Times New Roman"/>
                      <w:color w:val="000000" w:themeColor="text1"/>
                      <w:sz w:val="21"/>
                      <w:szCs w:val="21"/>
                      <w:u w:val="none"/>
                      <w:lang w:val="en-US" w:eastAsia="zh-CN"/>
                    </w:rPr>
                    <w:t>MPN</w:t>
                  </w:r>
                </w:p>
              </w:tc>
              <w:tc>
                <w:tcPr>
                  <w:tcW w:w="1080" w:type="dxa"/>
                  <w:vAlign w:val="center"/>
                </w:tcPr>
                <w:p w14:paraId="08E9010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cs="Times New Roman"/>
                      <w:color w:val="000000" w:themeColor="text1"/>
                      <w:sz w:val="21"/>
                      <w:szCs w:val="21"/>
                      <w:u w:val="none"/>
                      <w:lang w:val="en-US" w:eastAsia="zh-CN"/>
                    </w:rPr>
                  </w:pPr>
                  <w:r>
                    <w:rPr>
                      <w:rFonts w:hint="eastAsia" w:cs="Times New Roman"/>
                      <w:color w:val="000000" w:themeColor="text1"/>
                      <w:sz w:val="21"/>
                      <w:szCs w:val="21"/>
                      <w:u w:val="none"/>
                      <w:lang w:val="en-US" w:eastAsia="zh-CN"/>
                    </w:rPr>
                    <w:t>0.88</w:t>
                  </w:r>
                </w:p>
              </w:tc>
            </w:tr>
            <w:tr w14:paraId="602E9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9" w:type="dxa"/>
                  <w:vMerge w:val="continue"/>
                  <w:vAlign w:val="center"/>
                </w:tcPr>
                <w:p w14:paraId="4CF9F03F">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p>
              </w:tc>
              <w:tc>
                <w:tcPr>
                  <w:tcW w:w="1980" w:type="dxa"/>
                  <w:vAlign w:val="center"/>
                </w:tcPr>
                <w:p w14:paraId="6EE64219">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接管浓度</w:t>
                  </w:r>
                  <w:r>
                    <w:rPr>
                      <w:rFonts w:hint="eastAsia" w:cs="Times New Roman"/>
                      <w:color w:val="000000" w:themeColor="text1"/>
                      <w:sz w:val="21"/>
                      <w:szCs w:val="21"/>
                      <w:u w:val="none"/>
                      <w:lang w:val="en-US" w:eastAsia="zh-CN"/>
                    </w:rPr>
                    <w:t>限值</w:t>
                  </w:r>
                  <w:r>
                    <w:rPr>
                      <w:rFonts w:hint="eastAsia" w:ascii="Times New Roman" w:hAnsi="Times New Roman" w:eastAsia="宋体" w:cs="Times New Roman"/>
                      <w:color w:val="000000" w:themeColor="text1"/>
                      <w:sz w:val="21"/>
                      <w:szCs w:val="21"/>
                      <w:u w:val="none"/>
                      <w:lang w:val="en-US" w:eastAsia="zh-CN"/>
                    </w:rPr>
                    <w:t>mg/L</w:t>
                  </w:r>
                </w:p>
              </w:tc>
              <w:tc>
                <w:tcPr>
                  <w:tcW w:w="862" w:type="dxa"/>
                  <w:vAlign w:val="center"/>
                </w:tcPr>
                <w:p w14:paraId="3CF7485D">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250</w:t>
                  </w:r>
                </w:p>
              </w:tc>
              <w:tc>
                <w:tcPr>
                  <w:tcW w:w="750" w:type="dxa"/>
                  <w:vAlign w:val="center"/>
                </w:tcPr>
                <w:p w14:paraId="58B88C7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100</w:t>
                  </w:r>
                </w:p>
              </w:tc>
              <w:tc>
                <w:tcPr>
                  <w:tcW w:w="600" w:type="dxa"/>
                  <w:vAlign w:val="center"/>
                </w:tcPr>
                <w:p w14:paraId="1AF849D0">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60</w:t>
                  </w:r>
                </w:p>
              </w:tc>
              <w:tc>
                <w:tcPr>
                  <w:tcW w:w="705" w:type="dxa"/>
                  <w:vAlign w:val="center"/>
                </w:tcPr>
                <w:p w14:paraId="42494B24">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25</w:t>
                  </w:r>
                </w:p>
              </w:tc>
              <w:tc>
                <w:tcPr>
                  <w:tcW w:w="1665" w:type="dxa"/>
                  <w:vAlign w:val="center"/>
                </w:tcPr>
                <w:p w14:paraId="30CEAEFA">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5000</w:t>
                  </w:r>
                  <w:r>
                    <w:rPr>
                      <w:rFonts w:hint="default" w:ascii="Times New Roman" w:hAnsi="Times New Roman" w:eastAsia="宋体" w:cs="Times New Roman"/>
                      <w:color w:val="000000" w:themeColor="text1"/>
                      <w:sz w:val="21"/>
                      <w:szCs w:val="21"/>
                      <w:u w:val="none"/>
                      <w:lang w:val="en-US" w:eastAsia="zh-CN"/>
                    </w:rPr>
                    <w:t>MPN/L</w:t>
                  </w:r>
                </w:p>
              </w:tc>
              <w:tc>
                <w:tcPr>
                  <w:tcW w:w="1080" w:type="dxa"/>
                  <w:vAlign w:val="center"/>
                </w:tcPr>
                <w:p w14:paraId="4247AED1">
                  <w:pPr>
                    <w:keepNext w:val="0"/>
                    <w:keepLines w:val="0"/>
                    <w:pageBreakBefore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color w:val="000000" w:themeColor="text1"/>
                      <w:sz w:val="21"/>
                      <w:szCs w:val="21"/>
                      <w:u w:val="none"/>
                      <w:lang w:val="en-US" w:eastAsia="zh-CN"/>
                    </w:rPr>
                  </w:pPr>
                  <w:r>
                    <w:rPr>
                      <w:rFonts w:hint="eastAsia" w:ascii="Times New Roman" w:hAnsi="Times New Roman" w:eastAsia="宋体" w:cs="Times New Roman"/>
                      <w:color w:val="000000" w:themeColor="text1"/>
                      <w:sz w:val="21"/>
                      <w:szCs w:val="21"/>
                      <w:u w:val="none"/>
                      <w:lang w:val="en-US" w:eastAsia="zh-CN"/>
                    </w:rPr>
                    <w:t>20</w:t>
                  </w:r>
                </w:p>
              </w:tc>
            </w:tr>
          </w:tbl>
          <w:p w14:paraId="16D01D60">
            <w:pPr>
              <w:pStyle w:val="11"/>
              <w:ind w:firstLine="482" w:firstLineChars="200"/>
              <w:rPr>
                <w:rFonts w:hint="default" w:ascii="Times New Roman" w:hAnsi="Times New Roman" w:eastAsia="宋体" w:cs="Times New Roman"/>
                <w:b/>
                <w:bCs/>
                <w:color w:val="000000" w:themeColor="text1"/>
                <w:sz w:val="24"/>
                <w:szCs w:val="24"/>
                <w:u w:val="none"/>
              </w:rPr>
            </w:pPr>
            <w:r>
              <w:rPr>
                <w:rFonts w:hint="default" w:ascii="Times New Roman" w:hAnsi="Times New Roman" w:eastAsia="宋体" w:cs="Times New Roman"/>
                <w:b/>
                <w:bCs/>
                <w:color w:val="000000" w:themeColor="text1"/>
                <w:sz w:val="24"/>
                <w:szCs w:val="24"/>
                <w:u w:val="none"/>
              </w:rPr>
              <w:t>（</w:t>
            </w:r>
            <w:r>
              <w:rPr>
                <w:rFonts w:hint="eastAsia" w:cs="Times New Roman"/>
                <w:b/>
                <w:bCs/>
                <w:color w:val="000000" w:themeColor="text1"/>
                <w:sz w:val="24"/>
                <w:szCs w:val="24"/>
                <w:u w:val="none"/>
                <w:lang w:val="en-US" w:eastAsia="zh-CN"/>
              </w:rPr>
              <w:t>2</w:t>
            </w:r>
            <w:r>
              <w:rPr>
                <w:rFonts w:hint="default" w:ascii="Times New Roman" w:hAnsi="Times New Roman" w:eastAsia="宋体" w:cs="Times New Roman"/>
                <w:b/>
                <w:bCs/>
                <w:color w:val="000000" w:themeColor="text1"/>
                <w:sz w:val="24"/>
                <w:szCs w:val="24"/>
                <w:u w:val="none"/>
              </w:rPr>
              <w:t>）废水</w:t>
            </w:r>
            <w:r>
              <w:rPr>
                <w:rFonts w:hint="eastAsia" w:cs="Times New Roman"/>
                <w:b/>
                <w:bCs/>
                <w:color w:val="000000" w:themeColor="text1"/>
                <w:sz w:val="24"/>
                <w:szCs w:val="24"/>
                <w:u w:val="none"/>
                <w:lang w:val="en-US" w:eastAsia="zh-CN"/>
              </w:rPr>
              <w:t>处理设施</w:t>
            </w:r>
            <w:r>
              <w:rPr>
                <w:rFonts w:hint="default" w:ascii="Times New Roman" w:hAnsi="Times New Roman" w:eastAsia="宋体" w:cs="Times New Roman"/>
                <w:b/>
                <w:bCs/>
                <w:color w:val="000000" w:themeColor="text1"/>
                <w:sz w:val="24"/>
                <w:szCs w:val="24"/>
                <w:u w:val="none"/>
              </w:rPr>
              <w:t>可行性分析</w:t>
            </w:r>
          </w:p>
          <w:p w14:paraId="4E1184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项目利用原有的综合污水处理站（处理能力：300t/d，工艺：格栅+A/O工艺+氯系消毒）处理废水，传染病科的废水利用原有的传染病废水预处理系统（处理能力：60t/d，工艺：二氯异氰尿酸钠消毒）处理后再与其他污水一同进入综合污水处理站处理；办公楼生活污水</w:t>
            </w:r>
            <w:r>
              <w:rPr>
                <w:rFonts w:hint="eastAsia" w:ascii="Times New Roman" w:hAnsi="Times New Roman" w:cs="Times New Roman"/>
                <w:color w:val="000000" w:themeColor="text1"/>
                <w:sz w:val="24"/>
                <w:szCs w:val="24"/>
                <w:u w:val="none"/>
                <w:lang w:val="en-US" w:eastAsia="zh-CN"/>
              </w:rPr>
              <w:t>和食堂废水</w:t>
            </w:r>
            <w:r>
              <w:rPr>
                <w:rFonts w:hint="eastAsia" w:cs="Times New Roman"/>
                <w:color w:val="000000" w:themeColor="text1"/>
                <w:sz w:val="24"/>
                <w:szCs w:val="24"/>
                <w:u w:val="none"/>
                <w:lang w:val="en-US" w:eastAsia="zh-CN"/>
              </w:rPr>
              <w:t>分别</w:t>
            </w:r>
            <w:r>
              <w:rPr>
                <w:rFonts w:hint="default" w:ascii="Times New Roman" w:hAnsi="Times New Roman" w:cs="Times New Roman"/>
                <w:color w:val="000000" w:themeColor="text1"/>
                <w:sz w:val="24"/>
                <w:szCs w:val="24"/>
                <w:u w:val="none"/>
                <w:lang w:val="en-US" w:eastAsia="zh-CN"/>
              </w:rPr>
              <w:t>利用原有化粪池</w:t>
            </w:r>
            <w:r>
              <w:rPr>
                <w:rFonts w:hint="eastAsia" w:cs="Times New Roman"/>
                <w:color w:val="000000" w:themeColor="text1"/>
                <w:sz w:val="24"/>
                <w:szCs w:val="24"/>
                <w:u w:val="none"/>
                <w:lang w:val="en-US" w:eastAsia="zh-CN"/>
              </w:rPr>
              <w:t>、隔油池</w:t>
            </w:r>
            <w:r>
              <w:rPr>
                <w:rFonts w:hint="default" w:ascii="Times New Roman" w:hAnsi="Times New Roman" w:cs="Times New Roman"/>
                <w:color w:val="000000" w:themeColor="text1"/>
                <w:sz w:val="24"/>
                <w:szCs w:val="24"/>
                <w:u w:val="none"/>
                <w:lang w:val="en-US" w:eastAsia="zh-CN"/>
              </w:rPr>
              <w:t>预处理后再与其他污水一同进入综合污水处理站处理，处理后经总排口排入市政污水管网，最终排入南津港污水处理厂处理。</w:t>
            </w:r>
          </w:p>
          <w:p w14:paraId="481CF529">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u w:val="none"/>
                <w:lang w:val="en-US" w:eastAsia="zh-CN"/>
              </w:rPr>
            </w:pPr>
            <w:r>
              <w:rPr>
                <w:rFonts w:hint="eastAsia" w:cs="Times New Roman"/>
                <w:color w:val="000000" w:themeColor="text1"/>
                <w:sz w:val="24"/>
                <w:szCs w:val="24"/>
                <w:u w:val="single"/>
                <w:lang w:val="en-US" w:eastAsia="zh-CN"/>
              </w:rPr>
              <w:t>经源强核算，传染病废水排放量为12.2</w:t>
            </w:r>
            <w:r>
              <w:rPr>
                <w:rFonts w:hint="default" w:ascii="Times New Roman" w:hAnsi="Times New Roman" w:cs="Times New Roman"/>
                <w:color w:val="000000" w:themeColor="text1"/>
                <w:sz w:val="24"/>
                <w:szCs w:val="24"/>
                <w:u w:val="single"/>
                <w:lang w:val="en-US" w:eastAsia="zh-CN"/>
              </w:rPr>
              <w:t>t/d</w:t>
            </w:r>
            <w:r>
              <w:rPr>
                <w:rFonts w:hint="eastAsia" w:cs="Times New Roman"/>
                <w:color w:val="000000" w:themeColor="text1"/>
                <w:sz w:val="24"/>
                <w:szCs w:val="24"/>
                <w:u w:val="single"/>
                <w:lang w:val="en-US" w:eastAsia="zh-CN"/>
              </w:rPr>
              <w:t>，传染病废水预处理系统处理能力为60</w:t>
            </w:r>
            <w:r>
              <w:rPr>
                <w:rFonts w:hint="default" w:ascii="Times New Roman" w:hAnsi="Times New Roman" w:cs="Times New Roman"/>
                <w:color w:val="000000" w:themeColor="text1"/>
                <w:sz w:val="24"/>
                <w:szCs w:val="24"/>
                <w:u w:val="single"/>
                <w:lang w:val="en-US" w:eastAsia="zh-CN"/>
              </w:rPr>
              <w:t>t/d</w:t>
            </w:r>
            <w:r>
              <w:rPr>
                <w:rFonts w:hint="eastAsia" w:cs="Times New Roman"/>
                <w:color w:val="000000" w:themeColor="text1"/>
                <w:sz w:val="24"/>
                <w:szCs w:val="24"/>
                <w:u w:val="single"/>
                <w:lang w:val="en-US" w:eastAsia="zh-CN"/>
              </w:rPr>
              <w:t>，全院综合废水排放量</w:t>
            </w:r>
            <w:r>
              <w:rPr>
                <w:rFonts w:hint="default" w:ascii="Times New Roman" w:hAnsi="Times New Roman" w:cs="Times New Roman"/>
                <w:color w:val="000000" w:themeColor="text1"/>
                <w:sz w:val="24"/>
                <w:szCs w:val="24"/>
                <w:u w:val="single"/>
                <w:lang w:val="en-US" w:eastAsia="zh-CN"/>
              </w:rPr>
              <w:t>16</w:t>
            </w:r>
            <w:r>
              <w:rPr>
                <w:rFonts w:hint="eastAsia" w:cs="Times New Roman"/>
                <w:color w:val="000000" w:themeColor="text1"/>
                <w:sz w:val="24"/>
                <w:szCs w:val="24"/>
                <w:u w:val="single"/>
                <w:lang w:val="en-US" w:eastAsia="zh-CN"/>
              </w:rPr>
              <w:t>1.6</w:t>
            </w:r>
            <w:r>
              <w:rPr>
                <w:rFonts w:hint="default" w:ascii="Times New Roman" w:hAnsi="Times New Roman" w:cs="Times New Roman"/>
                <w:color w:val="000000" w:themeColor="text1"/>
                <w:sz w:val="24"/>
                <w:szCs w:val="24"/>
                <w:u w:val="single"/>
                <w:lang w:val="en-US" w:eastAsia="zh-CN"/>
              </w:rPr>
              <w:t>t/d</w:t>
            </w:r>
            <w:r>
              <w:rPr>
                <w:rFonts w:hint="eastAsia" w:cs="Times New Roman"/>
                <w:color w:val="000000" w:themeColor="text1"/>
                <w:sz w:val="24"/>
                <w:szCs w:val="24"/>
                <w:u w:val="single"/>
                <w:lang w:val="en-US" w:eastAsia="zh-CN"/>
              </w:rPr>
              <w:t>，综合污水处理站处理能力为300</w:t>
            </w:r>
            <w:r>
              <w:rPr>
                <w:rFonts w:hint="default" w:ascii="Times New Roman" w:hAnsi="Times New Roman" w:cs="Times New Roman"/>
                <w:color w:val="000000" w:themeColor="text1"/>
                <w:sz w:val="24"/>
                <w:szCs w:val="24"/>
                <w:u w:val="single"/>
                <w:lang w:val="en-US" w:eastAsia="zh-CN"/>
              </w:rPr>
              <w:t>t/d</w:t>
            </w:r>
            <w:r>
              <w:rPr>
                <w:rFonts w:hint="eastAsia" w:cs="Times New Roman"/>
                <w:color w:val="000000" w:themeColor="text1"/>
                <w:sz w:val="24"/>
                <w:szCs w:val="24"/>
                <w:u w:val="single"/>
                <w:lang w:val="en-US" w:eastAsia="zh-CN"/>
              </w:rPr>
              <w:t>，均满足本项目使用需求</w:t>
            </w:r>
            <w:r>
              <w:rPr>
                <w:rFonts w:hint="eastAsia" w:cs="Times New Roman"/>
                <w:color w:val="000000" w:themeColor="text1"/>
                <w:sz w:val="24"/>
                <w:szCs w:val="24"/>
                <w:u w:val="none"/>
                <w:lang w:val="en-US" w:eastAsia="zh-CN"/>
              </w:rPr>
              <w:t>。</w:t>
            </w:r>
          </w:p>
          <w:p w14:paraId="1355A04D">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u w:val="single"/>
              </w:rPr>
            </w:pPr>
            <w:r>
              <w:rPr>
                <w:rFonts w:hint="default" w:ascii="Times New Roman" w:hAnsi="Times New Roman" w:eastAsia="宋体" w:cs="Times New Roman"/>
                <w:color w:val="000000" w:themeColor="text1"/>
                <w:sz w:val="24"/>
                <w:szCs w:val="24"/>
                <w:u w:val="none"/>
              </w:rPr>
              <w:t>根据《</w:t>
            </w:r>
            <w:r>
              <w:rPr>
                <w:rFonts w:hint="eastAsia" w:cs="Times New Roman"/>
                <w:color w:val="000000" w:themeColor="text1"/>
                <w:sz w:val="24"/>
                <w:szCs w:val="24"/>
                <w:u w:val="none"/>
                <w:lang w:eastAsia="zh-CN"/>
              </w:rPr>
              <w:t>排污许可证申请与核发技术规范</w:t>
            </w:r>
            <w:r>
              <w:rPr>
                <w:rFonts w:hint="default" w:ascii="Times New Roman" w:hAnsi="Times New Roman" w:eastAsia="宋体" w:cs="Times New Roman"/>
                <w:color w:val="000000" w:themeColor="text1"/>
                <w:sz w:val="24"/>
                <w:szCs w:val="24"/>
                <w:u w:val="none"/>
              </w:rPr>
              <w:t xml:space="preserve"> 医疗机构》</w:t>
            </w:r>
            <w:r>
              <w:rPr>
                <w:rFonts w:hint="default" w:ascii="Times New Roman" w:hAnsi="Times New Roman" w:eastAsia="宋体" w:cs="Times New Roman"/>
                <w:color w:val="000000" w:themeColor="text1"/>
                <w:sz w:val="24"/>
                <w:szCs w:val="24"/>
              </w:rPr>
              <w:t>（HJ 1105-2020）</w:t>
            </w:r>
            <w:r>
              <w:rPr>
                <w:rFonts w:hint="default" w:ascii="Times New Roman" w:hAnsi="Times New Roman" w:eastAsia="宋体" w:cs="Times New Roman"/>
                <w:color w:val="000000" w:themeColor="text1"/>
                <w:sz w:val="24"/>
                <w:szCs w:val="24"/>
                <w:u w:val="none"/>
              </w:rPr>
              <w:t>相关要求，对本项目废水类别、排放形式及污染治理设施进行符合性分析，具体见下表。</w:t>
            </w:r>
          </w:p>
          <w:p w14:paraId="77822C2F">
            <w:pPr>
              <w:adjustRightInd w:val="0"/>
              <w:snapToGrid w:val="0"/>
              <w:spacing w:line="360" w:lineRule="auto"/>
              <w:ind w:firstLine="422" w:firstLineChars="200"/>
              <w:jc w:val="center"/>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表4-</w:t>
            </w:r>
            <w:r>
              <w:rPr>
                <w:rFonts w:hint="eastAsia" w:cs="Times New Roman"/>
                <w:b/>
                <w:bCs/>
                <w:color w:val="000000" w:themeColor="text1"/>
                <w:sz w:val="21"/>
                <w:szCs w:val="21"/>
                <w:u w:val="single"/>
                <w:lang w:val="en-US" w:eastAsia="zh-CN"/>
              </w:rPr>
              <w:t>14</w:t>
            </w:r>
            <w:r>
              <w:rPr>
                <w:rFonts w:hint="default" w:ascii="Times New Roman" w:hAnsi="Times New Roman" w:eastAsia="宋体" w:cs="Times New Roman"/>
                <w:b/>
                <w:bCs/>
                <w:color w:val="000000" w:themeColor="text1"/>
                <w:sz w:val="21"/>
                <w:szCs w:val="21"/>
                <w:u w:val="single"/>
              </w:rPr>
              <w:t xml:space="preserve"> 本项目废水</w:t>
            </w:r>
            <w:r>
              <w:rPr>
                <w:rFonts w:hint="eastAsia" w:cs="Times New Roman"/>
                <w:b/>
                <w:bCs/>
                <w:color w:val="000000" w:themeColor="text1"/>
                <w:sz w:val="21"/>
                <w:szCs w:val="21"/>
                <w:u w:val="single"/>
                <w:lang w:val="en-US" w:eastAsia="zh-CN"/>
              </w:rPr>
              <w:t>治理措</w:t>
            </w:r>
            <w:r>
              <w:rPr>
                <w:rFonts w:hint="eastAsia" w:cs="Times New Roman"/>
                <w:b/>
                <w:bCs/>
                <w:color w:val="auto"/>
                <w:sz w:val="21"/>
                <w:szCs w:val="21"/>
                <w:u w:val="single"/>
                <w:lang w:val="en-US" w:eastAsia="zh-CN"/>
              </w:rPr>
              <w:t>施</w:t>
            </w:r>
            <w:r>
              <w:rPr>
                <w:rFonts w:hint="default" w:ascii="Times New Roman" w:hAnsi="Times New Roman" w:eastAsia="宋体" w:cs="Times New Roman"/>
                <w:b/>
                <w:bCs/>
                <w:color w:val="auto"/>
                <w:sz w:val="21"/>
                <w:szCs w:val="21"/>
                <w:u w:val="single"/>
              </w:rPr>
              <w:t>与排污许可技术规范</w:t>
            </w:r>
            <w:r>
              <w:rPr>
                <w:rFonts w:hint="default" w:ascii="Times New Roman" w:hAnsi="Times New Roman" w:eastAsia="宋体" w:cs="Times New Roman"/>
                <w:b/>
                <w:bCs/>
                <w:color w:val="000000" w:themeColor="text1"/>
                <w:sz w:val="21"/>
                <w:szCs w:val="21"/>
                <w:u w:val="single"/>
              </w:rPr>
              <w:t>符合性分析</w:t>
            </w:r>
          </w:p>
          <w:tbl>
            <w:tblPr>
              <w:tblStyle w:val="25"/>
              <w:tblW w:w="8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1721"/>
              <w:gridCol w:w="649"/>
              <w:gridCol w:w="3480"/>
              <w:gridCol w:w="825"/>
              <w:gridCol w:w="856"/>
              <w:gridCol w:w="529"/>
            </w:tblGrid>
            <w:tr w14:paraId="453C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restart"/>
                  <w:vAlign w:val="center"/>
                </w:tcPr>
                <w:p w14:paraId="6D1EF18D">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污染源</w:t>
                  </w:r>
                </w:p>
              </w:tc>
              <w:tc>
                <w:tcPr>
                  <w:tcW w:w="1721" w:type="dxa"/>
                  <w:vMerge w:val="restart"/>
                  <w:vAlign w:val="center"/>
                </w:tcPr>
                <w:p w14:paraId="25B8AAAE">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污染物</w:t>
                  </w:r>
                </w:p>
              </w:tc>
              <w:tc>
                <w:tcPr>
                  <w:tcW w:w="4129" w:type="dxa"/>
                  <w:gridSpan w:val="2"/>
                  <w:vAlign w:val="center"/>
                </w:tcPr>
                <w:p w14:paraId="5DFEA5EA">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技术规范要求</w:t>
                  </w:r>
                </w:p>
              </w:tc>
              <w:tc>
                <w:tcPr>
                  <w:tcW w:w="1681" w:type="dxa"/>
                  <w:gridSpan w:val="2"/>
                  <w:vAlign w:val="center"/>
                </w:tcPr>
                <w:p w14:paraId="70CD5EF1">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本项目情况</w:t>
                  </w:r>
                </w:p>
              </w:tc>
              <w:tc>
                <w:tcPr>
                  <w:tcW w:w="529" w:type="dxa"/>
                  <w:vMerge w:val="restart"/>
                  <w:vAlign w:val="center"/>
                </w:tcPr>
                <w:p w14:paraId="6AF4D7A6">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符合性</w:t>
                  </w:r>
                </w:p>
              </w:tc>
            </w:tr>
            <w:tr w14:paraId="786DE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vAlign w:val="center"/>
                </w:tcPr>
                <w:p w14:paraId="78A24DEE">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p>
              </w:tc>
              <w:tc>
                <w:tcPr>
                  <w:tcW w:w="1721" w:type="dxa"/>
                  <w:vMerge w:val="continue"/>
                  <w:vAlign w:val="center"/>
                </w:tcPr>
                <w:p w14:paraId="3A6787FE">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p>
              </w:tc>
              <w:tc>
                <w:tcPr>
                  <w:tcW w:w="649" w:type="dxa"/>
                  <w:vAlign w:val="center"/>
                </w:tcPr>
                <w:p w14:paraId="644767B8">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排放去向</w:t>
                  </w:r>
                </w:p>
              </w:tc>
              <w:tc>
                <w:tcPr>
                  <w:tcW w:w="3480" w:type="dxa"/>
                  <w:vAlign w:val="center"/>
                </w:tcPr>
                <w:p w14:paraId="3D96DED1">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治理措施</w:t>
                  </w:r>
                </w:p>
              </w:tc>
              <w:tc>
                <w:tcPr>
                  <w:tcW w:w="825" w:type="dxa"/>
                  <w:vAlign w:val="center"/>
                </w:tcPr>
                <w:p w14:paraId="1E8EE3A0">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排放去向</w:t>
                  </w:r>
                </w:p>
              </w:tc>
              <w:tc>
                <w:tcPr>
                  <w:tcW w:w="856" w:type="dxa"/>
                  <w:vAlign w:val="center"/>
                </w:tcPr>
                <w:p w14:paraId="48539539">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000000" w:themeColor="text1"/>
                      <w:sz w:val="21"/>
                      <w:szCs w:val="21"/>
                      <w:u w:val="single"/>
                    </w:rPr>
                  </w:pPr>
                  <w:r>
                    <w:rPr>
                      <w:rFonts w:hint="default" w:ascii="Times New Roman" w:hAnsi="Times New Roman" w:eastAsia="宋体" w:cs="Times New Roman"/>
                      <w:b/>
                      <w:bCs/>
                      <w:color w:val="000000" w:themeColor="text1"/>
                      <w:sz w:val="21"/>
                      <w:szCs w:val="21"/>
                      <w:u w:val="single"/>
                    </w:rPr>
                    <w:t>治理措施</w:t>
                  </w:r>
                </w:p>
              </w:tc>
              <w:tc>
                <w:tcPr>
                  <w:tcW w:w="529" w:type="dxa"/>
                  <w:vMerge w:val="continue"/>
                  <w:vAlign w:val="center"/>
                </w:tcPr>
                <w:p w14:paraId="764AF9C8">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p>
              </w:tc>
            </w:tr>
            <w:tr w14:paraId="16CB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Align w:val="center"/>
                </w:tcPr>
                <w:p w14:paraId="6FEC951D">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lang w:val="en-US" w:eastAsia="zh-CN"/>
                    </w:rPr>
                  </w:pPr>
                  <w:r>
                    <w:rPr>
                      <w:rFonts w:hint="eastAsia" w:cs="Times New Roman"/>
                      <w:color w:val="000000" w:themeColor="text1"/>
                      <w:sz w:val="21"/>
                      <w:szCs w:val="21"/>
                      <w:u w:val="single"/>
                      <w:lang w:val="en-US" w:eastAsia="zh-CN"/>
                    </w:rPr>
                    <w:t>综合医疗污水</w:t>
                  </w:r>
                </w:p>
              </w:tc>
              <w:tc>
                <w:tcPr>
                  <w:tcW w:w="1721" w:type="dxa"/>
                  <w:vAlign w:val="center"/>
                </w:tcPr>
                <w:p w14:paraId="0E778BD7">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pH、SS、COD、BOD</w:t>
                  </w:r>
                  <w:r>
                    <w:rPr>
                      <w:rFonts w:hint="default" w:ascii="Times New Roman" w:hAnsi="Times New Roman" w:eastAsia="宋体" w:cs="Times New Roman"/>
                      <w:color w:val="000000" w:themeColor="text1"/>
                      <w:sz w:val="21"/>
                      <w:szCs w:val="21"/>
                      <w:u w:val="single"/>
                      <w:vertAlign w:val="subscript"/>
                    </w:rPr>
                    <w:t>5</w:t>
                  </w:r>
                  <w:r>
                    <w:rPr>
                      <w:rFonts w:hint="default" w:ascii="Times New Roman" w:hAnsi="Times New Roman" w:eastAsia="宋体" w:cs="Times New Roman"/>
                      <w:color w:val="000000" w:themeColor="text1"/>
                      <w:sz w:val="21"/>
                      <w:szCs w:val="21"/>
                      <w:u w:val="single"/>
                    </w:rPr>
                    <w:t>、粪大肠菌群数</w:t>
                  </w:r>
                  <w:r>
                    <w:rPr>
                      <w:rFonts w:hint="default" w:ascii="Times New Roman" w:hAnsi="Times New Roman" w:cs="Times New Roman"/>
                      <w:color w:val="000000" w:themeColor="text1"/>
                      <w:sz w:val="21"/>
                      <w:szCs w:val="21"/>
                      <w:u w:val="single"/>
                      <w:lang w:eastAsia="zh-CN"/>
                    </w:rPr>
                    <w:t>、肠道致病菌、肠道病毒、结核杆菌</w:t>
                  </w:r>
                  <w:r>
                    <w:rPr>
                      <w:rFonts w:hint="default" w:ascii="Times New Roman" w:hAnsi="Times New Roman" w:eastAsia="宋体" w:cs="Times New Roman"/>
                      <w:color w:val="000000" w:themeColor="text1"/>
                      <w:sz w:val="21"/>
                      <w:szCs w:val="21"/>
                      <w:u w:val="single"/>
                    </w:rPr>
                    <w:t>、石油类</w:t>
                  </w:r>
                  <w:r>
                    <w:rPr>
                      <w:rFonts w:hint="default" w:ascii="Times New Roman" w:hAnsi="Times New Roman" w:cs="Times New Roman"/>
                      <w:color w:val="000000" w:themeColor="text1"/>
                      <w:sz w:val="21"/>
                      <w:szCs w:val="21"/>
                      <w:u w:val="single"/>
                      <w:lang w:eastAsia="zh-CN"/>
                    </w:rPr>
                    <w:t>、</w:t>
                  </w:r>
                  <w:r>
                    <w:rPr>
                      <w:rFonts w:hint="default" w:ascii="Times New Roman" w:hAnsi="Times New Roman" w:eastAsia="宋体" w:cs="Times New Roman"/>
                      <w:color w:val="000000" w:themeColor="text1"/>
                      <w:sz w:val="21"/>
                      <w:szCs w:val="21"/>
                      <w:u w:val="single"/>
                    </w:rPr>
                    <w:t>阴离子表面活性剂、挥发酚、总余氯</w:t>
                  </w:r>
                </w:p>
              </w:tc>
              <w:tc>
                <w:tcPr>
                  <w:tcW w:w="649" w:type="dxa"/>
                  <w:vAlign w:val="center"/>
                </w:tcPr>
                <w:p w14:paraId="73FFD5C6">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污水处理厂</w:t>
                  </w:r>
                </w:p>
              </w:tc>
              <w:tc>
                <w:tcPr>
                  <w:tcW w:w="3480" w:type="dxa"/>
                  <w:vAlign w:val="center"/>
                </w:tcPr>
                <w:p w14:paraId="13F45FDC">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lang w:eastAsia="zh-CN"/>
                    </w:rPr>
                  </w:pPr>
                  <w:r>
                    <w:rPr>
                      <w:rFonts w:hint="default" w:ascii="Times New Roman" w:hAnsi="Times New Roman" w:eastAsia="宋体" w:cs="Times New Roman"/>
                      <w:color w:val="000000" w:themeColor="text1"/>
                      <w:sz w:val="21"/>
                      <w:szCs w:val="21"/>
                      <w:u w:val="single"/>
                    </w:rPr>
                    <w:t>一级处理/一级强化处理+消毒工艺</w:t>
                  </w:r>
                  <w:r>
                    <w:rPr>
                      <w:rFonts w:hint="default" w:ascii="Times New Roman" w:hAnsi="Times New Roman" w:cs="Times New Roman"/>
                      <w:color w:val="000000" w:themeColor="text1"/>
                      <w:sz w:val="21"/>
                      <w:szCs w:val="21"/>
                      <w:u w:val="single"/>
                      <w:lang w:eastAsia="zh-CN"/>
                    </w:rPr>
                    <w:t>。</w:t>
                  </w:r>
                </w:p>
                <w:p w14:paraId="7573FC15">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一次处理包括：筛滤法；沉淀法；气浮法；预曝气法。</w:t>
                  </w:r>
                </w:p>
                <w:p w14:paraId="4A92F080">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一级强化处理包括：化学混凝处理、机械过滤或不完全生物处理。</w:t>
                  </w:r>
                </w:p>
                <w:p w14:paraId="4C01F489">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消毒工艺：加氯消毒，臭氧法消毒，次氯酸钠法、二氧化氯消毒、紫外线消毒灯。</w:t>
                  </w:r>
                </w:p>
              </w:tc>
              <w:tc>
                <w:tcPr>
                  <w:tcW w:w="825" w:type="dxa"/>
                  <w:vAlign w:val="center"/>
                </w:tcPr>
                <w:p w14:paraId="0670AD02">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lang w:val="en-US"/>
                    </w:rPr>
                  </w:pPr>
                  <w:r>
                    <w:rPr>
                      <w:rFonts w:hint="default" w:ascii="Times New Roman" w:hAnsi="Times New Roman" w:cs="Times New Roman"/>
                      <w:color w:val="000000" w:themeColor="text1"/>
                      <w:sz w:val="21"/>
                      <w:szCs w:val="21"/>
                      <w:u w:val="single"/>
                      <w:lang w:val="en-US" w:eastAsia="zh-CN"/>
                    </w:rPr>
                    <w:t>南津港污水处理厂</w:t>
                  </w:r>
                </w:p>
              </w:tc>
              <w:tc>
                <w:tcPr>
                  <w:tcW w:w="856" w:type="dxa"/>
                  <w:vAlign w:val="center"/>
                </w:tcPr>
                <w:p w14:paraId="6BA8779C">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cs="Times New Roman"/>
                      <w:color w:val="000000" w:themeColor="text1"/>
                      <w:sz w:val="21"/>
                      <w:szCs w:val="21"/>
                      <w:u w:val="single"/>
                      <w:lang w:val="en-US" w:eastAsia="zh-CN"/>
                    </w:rPr>
                    <w:t>格栅+二级处理（A/O工艺）</w:t>
                  </w:r>
                  <w:r>
                    <w:rPr>
                      <w:rFonts w:hint="default" w:ascii="Times New Roman" w:hAnsi="Times New Roman" w:eastAsia="宋体" w:cs="Times New Roman"/>
                      <w:color w:val="000000" w:themeColor="text1"/>
                      <w:sz w:val="21"/>
                      <w:szCs w:val="21"/>
                      <w:u w:val="single"/>
                    </w:rPr>
                    <w:t>+二氯异氰尿酸钠消毒</w:t>
                  </w:r>
                </w:p>
              </w:tc>
              <w:tc>
                <w:tcPr>
                  <w:tcW w:w="529" w:type="dxa"/>
                  <w:vAlign w:val="center"/>
                </w:tcPr>
                <w:p w14:paraId="4DFE38C8">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符合</w:t>
                  </w:r>
                </w:p>
              </w:tc>
            </w:tr>
            <w:tr w14:paraId="4939A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Align w:val="center"/>
                </w:tcPr>
                <w:p w14:paraId="6EE46D94">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lang w:val="en-US" w:eastAsia="zh-CN"/>
                    </w:rPr>
                  </w:pPr>
                  <w:r>
                    <w:rPr>
                      <w:rFonts w:hint="eastAsia" w:cs="Times New Roman"/>
                      <w:color w:val="000000" w:themeColor="text1"/>
                      <w:sz w:val="21"/>
                      <w:szCs w:val="21"/>
                      <w:u w:val="single"/>
                      <w:lang w:val="en-US" w:eastAsia="zh-CN"/>
                    </w:rPr>
                    <w:t>传染科废水</w:t>
                  </w:r>
                </w:p>
              </w:tc>
              <w:tc>
                <w:tcPr>
                  <w:tcW w:w="1721" w:type="dxa"/>
                  <w:vAlign w:val="center"/>
                </w:tcPr>
                <w:p w14:paraId="3ADD6CD7">
                  <w:pPr>
                    <w:keepNext w:val="0"/>
                    <w:keepLines w:val="0"/>
                    <w:pageBreakBefore w:val="0"/>
                    <w:widowControl/>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pH、SS、COD、BOD</w:t>
                  </w:r>
                  <w:r>
                    <w:rPr>
                      <w:rFonts w:hint="default" w:ascii="Times New Roman" w:hAnsi="Times New Roman" w:eastAsia="宋体" w:cs="Times New Roman"/>
                      <w:color w:val="000000" w:themeColor="text1"/>
                      <w:sz w:val="21"/>
                      <w:szCs w:val="21"/>
                      <w:u w:val="single"/>
                      <w:vertAlign w:val="subscript"/>
                    </w:rPr>
                    <w:t>5</w:t>
                  </w:r>
                  <w:r>
                    <w:rPr>
                      <w:rFonts w:hint="default" w:ascii="Times New Roman" w:hAnsi="Times New Roman" w:eastAsia="宋体" w:cs="Times New Roman"/>
                      <w:color w:val="000000" w:themeColor="text1"/>
                      <w:sz w:val="21"/>
                      <w:szCs w:val="21"/>
                      <w:u w:val="single"/>
                    </w:rPr>
                    <w:t>、粪大肠菌群数</w:t>
                  </w:r>
                  <w:r>
                    <w:rPr>
                      <w:rFonts w:hint="default" w:ascii="Times New Roman" w:hAnsi="Times New Roman" w:eastAsia="宋体" w:cs="Times New Roman"/>
                      <w:color w:val="000000" w:themeColor="text1"/>
                      <w:sz w:val="21"/>
                      <w:szCs w:val="21"/>
                      <w:u w:val="single"/>
                      <w:lang w:eastAsia="zh-CN"/>
                    </w:rPr>
                    <w:t>、肠道致病菌、肠道病毒、结核杆菌</w:t>
                  </w:r>
                  <w:r>
                    <w:rPr>
                      <w:rFonts w:hint="default" w:ascii="Times New Roman" w:hAnsi="Times New Roman" w:eastAsia="宋体" w:cs="Times New Roman"/>
                      <w:color w:val="000000" w:themeColor="text1"/>
                      <w:sz w:val="21"/>
                      <w:szCs w:val="21"/>
                      <w:u w:val="single"/>
                    </w:rPr>
                    <w:t>、总余氯</w:t>
                  </w:r>
                  <w:r>
                    <w:rPr>
                      <w:rFonts w:hint="eastAsia" w:cs="Times New Roman"/>
                      <w:color w:val="000000" w:themeColor="text1"/>
                      <w:sz w:val="21"/>
                      <w:szCs w:val="21"/>
                      <w:u w:val="single"/>
                      <w:lang w:eastAsia="zh-CN"/>
                    </w:rPr>
                    <w:t>、</w:t>
                  </w:r>
                  <w:r>
                    <w:rPr>
                      <w:rFonts w:hint="eastAsia" w:cs="Times New Roman"/>
                      <w:color w:val="000000" w:themeColor="text1"/>
                      <w:sz w:val="21"/>
                      <w:szCs w:val="21"/>
                      <w:u w:val="single"/>
                      <w:lang w:val="en-US" w:eastAsia="zh-CN"/>
                    </w:rPr>
                    <w:t>氨氮</w:t>
                  </w:r>
                </w:p>
              </w:tc>
              <w:tc>
                <w:tcPr>
                  <w:tcW w:w="649" w:type="dxa"/>
                  <w:vAlign w:val="center"/>
                </w:tcPr>
                <w:p w14:paraId="3D3ED589">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000000" w:themeColor="text1"/>
                      <w:sz w:val="21"/>
                      <w:szCs w:val="21"/>
                      <w:u w:val="single"/>
                      <w:lang w:val="en-US" w:eastAsia="zh-CN"/>
                    </w:rPr>
                  </w:pPr>
                  <w:r>
                    <w:rPr>
                      <w:rFonts w:hint="eastAsia" w:cs="Times New Roman"/>
                      <w:color w:val="000000" w:themeColor="text1"/>
                      <w:sz w:val="21"/>
                      <w:szCs w:val="21"/>
                      <w:u w:val="single"/>
                      <w:lang w:val="en-US" w:eastAsia="zh-CN"/>
                    </w:rPr>
                    <w:t>进入院区综合污水处理站</w:t>
                  </w:r>
                </w:p>
              </w:tc>
              <w:tc>
                <w:tcPr>
                  <w:tcW w:w="3480" w:type="dxa"/>
                  <w:vAlign w:val="center"/>
                </w:tcPr>
                <w:p w14:paraId="58D928B2">
                  <w:pPr>
                    <w:keepNext w:val="0"/>
                    <w:keepLines w:val="0"/>
                    <w:pageBreakBefore w:val="0"/>
                    <w:kinsoku/>
                    <w:wordWrap/>
                    <w:overflowPunct/>
                    <w:topLinePunct w:val="0"/>
                    <w:autoSpaceDE/>
                    <w:autoSpaceDN/>
                    <w:bidi w:val="0"/>
                    <w:adjustRightInd/>
                    <w:snapToGrid/>
                    <w:spacing w:before="60" w:after="60"/>
                    <w:jc w:val="center"/>
                    <w:textAlignment w:val="auto"/>
                    <w:rPr>
                      <w:rFonts w:hint="eastAsia" w:ascii="Times New Roman" w:hAnsi="Times New Roman" w:eastAsia="宋体" w:cs="Times New Roman"/>
                      <w:color w:val="000000" w:themeColor="text1"/>
                      <w:sz w:val="21"/>
                      <w:szCs w:val="21"/>
                      <w:u w:val="single"/>
                      <w:lang w:eastAsia="zh-CN"/>
                    </w:rPr>
                  </w:pPr>
                  <w:r>
                    <w:rPr>
                      <w:rFonts w:hint="default" w:ascii="Times New Roman" w:hAnsi="Times New Roman" w:eastAsia="宋体" w:cs="Times New Roman"/>
                      <w:color w:val="000000" w:themeColor="text1"/>
                      <w:sz w:val="21"/>
                      <w:szCs w:val="21"/>
                      <w:u w:val="single"/>
                    </w:rPr>
                    <w:t>消毒工艺:加氯消毒，臭氧法消毒，次氯酸钠法、二氧化氯法消毒、紫外线消毒等</w:t>
                  </w:r>
                  <w:r>
                    <w:rPr>
                      <w:rFonts w:hint="eastAsia" w:cs="Times New Roman"/>
                      <w:color w:val="000000" w:themeColor="text1"/>
                      <w:sz w:val="21"/>
                      <w:szCs w:val="21"/>
                      <w:u w:val="single"/>
                      <w:lang w:eastAsia="zh-CN"/>
                    </w:rPr>
                    <w:t>。</w:t>
                  </w:r>
                </w:p>
              </w:tc>
              <w:tc>
                <w:tcPr>
                  <w:tcW w:w="825" w:type="dxa"/>
                  <w:vAlign w:val="center"/>
                </w:tcPr>
                <w:p w14:paraId="1361FB59">
                  <w:pPr>
                    <w:keepNext w:val="0"/>
                    <w:keepLines w:val="0"/>
                    <w:pageBreakBefore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000000" w:themeColor="text1"/>
                      <w:sz w:val="21"/>
                      <w:szCs w:val="21"/>
                      <w:u w:val="single"/>
                      <w:lang w:val="en-US" w:eastAsia="zh-CN"/>
                    </w:rPr>
                  </w:pPr>
                  <w:r>
                    <w:rPr>
                      <w:rFonts w:hint="eastAsia" w:cs="Times New Roman"/>
                      <w:color w:val="000000" w:themeColor="text1"/>
                      <w:sz w:val="21"/>
                      <w:szCs w:val="21"/>
                      <w:u w:val="single"/>
                      <w:lang w:val="en-US" w:eastAsia="zh-CN"/>
                    </w:rPr>
                    <w:t>进入院区综合污水处理站</w:t>
                  </w:r>
                </w:p>
              </w:tc>
              <w:tc>
                <w:tcPr>
                  <w:tcW w:w="856" w:type="dxa"/>
                  <w:vAlign w:val="center"/>
                </w:tcPr>
                <w:p w14:paraId="55C70C26">
                  <w:pPr>
                    <w:keepNext w:val="0"/>
                    <w:keepLines w:val="0"/>
                    <w:pageBreakBefore w:val="0"/>
                    <w:kinsoku/>
                    <w:wordWrap/>
                    <w:overflowPunct/>
                    <w:topLinePunct w:val="0"/>
                    <w:autoSpaceDE/>
                    <w:autoSpaceDN/>
                    <w:bidi w:val="0"/>
                    <w:adjustRightInd/>
                    <w:snapToGrid/>
                    <w:spacing w:before="60" w:after="60"/>
                    <w:jc w:val="center"/>
                    <w:textAlignment w:val="auto"/>
                    <w:rPr>
                      <w:rFonts w:hint="eastAsia" w:ascii="Times New Roman" w:hAnsi="Times New Roman" w:eastAsia="宋体" w:cs="Times New Roman"/>
                      <w:color w:val="000000" w:themeColor="text1"/>
                      <w:sz w:val="21"/>
                      <w:szCs w:val="21"/>
                      <w:u w:val="single"/>
                      <w:lang w:val="en-US" w:eastAsia="zh-CN"/>
                    </w:rPr>
                  </w:pPr>
                  <w:r>
                    <w:rPr>
                      <w:rFonts w:hint="default" w:ascii="Times New Roman" w:hAnsi="Times New Roman" w:eastAsia="宋体" w:cs="Times New Roman"/>
                      <w:color w:val="000000" w:themeColor="text1"/>
                      <w:sz w:val="21"/>
                      <w:szCs w:val="21"/>
                      <w:u w:val="single"/>
                    </w:rPr>
                    <w:t>加氯消毒</w:t>
                  </w:r>
                  <w:r>
                    <w:rPr>
                      <w:rFonts w:hint="eastAsia" w:cs="Times New Roman"/>
                      <w:color w:val="000000" w:themeColor="text1"/>
                      <w:sz w:val="21"/>
                      <w:szCs w:val="21"/>
                      <w:u w:val="single"/>
                      <w:lang w:eastAsia="zh-CN"/>
                    </w:rPr>
                    <w:t>（</w:t>
                  </w:r>
                  <w:r>
                    <w:rPr>
                      <w:rFonts w:hint="default" w:ascii="Times New Roman" w:hAnsi="Times New Roman" w:eastAsia="宋体" w:cs="Times New Roman"/>
                      <w:color w:val="000000" w:themeColor="text1"/>
                      <w:sz w:val="21"/>
                      <w:szCs w:val="21"/>
                      <w:u w:val="single"/>
                    </w:rPr>
                    <w:t>二氯异氰尿酸钠</w:t>
                  </w:r>
                  <w:r>
                    <w:rPr>
                      <w:rFonts w:hint="eastAsia" w:cs="Times New Roman"/>
                      <w:color w:val="000000" w:themeColor="text1"/>
                      <w:sz w:val="21"/>
                      <w:szCs w:val="21"/>
                      <w:u w:val="single"/>
                      <w:lang w:eastAsia="zh-CN"/>
                    </w:rPr>
                    <w:t>）</w:t>
                  </w:r>
                </w:p>
              </w:tc>
              <w:tc>
                <w:tcPr>
                  <w:tcW w:w="529" w:type="dxa"/>
                  <w:vAlign w:val="center"/>
                </w:tcPr>
                <w:p w14:paraId="74F47E23">
                  <w:pPr>
                    <w:keepNext w:val="0"/>
                    <w:keepLines w:val="0"/>
                    <w:pageBreakBefore w:val="0"/>
                    <w:kinsoku/>
                    <w:wordWrap/>
                    <w:overflowPunct/>
                    <w:topLinePunct w:val="0"/>
                    <w:autoSpaceDE/>
                    <w:autoSpaceDN/>
                    <w:bidi w:val="0"/>
                    <w:adjustRightInd/>
                    <w:snapToGrid/>
                    <w:spacing w:before="60" w:after="60"/>
                    <w:jc w:val="center"/>
                    <w:textAlignment w:val="auto"/>
                    <w:rPr>
                      <w:rFonts w:hint="eastAsia" w:ascii="Times New Roman" w:hAnsi="Times New Roman" w:eastAsia="宋体" w:cs="Times New Roman"/>
                      <w:color w:val="000000" w:themeColor="text1"/>
                      <w:sz w:val="21"/>
                      <w:szCs w:val="21"/>
                      <w:u w:val="single"/>
                      <w:lang w:val="en-US" w:eastAsia="zh-CN"/>
                    </w:rPr>
                  </w:pPr>
                  <w:r>
                    <w:rPr>
                      <w:rFonts w:hint="eastAsia" w:cs="Times New Roman"/>
                      <w:color w:val="000000" w:themeColor="text1"/>
                      <w:sz w:val="21"/>
                      <w:szCs w:val="21"/>
                      <w:u w:val="single"/>
                      <w:lang w:val="en-US" w:eastAsia="zh-CN"/>
                    </w:rPr>
                    <w:t>符合</w:t>
                  </w:r>
                </w:p>
              </w:tc>
            </w:tr>
          </w:tbl>
          <w:p w14:paraId="5B716FA3">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①</w:t>
            </w:r>
            <w:r>
              <w:rPr>
                <w:rFonts w:hint="eastAsia" w:cs="Times New Roman"/>
                <w:color w:val="000000" w:themeColor="text1"/>
                <w:sz w:val="24"/>
                <w:szCs w:val="24"/>
                <w:u w:val="none"/>
                <w:lang w:val="en-US" w:eastAsia="zh-CN"/>
              </w:rPr>
              <w:t>综合</w:t>
            </w:r>
            <w:r>
              <w:rPr>
                <w:rFonts w:hint="default" w:ascii="Times New Roman" w:hAnsi="Times New Roman" w:cs="Times New Roman"/>
                <w:color w:val="000000" w:themeColor="text1"/>
                <w:sz w:val="24"/>
                <w:szCs w:val="24"/>
                <w:u w:val="none"/>
                <w:lang w:val="en-US" w:eastAsia="zh-CN"/>
              </w:rPr>
              <w:t>污水处理</w:t>
            </w:r>
            <w:r>
              <w:rPr>
                <w:rFonts w:hint="eastAsia" w:cs="Times New Roman"/>
                <w:color w:val="000000" w:themeColor="text1"/>
                <w:sz w:val="24"/>
                <w:szCs w:val="24"/>
                <w:u w:val="none"/>
                <w:lang w:val="en-US" w:eastAsia="zh-CN"/>
              </w:rPr>
              <w:t>站</w:t>
            </w:r>
            <w:r>
              <w:rPr>
                <w:rFonts w:hint="default" w:ascii="Times New Roman" w:hAnsi="Times New Roman" w:cs="Times New Roman"/>
                <w:color w:val="000000" w:themeColor="text1"/>
                <w:sz w:val="24"/>
                <w:szCs w:val="24"/>
                <w:u w:val="none"/>
                <w:lang w:val="en-US" w:eastAsia="zh-CN"/>
              </w:rPr>
              <w:t>工艺</w:t>
            </w:r>
            <w:r>
              <w:rPr>
                <w:rFonts w:hint="eastAsia" w:cs="Times New Roman"/>
                <w:color w:val="000000" w:themeColor="text1"/>
                <w:sz w:val="24"/>
                <w:szCs w:val="24"/>
                <w:u w:val="none"/>
                <w:lang w:val="en-US" w:eastAsia="zh-CN"/>
              </w:rPr>
              <w:t>流程图如下：</w:t>
            </w:r>
          </w:p>
          <w:p w14:paraId="2A6DFEDE">
            <w:pPr>
              <w:adjustRightInd w:val="0"/>
              <w:snapToGrid w:val="0"/>
              <w:spacing w:line="360" w:lineRule="auto"/>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drawing>
                <wp:inline distT="0" distB="0" distL="114300" distR="114300">
                  <wp:extent cx="5363845" cy="7141210"/>
                  <wp:effectExtent l="0" t="0" r="8255" b="2540"/>
                  <wp:docPr id="75" name="图片 75" descr="deepseek_mermaid_20260805_8df1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deepseek_mermaid_20260805_8df12a"/>
                          <pic:cNvPicPr>
                            <a:picLocks noChangeAspect="1"/>
                          </pic:cNvPicPr>
                        </pic:nvPicPr>
                        <pic:blipFill>
                          <a:blip r:embed="rId12"/>
                          <a:stretch>
                            <a:fillRect/>
                          </a:stretch>
                        </pic:blipFill>
                        <pic:spPr>
                          <a:xfrm>
                            <a:off x="0" y="0"/>
                            <a:ext cx="5363845" cy="7141210"/>
                          </a:xfrm>
                          <a:prstGeom prst="rect">
                            <a:avLst/>
                          </a:prstGeom>
                        </pic:spPr>
                      </pic:pic>
                    </a:graphicData>
                  </a:graphic>
                </wp:inline>
              </w:drawing>
            </w:r>
          </w:p>
          <w:p w14:paraId="5FF0F138">
            <w:pPr>
              <w:adjustRightInd w:val="0"/>
              <w:snapToGrid w:val="0"/>
              <w:spacing w:line="360" w:lineRule="auto"/>
              <w:jc w:val="center"/>
              <w:rPr>
                <w:rFonts w:hint="default" w:ascii="Times New Roman" w:hAnsi="Times New Roman" w:cs="Times New Roman"/>
                <w:b/>
                <w:bCs/>
                <w:color w:val="000000" w:themeColor="text1"/>
                <w:sz w:val="21"/>
                <w:szCs w:val="21"/>
                <w:u w:val="none"/>
                <w:lang w:val="en-US" w:eastAsia="zh-CN"/>
              </w:rPr>
            </w:pPr>
            <w:r>
              <w:rPr>
                <w:rFonts w:hint="eastAsia" w:cs="Times New Roman"/>
                <w:b/>
                <w:bCs/>
                <w:color w:val="000000" w:themeColor="text1"/>
                <w:sz w:val="21"/>
                <w:szCs w:val="21"/>
                <w:u w:val="none"/>
                <w:lang w:val="en-US" w:eastAsia="zh-CN"/>
              </w:rPr>
              <w:t>图4-1 综合污水处理站工艺流程图</w:t>
            </w:r>
          </w:p>
          <w:p w14:paraId="5652D642">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eastAsia" w:cs="Times New Roman"/>
                <w:color w:val="000000" w:themeColor="text1"/>
                <w:sz w:val="24"/>
                <w:szCs w:val="24"/>
                <w:u w:val="none"/>
                <w:lang w:val="en-US" w:eastAsia="zh-CN"/>
              </w:rPr>
              <w:t>综合污水处理站工艺过程说明：</w:t>
            </w:r>
          </w:p>
          <w:p w14:paraId="4B4C26CA">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1）格栅、调节池</w:t>
            </w:r>
          </w:p>
          <w:p w14:paraId="3BD125E4">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本项目医疗废水排入污水处理系统，经格栅去掉粗大的悬浮物和漂浮物，污水再排入调节池，栅渣与污水处理系统的污泥一同集中</w:t>
            </w:r>
            <w:r>
              <w:rPr>
                <w:rFonts w:hint="eastAsia" w:cs="Times New Roman"/>
                <w:color w:val="000000" w:themeColor="text1"/>
                <w:sz w:val="24"/>
                <w:szCs w:val="24"/>
                <w:u w:val="none"/>
                <w:lang w:val="en-US" w:eastAsia="zh-CN"/>
              </w:rPr>
              <w:t>处理</w:t>
            </w:r>
            <w:r>
              <w:rPr>
                <w:rFonts w:hint="default" w:ascii="Times New Roman" w:hAnsi="Times New Roman" w:cs="Times New Roman"/>
                <w:color w:val="000000" w:themeColor="text1"/>
                <w:sz w:val="24"/>
                <w:szCs w:val="24"/>
                <w:u w:val="none"/>
                <w:lang w:val="en-US" w:eastAsia="zh-CN"/>
              </w:rPr>
              <w:t>。</w:t>
            </w:r>
          </w:p>
          <w:p w14:paraId="37FFB4B5">
            <w:pPr>
              <w:adjustRightInd w:val="0"/>
              <w:snapToGrid w:val="0"/>
              <w:spacing w:line="360" w:lineRule="auto"/>
              <w:ind w:firstLine="480" w:firstLineChars="200"/>
              <w:rPr>
                <w:rFonts w:hint="default" w:ascii="Times New Roman" w:hAnsi="Times New Roman" w:cs="Times New Roman"/>
                <w:color w:val="000000" w:themeColor="text1"/>
                <w:sz w:val="24"/>
                <w:szCs w:val="24"/>
                <w:highlight w:val="none"/>
                <w:u w:val="none"/>
                <w:lang w:val="en-US" w:eastAsia="zh-CN"/>
              </w:rPr>
            </w:pPr>
            <w:r>
              <w:rPr>
                <w:rFonts w:hint="default" w:ascii="Times New Roman" w:hAnsi="Times New Roman" w:cs="Times New Roman"/>
                <w:color w:val="000000" w:themeColor="text1"/>
                <w:sz w:val="24"/>
                <w:szCs w:val="24"/>
                <w:u w:val="none"/>
                <w:lang w:val="en-US" w:eastAsia="zh-CN"/>
              </w:rPr>
              <w:t>2）</w:t>
            </w:r>
            <w:r>
              <w:rPr>
                <w:rFonts w:hint="eastAsia" w:cs="Times New Roman"/>
                <w:color w:val="000000" w:themeColor="text1"/>
                <w:sz w:val="24"/>
                <w:szCs w:val="24"/>
                <w:highlight w:val="none"/>
                <w:u w:val="none"/>
                <w:lang w:val="en-US" w:eastAsia="zh-CN"/>
              </w:rPr>
              <w:t>A/O工艺</w:t>
            </w:r>
          </w:p>
          <w:p w14:paraId="3DC5E844">
            <w:pPr>
              <w:adjustRightInd w:val="0"/>
              <w:snapToGrid w:val="0"/>
              <w:spacing w:line="360" w:lineRule="auto"/>
              <w:ind w:firstLine="480" w:firstLineChars="200"/>
              <w:rPr>
                <w:rFonts w:hint="eastAsia" w:cs="Times New Roman"/>
                <w:color w:val="000000" w:themeColor="text1"/>
                <w:sz w:val="24"/>
                <w:szCs w:val="24"/>
                <w:highlight w:val="none"/>
                <w:u w:val="none"/>
                <w:lang w:val="en-US" w:eastAsia="zh-CN"/>
              </w:rPr>
            </w:pPr>
            <w:r>
              <w:rPr>
                <w:rFonts w:hint="default" w:ascii="Times New Roman" w:hAnsi="Times New Roman" w:cs="Times New Roman"/>
                <w:color w:val="000000" w:themeColor="text1"/>
                <w:sz w:val="24"/>
                <w:szCs w:val="24"/>
                <w:u w:val="none"/>
                <w:lang w:val="en-US" w:eastAsia="zh-CN"/>
              </w:rPr>
              <w:t>进水与回流混合：</w:t>
            </w:r>
            <w:r>
              <w:rPr>
                <w:rFonts w:hint="default" w:ascii="Times New Roman" w:hAnsi="Times New Roman" w:cs="Times New Roman"/>
                <w:color w:val="000000" w:themeColor="text1"/>
                <w:sz w:val="24"/>
                <w:szCs w:val="24"/>
                <w:highlight w:val="none"/>
                <w:u w:val="none"/>
                <w:lang w:val="en-US" w:eastAsia="zh-CN"/>
              </w:rPr>
              <w:t>污水首先进入缺氧池（A段），在这里与从好氧池回流的富含硝态氮（NO₃⁻）的混合液（硝化液回流）以及从</w:t>
            </w:r>
            <w:r>
              <w:rPr>
                <w:rFonts w:hint="eastAsia" w:cs="Times New Roman"/>
                <w:color w:val="000000" w:themeColor="text1"/>
                <w:sz w:val="24"/>
                <w:szCs w:val="24"/>
                <w:highlight w:val="none"/>
                <w:u w:val="none"/>
                <w:lang w:val="en-US" w:eastAsia="zh-CN"/>
              </w:rPr>
              <w:t>沉淀池</w:t>
            </w:r>
            <w:r>
              <w:rPr>
                <w:rFonts w:hint="default" w:ascii="Times New Roman" w:hAnsi="Times New Roman" w:cs="Times New Roman"/>
                <w:color w:val="000000" w:themeColor="text1"/>
                <w:sz w:val="24"/>
                <w:szCs w:val="24"/>
                <w:highlight w:val="none"/>
                <w:u w:val="none"/>
                <w:lang w:val="en-US" w:eastAsia="zh-CN"/>
              </w:rPr>
              <w:t>回流的污泥进行混合</w:t>
            </w:r>
            <w:r>
              <w:rPr>
                <w:rFonts w:hint="eastAsia" w:cs="Times New Roman"/>
                <w:color w:val="000000" w:themeColor="text1"/>
                <w:sz w:val="24"/>
                <w:szCs w:val="24"/>
                <w:highlight w:val="none"/>
                <w:u w:val="none"/>
                <w:lang w:val="en-US" w:eastAsia="zh-CN"/>
              </w:rPr>
              <w:t xml:space="preserve">，  </w:t>
            </w:r>
          </w:p>
          <w:p w14:paraId="7075A623">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反硝化反应（A段）：</w:t>
            </w:r>
            <w:r>
              <w:rPr>
                <w:rFonts w:hint="eastAsia" w:cs="Times New Roman"/>
                <w:color w:val="000000" w:themeColor="text1"/>
                <w:sz w:val="24"/>
                <w:szCs w:val="24"/>
                <w:highlight w:val="none"/>
                <w:u w:val="none"/>
                <w:lang w:val="en-US" w:eastAsia="zh-CN"/>
              </w:rPr>
              <w:t>在缺氧（溶解氧DO&lt;0.2mg/L）环境下，反硝化细菌利用污水中的有机物作为“食物”，将回流混合液中的硝态氮（NO</w:t>
            </w:r>
            <w:r>
              <w:rPr>
                <w:rFonts w:hint="eastAsia" w:cs="Times New Roman"/>
                <w:color w:val="000000" w:themeColor="text1"/>
                <w:sz w:val="24"/>
                <w:szCs w:val="24"/>
                <w:highlight w:val="none"/>
                <w:u w:val="none"/>
                <w:vertAlign w:val="subscript"/>
                <w:lang w:val="en-US" w:eastAsia="zh-CN"/>
              </w:rPr>
              <w:t>3</w:t>
            </w:r>
            <w:r>
              <w:rPr>
                <w:rFonts w:hint="eastAsia" w:cs="Times New Roman"/>
                <w:color w:val="000000" w:themeColor="text1"/>
                <w:sz w:val="24"/>
                <w:szCs w:val="24"/>
                <w:highlight w:val="none"/>
                <w:u w:val="none"/>
                <w:lang w:val="en-US" w:eastAsia="zh-CN"/>
              </w:rPr>
              <w:t>-）还原为无害的氮气（N</w:t>
            </w:r>
            <w:r>
              <w:rPr>
                <w:rFonts w:hint="eastAsia" w:cs="Times New Roman"/>
                <w:color w:val="000000" w:themeColor="text1"/>
                <w:sz w:val="24"/>
                <w:szCs w:val="24"/>
                <w:highlight w:val="none"/>
                <w:u w:val="none"/>
                <w:vertAlign w:val="subscript"/>
                <w:lang w:val="en-US" w:eastAsia="zh-CN"/>
              </w:rPr>
              <w:t>2</w:t>
            </w:r>
            <w:r>
              <w:rPr>
                <w:rFonts w:hint="eastAsia" w:cs="Times New Roman"/>
                <w:color w:val="000000" w:themeColor="text1"/>
                <w:sz w:val="24"/>
                <w:szCs w:val="24"/>
                <w:highlight w:val="none"/>
                <w:u w:val="none"/>
                <w:lang w:val="en-US" w:eastAsia="zh-CN"/>
              </w:rPr>
              <w:t>）释放到空气中；</w:t>
            </w:r>
          </w:p>
          <w:p w14:paraId="67E19B0F">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好氧反应（O段）：经过缺氧处理的混合液进入好氧池（O段）。在这里，通过曝气维持较高的溶解氧（DO=2-4mg/L），主要发生两个反应：</w:t>
            </w:r>
          </w:p>
          <w:p w14:paraId="78EDF6BF">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去除有机物：好氧微生物将污水中剩余的有机物彻底分解。</w:t>
            </w:r>
          </w:p>
          <w:p w14:paraId="2293264D">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硝化反应：硝化细菌将污水中的氨氮（NH₃-N）氧化为硝态氮（NO₃⁻）</w:t>
            </w:r>
          </w:p>
          <w:p w14:paraId="00FA60B0">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3）沉淀池</w:t>
            </w:r>
          </w:p>
          <w:p w14:paraId="69B82345">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eastAsia" w:cs="Times New Roman"/>
                <w:color w:val="000000" w:themeColor="text1"/>
                <w:sz w:val="24"/>
                <w:szCs w:val="24"/>
                <w:u w:val="none"/>
                <w:lang w:val="en-US" w:eastAsia="zh-CN"/>
              </w:rPr>
              <w:t>A/O反应后</w:t>
            </w:r>
            <w:r>
              <w:rPr>
                <w:rFonts w:hint="default" w:ascii="Times New Roman" w:hAnsi="Times New Roman" w:cs="Times New Roman"/>
                <w:color w:val="000000" w:themeColor="text1"/>
                <w:sz w:val="24"/>
                <w:szCs w:val="24"/>
                <w:u w:val="none"/>
                <w:lang w:val="en-US" w:eastAsia="zh-CN"/>
              </w:rPr>
              <w:t>出水进入沉淀池进行沉淀，通过沉淀（过滤）去除携带病毒、病菌的颗粒物。沉淀池设计为斜管沉淀方式，</w:t>
            </w:r>
            <w:r>
              <w:rPr>
                <w:rFonts w:hint="eastAsia" w:cs="Times New Roman"/>
                <w:color w:val="000000" w:themeColor="text1"/>
                <w:sz w:val="24"/>
                <w:szCs w:val="24"/>
                <w:u w:val="none"/>
                <w:lang w:val="en-US" w:eastAsia="zh-CN"/>
              </w:rPr>
              <w:t>污泥</w:t>
            </w:r>
            <w:r>
              <w:rPr>
                <w:rFonts w:hint="default" w:ascii="Times New Roman" w:hAnsi="Times New Roman" w:cs="Times New Roman"/>
                <w:color w:val="000000" w:themeColor="text1"/>
                <w:sz w:val="24"/>
                <w:szCs w:val="24"/>
                <w:u w:val="none"/>
                <w:lang w:val="en-US" w:eastAsia="zh-CN"/>
              </w:rPr>
              <w:t>沉淀</w:t>
            </w:r>
            <w:r>
              <w:rPr>
                <w:rFonts w:hint="eastAsia" w:cs="Times New Roman"/>
                <w:color w:val="000000" w:themeColor="text1"/>
                <w:sz w:val="24"/>
                <w:szCs w:val="24"/>
                <w:u w:val="none"/>
                <w:lang w:val="en-US" w:eastAsia="zh-CN"/>
              </w:rPr>
              <w:t>至底部</w:t>
            </w:r>
            <w:r>
              <w:rPr>
                <w:rFonts w:hint="default" w:ascii="Times New Roman" w:hAnsi="Times New Roman" w:cs="Times New Roman"/>
                <w:color w:val="000000" w:themeColor="text1"/>
                <w:sz w:val="24"/>
                <w:szCs w:val="24"/>
                <w:u w:val="none"/>
                <w:lang w:val="en-US" w:eastAsia="zh-CN"/>
              </w:rPr>
              <w:t>，上清液则进入</w:t>
            </w:r>
            <w:r>
              <w:rPr>
                <w:rFonts w:hint="eastAsia" w:cs="Times New Roman"/>
                <w:color w:val="000000" w:themeColor="text1"/>
                <w:sz w:val="24"/>
                <w:szCs w:val="24"/>
                <w:u w:val="none"/>
                <w:lang w:val="en-US" w:eastAsia="zh-CN"/>
              </w:rPr>
              <w:t>消毒</w:t>
            </w:r>
            <w:r>
              <w:rPr>
                <w:rFonts w:hint="default" w:ascii="Times New Roman" w:hAnsi="Times New Roman" w:cs="Times New Roman"/>
                <w:color w:val="000000" w:themeColor="text1"/>
                <w:sz w:val="24"/>
                <w:szCs w:val="24"/>
                <w:u w:val="none"/>
                <w:lang w:val="en-US" w:eastAsia="zh-CN"/>
              </w:rPr>
              <w:t>池，经由标准化排污口计量后达标排放。</w:t>
            </w:r>
          </w:p>
          <w:p w14:paraId="361F668C">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4）消毒</w:t>
            </w:r>
          </w:p>
          <w:p w14:paraId="7688FFFF">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医院污水消毒是医院污水处理的重要工艺过程，其目的是杀灭污水中的致病菌。项目使用二氯异氰尿酸钠作为污水的消毒剂。它是一种应用广泛的高效消毒剂、杀菌灭藻剂和漂白剂，是经国家卫生部批准用于医疗污水消毒的高效环保安全型消毒剂，能迅速杀灭病毒、细菌及其芽孢、真菌等多种致病性微生物。在20ppm的低浓度下，杀菌率即可达到99%。</w:t>
            </w:r>
          </w:p>
          <w:p w14:paraId="6FCB8124">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5）污泥处理</w:t>
            </w:r>
          </w:p>
          <w:p w14:paraId="78EFDC1B">
            <w:pPr>
              <w:adjustRightInd w:val="0"/>
              <w:snapToGrid w:val="0"/>
              <w:spacing w:line="360" w:lineRule="auto"/>
              <w:ind w:firstLine="480" w:firstLineChars="200"/>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污水处理系统定期应对系统内的污泥进行清掏，</w:t>
            </w:r>
            <w:r>
              <w:rPr>
                <w:rFonts w:hint="eastAsia" w:cs="Times New Roman"/>
                <w:color w:val="000000" w:themeColor="text1"/>
                <w:sz w:val="24"/>
                <w:szCs w:val="24"/>
                <w:u w:val="none"/>
                <w:lang w:val="en-US" w:eastAsia="zh-CN"/>
              </w:rPr>
              <w:t>本项目委托专业机构用污泥车进行污泥清掏、消毒和压滤作业</w:t>
            </w:r>
            <w:r>
              <w:rPr>
                <w:rFonts w:hint="default"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污泥消毒、压滤工序均在污泥车内完成，污泥</w:t>
            </w:r>
            <w:r>
              <w:rPr>
                <w:rFonts w:hint="default" w:ascii="Times New Roman" w:hAnsi="Times New Roman" w:cs="Times New Roman"/>
                <w:color w:val="000000" w:themeColor="text1"/>
                <w:sz w:val="24"/>
                <w:szCs w:val="24"/>
                <w:u w:val="none"/>
                <w:lang w:val="en-US" w:eastAsia="zh-CN"/>
              </w:rPr>
              <w:t>消毒药剂采用</w:t>
            </w:r>
            <w:r>
              <w:rPr>
                <w:rFonts w:hint="eastAsia" w:cs="Times New Roman"/>
                <w:color w:val="000000" w:themeColor="text1"/>
                <w:sz w:val="24"/>
                <w:szCs w:val="24"/>
                <w:u w:val="none"/>
                <w:lang w:val="en-US" w:eastAsia="zh-CN"/>
              </w:rPr>
              <w:t>熟</w:t>
            </w:r>
            <w:r>
              <w:rPr>
                <w:rFonts w:hint="default" w:ascii="Times New Roman" w:hAnsi="Times New Roman" w:cs="Times New Roman"/>
                <w:color w:val="000000" w:themeColor="text1"/>
                <w:sz w:val="24"/>
                <w:szCs w:val="24"/>
                <w:u w:val="none"/>
                <w:lang w:val="en-US" w:eastAsia="zh-CN"/>
              </w:rPr>
              <w:t>石灰消毒。</w:t>
            </w:r>
            <w:r>
              <w:rPr>
                <w:rFonts w:hint="eastAsia" w:cs="Times New Roman"/>
                <w:color w:val="000000" w:themeColor="text1"/>
                <w:sz w:val="24"/>
                <w:szCs w:val="24"/>
                <w:u w:val="none"/>
                <w:lang w:val="en-US" w:eastAsia="zh-CN"/>
              </w:rPr>
              <w:t>压滤</w:t>
            </w:r>
            <w:r>
              <w:rPr>
                <w:rFonts w:hint="default" w:ascii="Times New Roman" w:hAnsi="Times New Roman" w:cs="Times New Roman"/>
                <w:color w:val="000000" w:themeColor="text1"/>
                <w:sz w:val="24"/>
                <w:szCs w:val="24"/>
                <w:u w:val="none"/>
                <w:lang w:val="en-US" w:eastAsia="zh-CN"/>
              </w:rPr>
              <w:t>后的污泥委托</w:t>
            </w:r>
            <w:r>
              <w:rPr>
                <w:rFonts w:hint="eastAsia" w:cs="Times New Roman"/>
                <w:color w:val="000000" w:themeColor="text1"/>
                <w:sz w:val="24"/>
                <w:szCs w:val="24"/>
                <w:u w:val="none"/>
                <w:lang w:val="en-US" w:eastAsia="zh-CN"/>
              </w:rPr>
              <w:t>暂存于危废暂存间中，定期由</w:t>
            </w:r>
            <w:r>
              <w:rPr>
                <w:rFonts w:hint="default" w:ascii="Times New Roman" w:hAnsi="Times New Roman" w:cs="Times New Roman"/>
                <w:color w:val="000000" w:themeColor="text1"/>
                <w:sz w:val="24"/>
                <w:szCs w:val="24"/>
                <w:u w:val="none"/>
                <w:lang w:val="en-US" w:eastAsia="zh-CN"/>
              </w:rPr>
              <w:t>资质单位处理</w:t>
            </w:r>
            <w:r>
              <w:rPr>
                <w:rFonts w:hint="eastAsia" w:cs="Times New Roman"/>
                <w:color w:val="000000" w:themeColor="text1"/>
                <w:sz w:val="24"/>
                <w:szCs w:val="24"/>
                <w:u w:val="none"/>
                <w:lang w:val="en-US" w:eastAsia="zh-CN"/>
              </w:rPr>
              <w:t>。</w:t>
            </w:r>
          </w:p>
          <w:p w14:paraId="4ECCFA5F">
            <w:pPr>
              <w:adjustRightInd w:val="0"/>
              <w:snapToGrid w:val="0"/>
              <w:spacing w:line="360" w:lineRule="auto"/>
              <w:ind w:firstLine="480" w:firstLineChars="200"/>
              <w:rPr>
                <w:rFonts w:hint="default" w:eastAsia="宋体" w:cs="Times New Roman"/>
                <w:color w:val="000000" w:themeColor="text1"/>
                <w:sz w:val="24"/>
                <w:szCs w:val="24"/>
                <w:u w:val="none"/>
                <w:lang w:val="en-US" w:eastAsia="zh-CN"/>
              </w:rPr>
            </w:pPr>
            <w:r>
              <w:rPr>
                <w:rFonts w:hint="eastAsia" w:cs="Times New Roman"/>
                <w:color w:val="000000" w:themeColor="text1"/>
                <w:sz w:val="24"/>
                <w:szCs w:val="24"/>
                <w:u w:val="none"/>
                <w:lang w:val="en-US" w:eastAsia="zh-CN"/>
              </w:rPr>
              <w:t>经前文分析可知，</w:t>
            </w:r>
            <w:r>
              <w:rPr>
                <w:rFonts w:hint="default" w:ascii="Times New Roman" w:hAnsi="Times New Roman" w:cs="Times New Roman"/>
                <w:color w:val="000000" w:themeColor="text1"/>
                <w:sz w:val="24"/>
                <w:szCs w:val="24"/>
                <w:u w:val="none"/>
                <w:lang w:val="en-US" w:eastAsia="zh-CN"/>
              </w:rPr>
              <w:t>本项目利用原有的化粪池、传染病废水预处理系统和综合污水处理站，</w:t>
            </w:r>
            <w:r>
              <w:rPr>
                <w:rFonts w:hint="eastAsia" w:cs="Times New Roman"/>
                <w:color w:val="000000" w:themeColor="text1"/>
                <w:sz w:val="24"/>
                <w:szCs w:val="24"/>
                <w:u w:val="none"/>
                <w:lang w:val="en-US" w:eastAsia="zh-CN"/>
              </w:rPr>
              <w:t>整套污水处理系统的处理能力满足本项目使用需求，采用的工艺符合</w:t>
            </w:r>
            <w:r>
              <w:rPr>
                <w:rFonts w:hint="default" w:ascii="Times New Roman" w:hAnsi="Times New Roman" w:eastAsia="宋体" w:cs="Times New Roman"/>
                <w:color w:val="000000" w:themeColor="text1"/>
                <w:sz w:val="24"/>
                <w:szCs w:val="24"/>
                <w:u w:val="none"/>
              </w:rPr>
              <w:t>《</w:t>
            </w:r>
            <w:r>
              <w:rPr>
                <w:rFonts w:hint="eastAsia" w:cs="Times New Roman"/>
                <w:color w:val="000000" w:themeColor="text1"/>
                <w:sz w:val="24"/>
                <w:szCs w:val="24"/>
                <w:u w:val="none"/>
                <w:lang w:eastAsia="zh-CN"/>
              </w:rPr>
              <w:t>排污许可证申请与核发技术规范</w:t>
            </w:r>
            <w:r>
              <w:rPr>
                <w:rFonts w:hint="default" w:ascii="Times New Roman" w:hAnsi="Times New Roman" w:eastAsia="宋体" w:cs="Times New Roman"/>
                <w:color w:val="000000" w:themeColor="text1"/>
                <w:sz w:val="24"/>
                <w:szCs w:val="24"/>
                <w:u w:val="none"/>
              </w:rPr>
              <w:t xml:space="preserve"> 医疗机构》</w:t>
            </w:r>
            <w:r>
              <w:rPr>
                <w:rFonts w:hint="default" w:ascii="Times New Roman" w:hAnsi="Times New Roman" w:eastAsia="宋体" w:cs="Times New Roman"/>
                <w:color w:val="000000" w:themeColor="text1"/>
                <w:sz w:val="24"/>
                <w:szCs w:val="24"/>
              </w:rPr>
              <w:t>（HJ 1105-2020）</w:t>
            </w:r>
            <w:r>
              <w:rPr>
                <w:rFonts w:hint="eastAsia" w:cs="Times New Roman"/>
                <w:color w:val="000000" w:themeColor="text1"/>
                <w:sz w:val="24"/>
                <w:szCs w:val="24"/>
                <w:lang w:val="en-US" w:eastAsia="zh-CN"/>
              </w:rPr>
              <w:t>相关要求，</w:t>
            </w:r>
            <w:r>
              <w:rPr>
                <w:rFonts w:hint="default" w:ascii="Times New Roman" w:hAnsi="Times New Roman" w:eastAsia="宋体" w:cs="Times New Roman"/>
                <w:color w:val="000000" w:themeColor="text1"/>
                <w:sz w:val="24"/>
                <w:szCs w:val="24"/>
                <w:u w:val="none"/>
              </w:rPr>
              <w:t>处理后的废水能满足《医疗机构水污染物排放标准》（GB18466-2005）排放标准的要求</w:t>
            </w:r>
            <w:r>
              <w:rPr>
                <w:rFonts w:hint="eastAsia" w:cs="Times New Roman"/>
                <w:color w:val="000000" w:themeColor="text1"/>
                <w:sz w:val="24"/>
                <w:szCs w:val="24"/>
                <w:u w:val="none"/>
                <w:lang w:val="en-US" w:eastAsia="zh-CN"/>
              </w:rPr>
              <w:t>和南津港污水处理厂接管要求，并且整</w:t>
            </w:r>
            <w:r>
              <w:rPr>
                <w:rFonts w:hint="default" w:ascii="Times New Roman" w:hAnsi="Times New Roman" w:cs="Times New Roman"/>
                <w:color w:val="000000" w:themeColor="text1"/>
                <w:sz w:val="24"/>
                <w:szCs w:val="24"/>
                <w:u w:val="none"/>
                <w:lang w:val="en-US" w:eastAsia="zh-CN"/>
              </w:rPr>
              <w:t>套污水处理系统已经完成验收（附件9），并设有水质在线监测设备，已与生态环境局完成联网验收，监测因子：流量、总余氯、pH、COD、氨氮、总磷、总氮</w:t>
            </w:r>
            <w:r>
              <w:rPr>
                <w:rFonts w:hint="default" w:ascii="Times New Roman" w:hAnsi="Times New Roman" w:eastAsia="宋体" w:cs="Times New Roman"/>
                <w:color w:val="000000" w:themeColor="text1"/>
                <w:sz w:val="24"/>
                <w:szCs w:val="24"/>
                <w:u w:val="none"/>
              </w:rPr>
              <w:t>，</w:t>
            </w:r>
            <w:r>
              <w:rPr>
                <w:rFonts w:hint="default" w:ascii="Times New Roman" w:hAnsi="Times New Roman" w:cs="Times New Roman"/>
                <w:color w:val="000000" w:themeColor="text1"/>
                <w:sz w:val="24"/>
                <w:szCs w:val="24"/>
                <w:u w:val="none"/>
                <w:lang w:val="en-US" w:eastAsia="zh-CN"/>
              </w:rPr>
              <w:t>污水处理站运行情况稳定</w:t>
            </w:r>
            <w:r>
              <w:rPr>
                <w:rFonts w:hint="eastAsia" w:cs="Times New Roman"/>
                <w:color w:val="000000" w:themeColor="text1"/>
                <w:sz w:val="24"/>
                <w:szCs w:val="24"/>
                <w:u w:val="none"/>
                <w:lang w:val="en-US" w:eastAsia="zh-CN"/>
              </w:rPr>
              <w:t>。综上所述，本项目采取的污水处理工艺，措施可行。</w:t>
            </w:r>
          </w:p>
          <w:p w14:paraId="5944203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default" w:ascii="Times New Roman" w:hAnsi="Times New Roman" w:eastAsia="宋体" w:cs="Times New Roman"/>
                <w:b/>
                <w:bCs/>
                <w:color w:val="000000" w:themeColor="text1"/>
                <w:sz w:val="24"/>
                <w:szCs w:val="24"/>
                <w:lang w:val="en-US" w:eastAsia="zh-CN"/>
              </w:rPr>
            </w:pPr>
            <w:r>
              <w:rPr>
                <w:rFonts w:hint="eastAsia" w:cs="Times New Roman"/>
                <w:b/>
                <w:bCs/>
                <w:color w:val="000000" w:themeColor="text1"/>
                <w:sz w:val="24"/>
                <w:szCs w:val="24"/>
                <w:lang w:eastAsia="zh-CN"/>
              </w:rPr>
              <w:t>（</w:t>
            </w:r>
            <w:r>
              <w:rPr>
                <w:rFonts w:hint="eastAsia" w:cs="Times New Roman"/>
                <w:b/>
                <w:bCs/>
                <w:color w:val="000000" w:themeColor="text1"/>
                <w:sz w:val="24"/>
                <w:szCs w:val="24"/>
                <w:lang w:val="en-US" w:eastAsia="zh-CN"/>
              </w:rPr>
              <w:t>3</w:t>
            </w:r>
            <w:r>
              <w:rPr>
                <w:rFonts w:hint="eastAsia" w:cs="Times New Roman"/>
                <w:b/>
                <w:bCs/>
                <w:color w:val="000000" w:themeColor="text1"/>
                <w:sz w:val="24"/>
                <w:szCs w:val="24"/>
                <w:lang w:eastAsia="zh-CN"/>
              </w:rPr>
              <w:t>）</w:t>
            </w:r>
            <w:r>
              <w:rPr>
                <w:rFonts w:hint="eastAsia" w:cs="Times New Roman"/>
                <w:b/>
                <w:bCs/>
                <w:color w:val="000000" w:themeColor="text1"/>
                <w:sz w:val="24"/>
                <w:szCs w:val="24"/>
                <w:lang w:val="en-US" w:eastAsia="zh-CN"/>
              </w:rPr>
              <w:t>项目废水进南津港污水处理厂处理可行性分析</w:t>
            </w:r>
          </w:p>
          <w:p w14:paraId="5AE570B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s="Times New Roman"/>
                <w:b w:val="0"/>
                <w:bCs w:val="0"/>
                <w:color w:val="000000" w:themeColor="text1"/>
                <w:sz w:val="24"/>
                <w:szCs w:val="24"/>
                <w:lang w:val="en-US" w:eastAsia="zh-CN"/>
              </w:rPr>
            </w:pPr>
            <w:r>
              <w:rPr>
                <w:rFonts w:hint="eastAsia" w:cs="Times New Roman"/>
                <w:b w:val="0"/>
                <w:bCs w:val="0"/>
                <w:color w:val="000000" w:themeColor="text1"/>
                <w:sz w:val="24"/>
                <w:szCs w:val="24"/>
                <w:lang w:val="en-US" w:eastAsia="zh-CN"/>
              </w:rPr>
              <w:t>南津港污水处理厂位于岳阳市南津港五十亩湖处。一期占地面积81.5亩，污水处理设计能力10万m</w:t>
            </w:r>
            <w:r>
              <w:rPr>
                <w:rFonts w:hint="eastAsia" w:cs="Times New Roman"/>
                <w:b w:val="0"/>
                <w:bCs w:val="0"/>
                <w:color w:val="000000" w:themeColor="text1"/>
                <w:sz w:val="24"/>
                <w:szCs w:val="24"/>
                <w:vertAlign w:val="superscript"/>
                <w:lang w:val="en-US" w:eastAsia="zh-CN"/>
              </w:rPr>
              <w:t>3</w:t>
            </w:r>
            <w:r>
              <w:rPr>
                <w:rFonts w:hint="eastAsia" w:cs="Times New Roman"/>
                <w:b w:val="0"/>
                <w:bCs w:val="0"/>
                <w:color w:val="000000" w:themeColor="text1"/>
                <w:sz w:val="24"/>
                <w:szCs w:val="24"/>
                <w:lang w:val="en-US" w:eastAsia="zh-CN"/>
              </w:rPr>
              <w:t>/d，二期扩建规模7万m</w:t>
            </w:r>
            <w:r>
              <w:rPr>
                <w:rFonts w:hint="eastAsia" w:cs="Times New Roman"/>
                <w:b w:val="0"/>
                <w:bCs w:val="0"/>
                <w:color w:val="000000" w:themeColor="text1"/>
                <w:sz w:val="24"/>
                <w:szCs w:val="24"/>
                <w:vertAlign w:val="superscript"/>
                <w:lang w:val="en-US" w:eastAsia="zh-CN"/>
              </w:rPr>
              <w:t>3</w:t>
            </w:r>
            <w:r>
              <w:rPr>
                <w:rFonts w:hint="eastAsia" w:cs="Times New Roman"/>
                <w:b w:val="0"/>
                <w:bCs w:val="0"/>
                <w:color w:val="000000" w:themeColor="text1"/>
                <w:sz w:val="24"/>
                <w:szCs w:val="24"/>
                <w:lang w:val="en-US" w:eastAsia="zh-CN"/>
              </w:rPr>
              <w:t>/d，占地54亩，总规模17万m</w:t>
            </w:r>
            <w:r>
              <w:rPr>
                <w:rFonts w:hint="eastAsia" w:cs="Times New Roman"/>
                <w:b w:val="0"/>
                <w:bCs w:val="0"/>
                <w:color w:val="000000" w:themeColor="text1"/>
                <w:sz w:val="24"/>
                <w:szCs w:val="24"/>
                <w:vertAlign w:val="superscript"/>
                <w:lang w:val="en-US" w:eastAsia="zh-CN"/>
              </w:rPr>
              <w:t>3</w:t>
            </w:r>
            <w:r>
              <w:rPr>
                <w:rFonts w:hint="eastAsia" w:cs="Times New Roman"/>
                <w:b w:val="0"/>
                <w:bCs w:val="0"/>
                <w:color w:val="000000" w:themeColor="text1"/>
                <w:sz w:val="24"/>
                <w:szCs w:val="24"/>
                <w:lang w:val="en-US" w:eastAsia="zh-CN"/>
              </w:rPr>
              <w:t>/d，总占地135.5亩。二期工程于2009年11月竣工，处理量7万吨/d，纳污面积为1344公顷，采用活性污泥工艺，由涡流沉砂池、微孔曝气池和二次沉淀池组成，将生物处理构筑物分为缺氧区和好氧区，选用从池底曝气的活性污泥法。处理出水能够达到《城镇污水处理厂污染物排放标准》(GB18918-2002)一级A标准，排入东洞庭湖。</w:t>
            </w:r>
          </w:p>
          <w:p w14:paraId="7629CF6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cs="Times New Roman"/>
                <w:b w:val="0"/>
                <w:bCs w:val="0"/>
                <w:color w:val="000000" w:themeColor="text1"/>
                <w:sz w:val="24"/>
                <w:szCs w:val="24"/>
                <w:lang w:val="en-US" w:eastAsia="zh-CN"/>
              </w:rPr>
            </w:pPr>
            <w:r>
              <w:rPr>
                <w:rFonts w:hint="eastAsia" w:cs="Times New Roman"/>
                <w:b w:val="0"/>
                <w:bCs w:val="0"/>
                <w:color w:val="000000" w:themeColor="text1"/>
                <w:sz w:val="24"/>
                <w:szCs w:val="24"/>
                <w:lang w:val="en-US" w:eastAsia="zh-CN"/>
              </w:rPr>
              <w:t>项目属于南津港污水处理厂的纳污范围，区域内污水管网已经敷设完成，且</w:t>
            </w:r>
            <w:r>
              <w:rPr>
                <w:rFonts w:hint="default" w:ascii="Times New Roman" w:hAnsi="Times New Roman" w:cs="Times New Roman"/>
                <w:color w:val="000000" w:themeColor="text1"/>
                <w:sz w:val="24"/>
                <w:szCs w:val="24"/>
                <w:lang w:val="en-US" w:eastAsia="zh-CN"/>
              </w:rPr>
              <w:t>原岳阳市中心医院金鹗山院区总排放口已完成接管</w:t>
            </w:r>
            <w:r>
              <w:rPr>
                <w:rFonts w:hint="eastAsia" w:cs="Times New Roman"/>
                <w:b w:val="0"/>
                <w:bCs w:val="0"/>
                <w:color w:val="000000" w:themeColor="text1"/>
                <w:sz w:val="24"/>
                <w:szCs w:val="24"/>
                <w:lang w:val="en-US" w:eastAsia="zh-CN"/>
              </w:rPr>
              <w:t>，因此项目废水可直接通过市政污水管网排入南津港污水处理厂进一步处理，处理达标后外排至东洞庭湖。项目营运期外排废水总量为</w:t>
            </w:r>
            <w:r>
              <w:rPr>
                <w:rFonts w:hint="default" w:ascii="Times New Roman" w:hAnsi="Times New Roman" w:cs="Times New Roman"/>
                <w:color w:val="000000" w:themeColor="text1"/>
                <w:sz w:val="24"/>
                <w:szCs w:val="24"/>
                <w:u w:val="none"/>
                <w:lang w:val="en-US" w:eastAsia="zh-CN"/>
              </w:rPr>
              <w:t>16</w:t>
            </w:r>
            <w:r>
              <w:rPr>
                <w:rFonts w:hint="eastAsia" w:cs="Times New Roman"/>
                <w:color w:val="000000" w:themeColor="text1"/>
                <w:sz w:val="24"/>
                <w:szCs w:val="24"/>
                <w:u w:val="none"/>
                <w:lang w:val="en-US" w:eastAsia="zh-CN"/>
              </w:rPr>
              <w:t>1.6</w:t>
            </w:r>
            <w:r>
              <w:rPr>
                <w:rFonts w:hint="eastAsia" w:cs="Times New Roman"/>
                <w:b w:val="0"/>
                <w:bCs w:val="0"/>
                <w:color w:val="000000" w:themeColor="text1"/>
                <w:sz w:val="24"/>
                <w:szCs w:val="24"/>
                <w:lang w:val="en-US" w:eastAsia="zh-CN"/>
              </w:rPr>
              <w:t>m</w:t>
            </w:r>
            <w:r>
              <w:rPr>
                <w:rFonts w:hint="eastAsia" w:cs="Times New Roman"/>
                <w:b w:val="0"/>
                <w:bCs w:val="0"/>
                <w:color w:val="000000" w:themeColor="text1"/>
                <w:sz w:val="24"/>
                <w:szCs w:val="24"/>
                <w:vertAlign w:val="superscript"/>
                <w:lang w:val="en-US" w:eastAsia="zh-CN"/>
              </w:rPr>
              <w:t>3</w:t>
            </w:r>
            <w:r>
              <w:rPr>
                <w:rFonts w:hint="eastAsia" w:cs="Times New Roman"/>
                <w:b w:val="0"/>
                <w:bCs w:val="0"/>
                <w:color w:val="000000" w:themeColor="text1"/>
                <w:sz w:val="24"/>
                <w:szCs w:val="24"/>
                <w:lang w:val="en-US" w:eastAsia="zh-CN"/>
              </w:rPr>
              <w:t>/d，仅占南津港污水处理厂处理规模的0.09%，且本项目废水污染物的排放浓度满足其接管要求，对其冲击很小。因此，本项目废水纳入南津港污水处理厂处理是可行的。</w:t>
            </w:r>
          </w:p>
          <w:p w14:paraId="20F0CCEB">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w:t>
            </w:r>
            <w:r>
              <w:rPr>
                <w:rFonts w:hint="eastAsia" w:cs="Times New Roman"/>
                <w:b/>
                <w:bCs/>
                <w:color w:val="000000" w:themeColor="text1"/>
                <w:sz w:val="24"/>
                <w:szCs w:val="24"/>
                <w:lang w:val="en-US" w:eastAsia="zh-CN"/>
              </w:rPr>
              <w:t>4</w:t>
            </w:r>
            <w:r>
              <w:rPr>
                <w:rFonts w:hint="default" w:ascii="Times New Roman" w:hAnsi="Times New Roman" w:eastAsia="宋体" w:cs="Times New Roman"/>
                <w:b/>
                <w:bCs/>
                <w:color w:val="000000" w:themeColor="text1"/>
                <w:sz w:val="24"/>
                <w:szCs w:val="24"/>
              </w:rPr>
              <w:t>）排放口设置情况</w:t>
            </w:r>
          </w:p>
          <w:p w14:paraId="64682C1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本项目废水属于间接排放，排放口基本情况见下表。</w:t>
            </w:r>
          </w:p>
          <w:p w14:paraId="7CB8605D">
            <w:pPr>
              <w:spacing w:line="360" w:lineRule="auto"/>
              <w:jc w:val="center"/>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表4-</w:t>
            </w:r>
            <w:r>
              <w:rPr>
                <w:rFonts w:hint="default" w:ascii="Times New Roman" w:hAnsi="Times New Roman" w:cs="Times New Roman"/>
                <w:b/>
                <w:bCs/>
                <w:color w:val="000000" w:themeColor="text1"/>
                <w:sz w:val="21"/>
                <w:szCs w:val="21"/>
                <w:lang w:val="en-US" w:eastAsia="zh-CN"/>
              </w:rPr>
              <w:t>1</w:t>
            </w:r>
            <w:r>
              <w:rPr>
                <w:rFonts w:hint="eastAsia" w:cs="Times New Roman"/>
                <w:b/>
                <w:bCs/>
                <w:color w:val="000000" w:themeColor="text1"/>
                <w:sz w:val="21"/>
                <w:szCs w:val="21"/>
                <w:lang w:val="en-US" w:eastAsia="zh-CN"/>
              </w:rPr>
              <w:t>5</w:t>
            </w:r>
            <w:r>
              <w:rPr>
                <w:rFonts w:hint="default" w:ascii="Times New Roman" w:hAnsi="Times New Roman" w:eastAsia="宋体" w:cs="Times New Roman"/>
                <w:b/>
                <w:bCs/>
                <w:color w:val="000000" w:themeColor="text1"/>
                <w:sz w:val="21"/>
                <w:szCs w:val="21"/>
              </w:rPr>
              <w:t xml:space="preserve"> </w:t>
            </w:r>
            <w:r>
              <w:rPr>
                <w:rFonts w:hint="default" w:ascii="Times New Roman" w:hAnsi="Times New Roman" w:cs="Times New Roman"/>
                <w:b/>
                <w:bCs/>
                <w:color w:val="000000" w:themeColor="text1"/>
                <w:u w:val="none"/>
              </w:rPr>
              <w:t>废水类别与污染物及污染治理设施信息表</w:t>
            </w:r>
          </w:p>
          <w:tbl>
            <w:tblPr>
              <w:tblStyle w:val="24"/>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55"/>
              <w:gridCol w:w="600"/>
              <w:gridCol w:w="1440"/>
              <w:gridCol w:w="585"/>
              <w:gridCol w:w="735"/>
              <w:gridCol w:w="675"/>
              <w:gridCol w:w="705"/>
              <w:gridCol w:w="750"/>
              <w:gridCol w:w="560"/>
              <w:gridCol w:w="734"/>
              <w:gridCol w:w="1342"/>
            </w:tblGrid>
            <w:tr w14:paraId="3456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55" w:type="dxa"/>
                  <w:vMerge w:val="restart"/>
                  <w:vAlign w:val="center"/>
                </w:tcPr>
                <w:p w14:paraId="3BB64F7D">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序号</w:t>
                  </w:r>
                </w:p>
              </w:tc>
              <w:tc>
                <w:tcPr>
                  <w:tcW w:w="600" w:type="dxa"/>
                  <w:vMerge w:val="restart"/>
                  <w:vAlign w:val="center"/>
                </w:tcPr>
                <w:p w14:paraId="773F655C">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废水类别</w:t>
                  </w:r>
                </w:p>
              </w:tc>
              <w:tc>
                <w:tcPr>
                  <w:tcW w:w="1440" w:type="dxa"/>
                  <w:vMerge w:val="restart"/>
                  <w:vAlign w:val="center"/>
                </w:tcPr>
                <w:p w14:paraId="0BAD0F21">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污染物种类</w:t>
                  </w:r>
                </w:p>
              </w:tc>
              <w:tc>
                <w:tcPr>
                  <w:tcW w:w="585" w:type="dxa"/>
                  <w:vMerge w:val="restart"/>
                  <w:vAlign w:val="center"/>
                </w:tcPr>
                <w:p w14:paraId="13657CED">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排放去向</w:t>
                  </w:r>
                </w:p>
              </w:tc>
              <w:tc>
                <w:tcPr>
                  <w:tcW w:w="735" w:type="dxa"/>
                  <w:vMerge w:val="restart"/>
                  <w:vAlign w:val="center"/>
                </w:tcPr>
                <w:p w14:paraId="224E028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排放规律</w:t>
                  </w:r>
                </w:p>
              </w:tc>
              <w:tc>
                <w:tcPr>
                  <w:tcW w:w="2130" w:type="dxa"/>
                  <w:gridSpan w:val="3"/>
                  <w:vAlign w:val="center"/>
                </w:tcPr>
                <w:p w14:paraId="2949D0DE">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污染治理设施</w:t>
                  </w:r>
                </w:p>
              </w:tc>
              <w:tc>
                <w:tcPr>
                  <w:tcW w:w="560" w:type="dxa"/>
                  <w:vMerge w:val="restart"/>
                  <w:vAlign w:val="center"/>
                </w:tcPr>
                <w:p w14:paraId="0D7BD51F">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排放口编号</w:t>
                  </w:r>
                </w:p>
              </w:tc>
              <w:tc>
                <w:tcPr>
                  <w:tcW w:w="734" w:type="dxa"/>
                  <w:vMerge w:val="restart"/>
                  <w:vAlign w:val="center"/>
                </w:tcPr>
                <w:p w14:paraId="1E1143B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排放口设置是否符合要求</w:t>
                  </w:r>
                </w:p>
              </w:tc>
              <w:tc>
                <w:tcPr>
                  <w:tcW w:w="1342" w:type="dxa"/>
                  <w:vMerge w:val="restart"/>
                  <w:vAlign w:val="center"/>
                </w:tcPr>
                <w:p w14:paraId="4D7A71DF">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排放口类型</w:t>
                  </w:r>
                </w:p>
              </w:tc>
            </w:tr>
            <w:tr w14:paraId="4A23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55" w:type="dxa"/>
                  <w:vMerge w:val="continue"/>
                  <w:vAlign w:val="center"/>
                </w:tcPr>
                <w:p w14:paraId="07C602DB">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c>
                <w:tcPr>
                  <w:tcW w:w="600" w:type="dxa"/>
                  <w:vMerge w:val="continue"/>
                  <w:vAlign w:val="center"/>
                </w:tcPr>
                <w:p w14:paraId="1CD56852">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c>
                <w:tcPr>
                  <w:tcW w:w="1440" w:type="dxa"/>
                  <w:vMerge w:val="continue"/>
                  <w:vAlign w:val="center"/>
                </w:tcPr>
                <w:p w14:paraId="29B810DB">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c>
                <w:tcPr>
                  <w:tcW w:w="585" w:type="dxa"/>
                  <w:vMerge w:val="continue"/>
                  <w:vAlign w:val="center"/>
                </w:tcPr>
                <w:p w14:paraId="48266D1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c>
                <w:tcPr>
                  <w:tcW w:w="735" w:type="dxa"/>
                  <w:vMerge w:val="continue"/>
                  <w:vAlign w:val="center"/>
                </w:tcPr>
                <w:p w14:paraId="09F8C68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c>
                <w:tcPr>
                  <w:tcW w:w="675" w:type="dxa"/>
                  <w:vAlign w:val="center"/>
                </w:tcPr>
                <w:p w14:paraId="2AF711BA">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污染治理设施编号</w:t>
                  </w:r>
                </w:p>
              </w:tc>
              <w:tc>
                <w:tcPr>
                  <w:tcW w:w="705" w:type="dxa"/>
                  <w:vAlign w:val="center"/>
                </w:tcPr>
                <w:p w14:paraId="1F320111">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污染治理设施名称</w:t>
                  </w:r>
                </w:p>
              </w:tc>
              <w:tc>
                <w:tcPr>
                  <w:tcW w:w="750" w:type="dxa"/>
                  <w:vAlign w:val="center"/>
                </w:tcPr>
                <w:p w14:paraId="0C829229">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b/>
                      <w:bCs/>
                      <w:color w:val="000000" w:themeColor="text1"/>
                      <w:u w:val="none"/>
                    </w:rPr>
                  </w:pPr>
                  <w:r>
                    <w:rPr>
                      <w:rFonts w:hint="default" w:ascii="Times New Roman" w:hAnsi="Times New Roman" w:eastAsia="宋体" w:cs="Times New Roman"/>
                      <w:b/>
                      <w:bCs/>
                      <w:color w:val="000000" w:themeColor="text1"/>
                      <w:u w:val="none"/>
                    </w:rPr>
                    <w:t>污染治理设施工艺</w:t>
                  </w:r>
                </w:p>
              </w:tc>
              <w:tc>
                <w:tcPr>
                  <w:tcW w:w="560" w:type="dxa"/>
                  <w:vMerge w:val="continue"/>
                  <w:vAlign w:val="center"/>
                </w:tcPr>
                <w:p w14:paraId="527BA318">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c>
                <w:tcPr>
                  <w:tcW w:w="734" w:type="dxa"/>
                  <w:vMerge w:val="continue"/>
                  <w:vAlign w:val="center"/>
                </w:tcPr>
                <w:p w14:paraId="2ED9D484">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c>
                <w:tcPr>
                  <w:tcW w:w="1342" w:type="dxa"/>
                  <w:vMerge w:val="continue"/>
                  <w:vAlign w:val="center"/>
                </w:tcPr>
                <w:p w14:paraId="78EE56AA">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tc>
            </w:tr>
            <w:tr w14:paraId="3527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55" w:type="dxa"/>
                  <w:vAlign w:val="center"/>
                </w:tcPr>
                <w:p w14:paraId="6BC85709">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p>
                <w:p w14:paraId="5A32C532">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1</w:t>
                  </w:r>
                </w:p>
              </w:tc>
              <w:tc>
                <w:tcPr>
                  <w:tcW w:w="600" w:type="dxa"/>
                  <w:vAlign w:val="center"/>
                </w:tcPr>
                <w:p w14:paraId="07C61CD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eastAsia" w:cs="Times New Roman"/>
                      <w:color w:val="000000" w:themeColor="text1"/>
                      <w:u w:val="none"/>
                      <w:lang w:val="en-US" w:eastAsia="zh-CN"/>
                    </w:rPr>
                    <w:t>综合</w:t>
                  </w:r>
                  <w:r>
                    <w:rPr>
                      <w:rFonts w:hint="default" w:ascii="Times New Roman" w:hAnsi="Times New Roman" w:eastAsia="宋体" w:cs="Times New Roman"/>
                      <w:color w:val="000000" w:themeColor="text1"/>
                      <w:u w:val="none"/>
                    </w:rPr>
                    <w:t>废水</w:t>
                  </w:r>
                </w:p>
              </w:tc>
              <w:tc>
                <w:tcPr>
                  <w:tcW w:w="1440" w:type="dxa"/>
                  <w:vAlign w:val="center"/>
                </w:tcPr>
                <w:p w14:paraId="519BBA6D">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default" w:ascii="Times New Roman" w:hAnsi="Times New Roman" w:eastAsia="宋体" w:cs="Times New Roman"/>
                      <w:color w:val="000000" w:themeColor="text1"/>
                      <w:sz w:val="21"/>
                      <w:szCs w:val="21"/>
                      <w:lang w:eastAsia="zh-CN"/>
                    </w:rPr>
                    <w:t>、肠道致病菌、肠道病毒、结核杆菌</w:t>
                  </w:r>
                  <w:r>
                    <w:rPr>
                      <w:rFonts w:hint="default" w:ascii="Times New Roman" w:hAnsi="Times New Roman" w:eastAsia="宋体" w:cs="Times New Roman"/>
                      <w:color w:val="000000" w:themeColor="text1"/>
                      <w:sz w:val="21"/>
                      <w:szCs w:val="21"/>
                    </w:rPr>
                    <w:t>、石油类</w:t>
                  </w:r>
                  <w:r>
                    <w:rPr>
                      <w:rFonts w:hint="default" w:ascii="Times New Roman" w:hAnsi="Times New Roman" w:eastAsia="宋体" w:cs="Times New Roman"/>
                      <w:color w:val="000000" w:themeColor="text1"/>
                      <w:sz w:val="21"/>
                      <w:szCs w:val="21"/>
                      <w:lang w:eastAsia="zh-CN"/>
                    </w:rPr>
                    <w:t>、</w:t>
                  </w:r>
                  <w:r>
                    <w:rPr>
                      <w:rFonts w:hint="eastAsia" w:cs="Times New Roman"/>
                      <w:color w:val="000000" w:themeColor="text1"/>
                      <w:sz w:val="21"/>
                      <w:szCs w:val="21"/>
                      <w:lang w:val="en-US" w:eastAsia="zh-CN"/>
                    </w:rPr>
                    <w:t>LAS</w:t>
                  </w:r>
                  <w:r>
                    <w:rPr>
                      <w:rFonts w:hint="default" w:ascii="Times New Roman" w:hAnsi="Times New Roman" w:eastAsia="宋体" w:cs="Times New Roman"/>
                      <w:color w:val="000000" w:themeColor="text1"/>
                      <w:sz w:val="21"/>
                      <w:szCs w:val="21"/>
                    </w:rPr>
                    <w:t>、挥发酚、总余氯</w:t>
                  </w:r>
                  <w:r>
                    <w:rPr>
                      <w:rFonts w:hint="eastAsia" w:cs="Times New Roman"/>
                      <w:color w:val="000000" w:themeColor="text1"/>
                      <w:sz w:val="21"/>
                      <w:szCs w:val="21"/>
                      <w:lang w:eastAsia="zh-CN"/>
                    </w:rPr>
                    <w:t>、</w:t>
                  </w:r>
                  <w:r>
                    <w:rPr>
                      <w:rFonts w:hint="eastAsia" w:cs="Times New Roman"/>
                      <w:color w:val="000000" w:themeColor="text1"/>
                      <w:sz w:val="21"/>
                      <w:szCs w:val="21"/>
                      <w:lang w:val="en-US" w:eastAsia="zh-CN"/>
                    </w:rPr>
                    <w:t>氨氮</w:t>
                  </w:r>
                </w:p>
              </w:tc>
              <w:tc>
                <w:tcPr>
                  <w:tcW w:w="585" w:type="dxa"/>
                  <w:vAlign w:val="center"/>
                </w:tcPr>
                <w:p w14:paraId="47D92B6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rPr>
                  </w:pPr>
                  <w:r>
                    <w:rPr>
                      <w:rFonts w:hint="default" w:ascii="Times New Roman" w:hAnsi="Times New Roman" w:eastAsia="宋体" w:cs="Times New Roman"/>
                      <w:color w:val="000000" w:themeColor="text1"/>
                      <w:u w:val="none"/>
                      <w:lang w:val="en-US" w:eastAsia="zh-CN"/>
                    </w:rPr>
                    <w:t>南津港污水处理厂</w:t>
                  </w:r>
                </w:p>
              </w:tc>
              <w:tc>
                <w:tcPr>
                  <w:tcW w:w="735" w:type="dxa"/>
                  <w:vAlign w:val="center"/>
                </w:tcPr>
                <w:p w14:paraId="379BA08F">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连续排放，流量不稳定且无规律，但不属于冲击型排放</w:t>
                  </w:r>
                </w:p>
              </w:tc>
              <w:tc>
                <w:tcPr>
                  <w:tcW w:w="675" w:type="dxa"/>
                  <w:vAlign w:val="center"/>
                </w:tcPr>
                <w:p w14:paraId="6EE4738B">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eastAsia" w:ascii="Times New Roman" w:hAnsi="Times New Roman" w:eastAsia="宋体" w:cs="Times New Roman"/>
                      <w:color w:val="000000" w:themeColor="text1"/>
                      <w:u w:val="none"/>
                      <w:lang w:val="en-US" w:eastAsia="zh-CN"/>
                    </w:rPr>
                    <w:t>T</w:t>
                  </w:r>
                  <w:r>
                    <w:rPr>
                      <w:rFonts w:hint="default" w:ascii="Times New Roman" w:hAnsi="Times New Roman" w:eastAsia="宋体" w:cs="Times New Roman"/>
                      <w:color w:val="000000" w:themeColor="text1"/>
                      <w:u w:val="none"/>
                    </w:rPr>
                    <w:t>W001</w:t>
                  </w:r>
                </w:p>
              </w:tc>
              <w:tc>
                <w:tcPr>
                  <w:tcW w:w="705" w:type="dxa"/>
                  <w:vAlign w:val="center"/>
                </w:tcPr>
                <w:p w14:paraId="02891D74">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综合废水处理站</w:t>
                  </w:r>
                </w:p>
              </w:tc>
              <w:tc>
                <w:tcPr>
                  <w:tcW w:w="750" w:type="dxa"/>
                  <w:vAlign w:val="center"/>
                </w:tcPr>
                <w:p w14:paraId="6B52DB20">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eastAsia="zh-CN"/>
                    </w:rPr>
                  </w:pPr>
                  <w:r>
                    <w:rPr>
                      <w:rFonts w:hint="default" w:ascii="Times New Roman" w:hAnsi="Times New Roman" w:cs="Times New Roman"/>
                      <w:color w:val="000000" w:themeColor="text1"/>
                      <w:sz w:val="21"/>
                      <w:szCs w:val="21"/>
                      <w:lang w:eastAsia="zh-CN"/>
                    </w:rPr>
                    <w:t>格栅+A/O工艺+氯系消毒</w:t>
                  </w:r>
                </w:p>
              </w:tc>
              <w:tc>
                <w:tcPr>
                  <w:tcW w:w="560" w:type="dxa"/>
                  <w:vAlign w:val="center"/>
                </w:tcPr>
                <w:p w14:paraId="296ADA15">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D</w:t>
                  </w:r>
                  <w:r>
                    <w:rPr>
                      <w:rFonts w:hint="default" w:ascii="Times New Roman" w:hAnsi="Times New Roman" w:eastAsia="宋体" w:cs="Times New Roman"/>
                      <w:color w:val="000000" w:themeColor="text1"/>
                      <w:u w:val="none"/>
                      <w:lang w:val="en-US" w:eastAsia="zh-CN"/>
                    </w:rPr>
                    <w:t>W</w:t>
                  </w:r>
                  <w:r>
                    <w:rPr>
                      <w:rFonts w:hint="default" w:ascii="Times New Roman" w:hAnsi="Times New Roman" w:eastAsia="宋体" w:cs="Times New Roman"/>
                      <w:color w:val="000000" w:themeColor="text1"/>
                      <w:u w:val="none"/>
                    </w:rPr>
                    <w:t>001</w:t>
                  </w:r>
                </w:p>
              </w:tc>
              <w:tc>
                <w:tcPr>
                  <w:tcW w:w="734" w:type="dxa"/>
                  <w:vAlign w:val="center"/>
                </w:tcPr>
                <w:p w14:paraId="3CDDBEB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是☑否□</w:t>
                  </w:r>
                </w:p>
              </w:tc>
              <w:tc>
                <w:tcPr>
                  <w:tcW w:w="1342" w:type="dxa"/>
                  <w:vAlign w:val="center"/>
                </w:tcPr>
                <w:p w14:paraId="23B7CF8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企业总排口☑</w:t>
                  </w:r>
                </w:p>
                <w:p w14:paraId="295C79E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雨水排放</w:t>
                  </w: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76D2B77F">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清净下水排放</w:t>
                  </w:r>
                </w:p>
                <w:p w14:paraId="5DEA30B5">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5F362F9F">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车间或</w:t>
                  </w:r>
                  <w:r>
                    <w:rPr>
                      <w:rFonts w:hint="eastAsia" w:cs="Times New Roman"/>
                      <w:color w:val="000000" w:themeColor="text1"/>
                      <w:u w:val="none"/>
                      <w:lang w:val="en-US" w:eastAsia="zh-CN"/>
                    </w:rPr>
                    <w:t>预</w:t>
                  </w:r>
                  <w:r>
                    <w:rPr>
                      <w:rFonts w:hint="default" w:ascii="Times New Roman" w:hAnsi="Times New Roman" w:eastAsia="宋体" w:cs="Times New Roman"/>
                      <w:color w:val="000000" w:themeColor="text1"/>
                      <w:u w:val="none"/>
                    </w:rPr>
                    <w:t>处理设施排放口□</w:t>
                  </w:r>
                </w:p>
              </w:tc>
            </w:tr>
            <w:tr w14:paraId="317E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55" w:type="dxa"/>
                  <w:vAlign w:val="center"/>
                </w:tcPr>
                <w:p w14:paraId="3948088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2</w:t>
                  </w:r>
                </w:p>
              </w:tc>
              <w:tc>
                <w:tcPr>
                  <w:tcW w:w="600" w:type="dxa"/>
                  <w:vAlign w:val="center"/>
                </w:tcPr>
                <w:p w14:paraId="54AEF0AB">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办公楼生活污水</w:t>
                  </w:r>
                </w:p>
              </w:tc>
              <w:tc>
                <w:tcPr>
                  <w:tcW w:w="1440" w:type="dxa"/>
                  <w:vAlign w:val="center"/>
                </w:tcPr>
                <w:p w14:paraId="3EBFC6BF">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eastAsia" w:ascii="Times New Roman" w:hAnsi="Times New Roman" w:eastAsia="宋体" w:cs="Times New Roman"/>
                      <w:color w:val="000000" w:themeColor="text1"/>
                      <w:sz w:val="21"/>
                      <w:szCs w:val="21"/>
                      <w:lang w:eastAsia="zh-CN"/>
                    </w:rPr>
                    <w:t>、</w:t>
                  </w:r>
                  <w:r>
                    <w:rPr>
                      <w:rFonts w:hint="eastAsia" w:cs="Times New Roman"/>
                      <w:color w:val="000000" w:themeColor="text1"/>
                      <w:sz w:val="21"/>
                      <w:szCs w:val="21"/>
                      <w:lang w:val="en-US" w:eastAsia="zh-CN"/>
                    </w:rPr>
                    <w:t>LAS、氨氮</w:t>
                  </w:r>
                </w:p>
              </w:tc>
              <w:tc>
                <w:tcPr>
                  <w:tcW w:w="585" w:type="dxa"/>
                  <w:vMerge w:val="restart"/>
                  <w:vAlign w:val="center"/>
                </w:tcPr>
                <w:p w14:paraId="791062F9">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综合污水处理站</w:t>
                  </w:r>
                </w:p>
              </w:tc>
              <w:tc>
                <w:tcPr>
                  <w:tcW w:w="735" w:type="dxa"/>
                  <w:vAlign w:val="center"/>
                </w:tcPr>
                <w:p w14:paraId="422A77BF">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间断排放，</w:t>
                  </w:r>
                  <w:r>
                    <w:rPr>
                      <w:rFonts w:hint="default" w:ascii="Times New Roman" w:hAnsi="Times New Roman" w:eastAsia="宋体" w:cs="Times New Roman"/>
                      <w:color w:val="000000" w:themeColor="text1"/>
                      <w:u w:val="none"/>
                    </w:rPr>
                    <w:t>流量不稳定且无规律</w:t>
                  </w:r>
                  <w:r>
                    <w:rPr>
                      <w:rFonts w:hint="eastAsia" w:cs="Times New Roman"/>
                      <w:color w:val="000000" w:themeColor="text1"/>
                      <w:u w:val="none"/>
                      <w:lang w:eastAsia="zh-CN"/>
                    </w:rPr>
                    <w:t>，但不属于冲击型排放</w:t>
                  </w:r>
                </w:p>
              </w:tc>
              <w:tc>
                <w:tcPr>
                  <w:tcW w:w="675" w:type="dxa"/>
                  <w:vAlign w:val="center"/>
                </w:tcPr>
                <w:p w14:paraId="1AB26034">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TW003</w:t>
                  </w:r>
                </w:p>
              </w:tc>
              <w:tc>
                <w:tcPr>
                  <w:tcW w:w="705" w:type="dxa"/>
                  <w:vAlign w:val="center"/>
                </w:tcPr>
                <w:p w14:paraId="7466C45F">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color w:val="000000" w:themeColor="text1"/>
                      <w:u w:val="none"/>
                    </w:rPr>
                  </w:pPr>
                  <w:r>
                    <w:rPr>
                      <w:rFonts w:hint="eastAsia" w:cs="Times New Roman"/>
                      <w:color w:val="000000" w:themeColor="text1"/>
                      <w:u w:val="none"/>
                      <w:lang w:val="en-US" w:eastAsia="zh-CN"/>
                    </w:rPr>
                    <w:t>化粪池</w:t>
                  </w:r>
                </w:p>
              </w:tc>
              <w:tc>
                <w:tcPr>
                  <w:tcW w:w="750" w:type="dxa"/>
                  <w:vAlign w:val="center"/>
                </w:tcPr>
                <w:p w14:paraId="0C621CE1">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1"/>
                      <w:lang w:val="en-US" w:eastAsia="zh-CN"/>
                    </w:rPr>
                  </w:pPr>
                  <w:r>
                    <w:rPr>
                      <w:rFonts w:hint="eastAsia" w:cs="Times New Roman"/>
                      <w:color w:val="000000" w:themeColor="text1"/>
                      <w:sz w:val="21"/>
                      <w:szCs w:val="21"/>
                      <w:lang w:val="en-US" w:eastAsia="zh-CN"/>
                    </w:rPr>
                    <w:t>沉淀分离+厌氧发酵</w:t>
                  </w:r>
                </w:p>
              </w:tc>
              <w:tc>
                <w:tcPr>
                  <w:tcW w:w="560" w:type="dxa"/>
                  <w:vAlign w:val="center"/>
                </w:tcPr>
                <w:p w14:paraId="570F589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w:t>
                  </w:r>
                </w:p>
              </w:tc>
              <w:tc>
                <w:tcPr>
                  <w:tcW w:w="734" w:type="dxa"/>
                  <w:vAlign w:val="center"/>
                </w:tcPr>
                <w:p w14:paraId="42F5862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w:t>
                  </w:r>
                </w:p>
              </w:tc>
              <w:tc>
                <w:tcPr>
                  <w:tcW w:w="1342" w:type="dxa"/>
                  <w:vAlign w:val="center"/>
                </w:tcPr>
                <w:p w14:paraId="13A3C540">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eastAsia="zh-CN"/>
                    </w:rPr>
                  </w:pPr>
                  <w:r>
                    <w:rPr>
                      <w:rFonts w:hint="default" w:ascii="Times New Roman" w:hAnsi="Times New Roman" w:eastAsia="宋体" w:cs="Times New Roman"/>
                      <w:color w:val="000000" w:themeColor="text1"/>
                      <w:u w:val="none"/>
                    </w:rPr>
                    <w:t>企业总排口</w:t>
                  </w:r>
                  <w:r>
                    <w:rPr>
                      <w:rFonts w:hint="eastAsia" w:ascii="Times New Roman" w:hAnsi="Times New Roman" w:eastAsia="宋体" w:cs="Times New Roman"/>
                      <w:color w:val="000000" w:themeColor="text1"/>
                      <w:u w:val="none"/>
                      <w:lang w:eastAsia="zh-CN"/>
                    </w:rPr>
                    <w:t>□</w:t>
                  </w:r>
                </w:p>
                <w:p w14:paraId="61E36160">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雨水排放</w:t>
                  </w: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3941C9D0">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清净下水排放</w:t>
                  </w:r>
                </w:p>
                <w:p w14:paraId="15BA252E">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4032BF65">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eastAsia="zh-CN"/>
                    </w:rPr>
                  </w:pPr>
                  <w:r>
                    <w:rPr>
                      <w:rFonts w:hint="default" w:ascii="Times New Roman" w:hAnsi="Times New Roman" w:eastAsia="宋体" w:cs="Times New Roman"/>
                      <w:color w:val="000000" w:themeColor="text1"/>
                      <w:u w:val="none"/>
                    </w:rPr>
                    <w:t>车间或</w:t>
                  </w:r>
                  <w:r>
                    <w:rPr>
                      <w:rFonts w:hint="eastAsia" w:cs="Times New Roman"/>
                      <w:color w:val="000000" w:themeColor="text1"/>
                      <w:u w:val="none"/>
                      <w:lang w:val="en-US" w:eastAsia="zh-CN"/>
                    </w:rPr>
                    <w:t>预</w:t>
                  </w:r>
                  <w:r>
                    <w:rPr>
                      <w:rFonts w:hint="default" w:ascii="Times New Roman" w:hAnsi="Times New Roman" w:eastAsia="宋体" w:cs="Times New Roman"/>
                      <w:color w:val="000000" w:themeColor="text1"/>
                      <w:u w:val="none"/>
                    </w:rPr>
                    <w:t>处理设施排放口</w:t>
                  </w:r>
                  <w:r>
                    <w:rPr>
                      <w:rFonts w:hint="eastAsia" w:ascii="Times New Roman" w:hAnsi="Times New Roman" w:eastAsia="宋体" w:cs="Times New Roman"/>
                      <w:color w:val="000000" w:themeColor="text1"/>
                      <w:u w:val="none"/>
                      <w:lang w:eastAsia="zh-CN"/>
                    </w:rPr>
                    <w:t>☑</w:t>
                  </w:r>
                </w:p>
              </w:tc>
            </w:tr>
            <w:tr w14:paraId="71516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55" w:type="dxa"/>
                  <w:vAlign w:val="center"/>
                </w:tcPr>
                <w:p w14:paraId="763CB746">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cs="Times New Roman"/>
                      <w:color w:val="000000" w:themeColor="text1"/>
                      <w:u w:val="none"/>
                      <w:lang w:val="en-US" w:eastAsia="zh-CN"/>
                    </w:rPr>
                  </w:pPr>
                  <w:r>
                    <w:rPr>
                      <w:rFonts w:hint="eastAsia" w:cs="Times New Roman"/>
                      <w:color w:val="000000" w:themeColor="text1"/>
                      <w:u w:val="none"/>
                      <w:lang w:val="en-US" w:eastAsia="zh-CN"/>
                    </w:rPr>
                    <w:t>3</w:t>
                  </w:r>
                </w:p>
              </w:tc>
              <w:tc>
                <w:tcPr>
                  <w:tcW w:w="600" w:type="dxa"/>
                  <w:vAlign w:val="center"/>
                </w:tcPr>
                <w:p w14:paraId="4D86140D">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color w:val="000000" w:themeColor="text1"/>
                      <w:u w:val="none"/>
                      <w:lang w:val="en-US" w:eastAsia="zh-CN"/>
                    </w:rPr>
                  </w:pPr>
                  <w:r>
                    <w:rPr>
                      <w:rFonts w:hint="eastAsia" w:cs="Times New Roman"/>
                      <w:color w:val="000000" w:themeColor="text1"/>
                      <w:u w:val="none"/>
                      <w:lang w:val="en-US" w:eastAsia="zh-CN"/>
                    </w:rPr>
                    <w:t>食堂废水</w:t>
                  </w:r>
                </w:p>
              </w:tc>
              <w:tc>
                <w:tcPr>
                  <w:tcW w:w="1440" w:type="dxa"/>
                  <w:vAlign w:val="center"/>
                </w:tcPr>
                <w:p w14:paraId="6CEC2A2E">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w:t>
                  </w:r>
                  <w:r>
                    <w:rPr>
                      <w:rFonts w:hint="eastAsia" w:ascii="Times New Roman" w:hAnsi="Times New Roman" w:eastAsia="宋体" w:cs="Times New Roman"/>
                      <w:color w:val="000000" w:themeColor="text1"/>
                      <w:sz w:val="21"/>
                      <w:szCs w:val="21"/>
                      <w:lang w:val="en-US" w:eastAsia="zh-CN"/>
                    </w:rPr>
                    <w:t>动植物油、</w:t>
                  </w:r>
                  <w:r>
                    <w:rPr>
                      <w:rFonts w:hint="eastAsia" w:cs="Times New Roman"/>
                      <w:color w:val="000000" w:themeColor="text1"/>
                      <w:sz w:val="21"/>
                      <w:szCs w:val="21"/>
                      <w:lang w:val="en-US" w:eastAsia="zh-CN"/>
                    </w:rPr>
                    <w:t>LAS、氨氮</w:t>
                  </w:r>
                </w:p>
              </w:tc>
              <w:tc>
                <w:tcPr>
                  <w:tcW w:w="585" w:type="dxa"/>
                  <w:vMerge w:val="continue"/>
                  <w:vAlign w:val="center"/>
                </w:tcPr>
                <w:p w14:paraId="6056822E">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cs="Times New Roman"/>
                      <w:color w:val="000000" w:themeColor="text1"/>
                      <w:u w:val="none"/>
                      <w:lang w:val="en-US" w:eastAsia="zh-CN"/>
                    </w:rPr>
                  </w:pPr>
                </w:p>
              </w:tc>
              <w:tc>
                <w:tcPr>
                  <w:tcW w:w="735" w:type="dxa"/>
                  <w:vAlign w:val="center"/>
                </w:tcPr>
                <w:p w14:paraId="631627D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eastAsia="宋体" w:cs="Times New Roman"/>
                      <w:color w:val="000000" w:themeColor="text1"/>
                      <w:u w:val="none"/>
                      <w:lang w:val="en-US" w:eastAsia="zh-CN"/>
                    </w:rPr>
                  </w:pPr>
                  <w:r>
                    <w:rPr>
                      <w:rFonts w:hint="eastAsia" w:cs="Times New Roman"/>
                      <w:color w:val="000000" w:themeColor="text1"/>
                      <w:u w:val="none"/>
                      <w:lang w:val="en-US" w:eastAsia="zh-CN"/>
                    </w:rPr>
                    <w:t>间断排放，</w:t>
                  </w:r>
                  <w:r>
                    <w:rPr>
                      <w:rFonts w:hint="default" w:ascii="Times New Roman" w:hAnsi="Times New Roman" w:eastAsia="宋体" w:cs="Times New Roman"/>
                      <w:color w:val="000000" w:themeColor="text1"/>
                      <w:u w:val="none"/>
                    </w:rPr>
                    <w:t>流量不稳定且无规律</w:t>
                  </w:r>
                  <w:r>
                    <w:rPr>
                      <w:rFonts w:hint="eastAsia" w:cs="Times New Roman"/>
                      <w:color w:val="000000" w:themeColor="text1"/>
                      <w:u w:val="none"/>
                      <w:lang w:eastAsia="zh-CN"/>
                    </w:rPr>
                    <w:t>，但不属于冲击型排放</w:t>
                  </w:r>
                </w:p>
              </w:tc>
              <w:tc>
                <w:tcPr>
                  <w:tcW w:w="675" w:type="dxa"/>
                  <w:vAlign w:val="center"/>
                </w:tcPr>
                <w:p w14:paraId="50BD1D91">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TW004</w:t>
                  </w:r>
                </w:p>
              </w:tc>
              <w:tc>
                <w:tcPr>
                  <w:tcW w:w="705" w:type="dxa"/>
                  <w:vAlign w:val="center"/>
                </w:tcPr>
                <w:p w14:paraId="456B62E9">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cs="Times New Roman"/>
                      <w:color w:val="000000" w:themeColor="text1"/>
                      <w:u w:val="none"/>
                      <w:lang w:val="en-US" w:eastAsia="zh-CN"/>
                    </w:rPr>
                  </w:pPr>
                  <w:r>
                    <w:rPr>
                      <w:rFonts w:hint="eastAsia" w:cs="Times New Roman"/>
                      <w:color w:val="000000" w:themeColor="text1"/>
                      <w:u w:val="none"/>
                      <w:lang w:val="en-US" w:eastAsia="zh-CN"/>
                    </w:rPr>
                    <w:t>隔油池</w:t>
                  </w:r>
                </w:p>
              </w:tc>
              <w:tc>
                <w:tcPr>
                  <w:tcW w:w="750" w:type="dxa"/>
                  <w:vAlign w:val="center"/>
                </w:tcPr>
                <w:p w14:paraId="1341726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1"/>
                      <w:lang w:val="en-US" w:eastAsia="zh-CN"/>
                    </w:rPr>
                  </w:pPr>
                  <w:r>
                    <w:rPr>
                      <w:rFonts w:hint="eastAsia" w:cs="Times New Roman"/>
                      <w:color w:val="000000" w:themeColor="text1"/>
                      <w:sz w:val="21"/>
                      <w:szCs w:val="21"/>
                      <w:lang w:val="en-US" w:eastAsia="zh-CN"/>
                    </w:rPr>
                    <w:t>油水分离</w:t>
                  </w:r>
                </w:p>
              </w:tc>
              <w:tc>
                <w:tcPr>
                  <w:tcW w:w="560" w:type="dxa"/>
                  <w:vAlign w:val="center"/>
                </w:tcPr>
                <w:p w14:paraId="4FB153D7">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w:t>
                  </w:r>
                </w:p>
              </w:tc>
              <w:tc>
                <w:tcPr>
                  <w:tcW w:w="734" w:type="dxa"/>
                  <w:vAlign w:val="center"/>
                </w:tcPr>
                <w:p w14:paraId="28C6D805">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w:t>
                  </w:r>
                </w:p>
              </w:tc>
              <w:tc>
                <w:tcPr>
                  <w:tcW w:w="1342" w:type="dxa"/>
                  <w:vAlign w:val="center"/>
                </w:tcPr>
                <w:p w14:paraId="523AD40A">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eastAsia="zh-CN"/>
                    </w:rPr>
                  </w:pPr>
                  <w:r>
                    <w:rPr>
                      <w:rFonts w:hint="default" w:ascii="Times New Roman" w:hAnsi="Times New Roman" w:eastAsia="宋体" w:cs="Times New Roman"/>
                      <w:color w:val="000000" w:themeColor="text1"/>
                      <w:u w:val="none"/>
                    </w:rPr>
                    <w:t>企业总排口</w:t>
                  </w:r>
                  <w:r>
                    <w:rPr>
                      <w:rFonts w:hint="eastAsia" w:ascii="Times New Roman" w:hAnsi="Times New Roman" w:eastAsia="宋体" w:cs="Times New Roman"/>
                      <w:color w:val="000000" w:themeColor="text1"/>
                      <w:u w:val="none"/>
                      <w:lang w:eastAsia="zh-CN"/>
                    </w:rPr>
                    <w:t>□</w:t>
                  </w:r>
                </w:p>
                <w:p w14:paraId="1A21C744">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雨水排放</w:t>
                  </w: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4329CD2E">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清净下水排放</w:t>
                  </w:r>
                </w:p>
                <w:p w14:paraId="23CAF824">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527A9695">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eastAsia="zh-CN"/>
                    </w:rPr>
                  </w:pPr>
                  <w:r>
                    <w:rPr>
                      <w:rFonts w:hint="default" w:ascii="Times New Roman" w:hAnsi="Times New Roman" w:eastAsia="宋体" w:cs="Times New Roman"/>
                      <w:color w:val="000000" w:themeColor="text1"/>
                      <w:u w:val="none"/>
                    </w:rPr>
                    <w:t>车间或</w:t>
                  </w:r>
                  <w:r>
                    <w:rPr>
                      <w:rFonts w:hint="eastAsia" w:cs="Times New Roman"/>
                      <w:color w:val="000000" w:themeColor="text1"/>
                      <w:u w:val="none"/>
                      <w:lang w:val="en-US" w:eastAsia="zh-CN"/>
                    </w:rPr>
                    <w:t>预</w:t>
                  </w:r>
                  <w:r>
                    <w:rPr>
                      <w:rFonts w:hint="default" w:ascii="Times New Roman" w:hAnsi="Times New Roman" w:eastAsia="宋体" w:cs="Times New Roman"/>
                      <w:color w:val="000000" w:themeColor="text1"/>
                      <w:u w:val="none"/>
                    </w:rPr>
                    <w:t>处理设施排放口</w:t>
                  </w:r>
                  <w:r>
                    <w:rPr>
                      <w:rFonts w:hint="eastAsia" w:ascii="Times New Roman" w:hAnsi="Times New Roman" w:eastAsia="宋体" w:cs="Times New Roman"/>
                      <w:color w:val="000000" w:themeColor="text1"/>
                      <w:u w:val="none"/>
                      <w:lang w:eastAsia="zh-CN"/>
                    </w:rPr>
                    <w:t>☑</w:t>
                  </w:r>
                </w:p>
              </w:tc>
            </w:tr>
            <w:tr w14:paraId="47F3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55" w:type="dxa"/>
                  <w:vAlign w:val="center"/>
                </w:tcPr>
                <w:p w14:paraId="30589DB8">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3</w:t>
                  </w:r>
                </w:p>
              </w:tc>
              <w:tc>
                <w:tcPr>
                  <w:tcW w:w="600" w:type="dxa"/>
                  <w:vAlign w:val="center"/>
                </w:tcPr>
                <w:p w14:paraId="7F72B25D">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传染科废水</w:t>
                  </w:r>
                </w:p>
              </w:tc>
              <w:tc>
                <w:tcPr>
                  <w:tcW w:w="1440" w:type="dxa"/>
                  <w:vAlign w:val="center"/>
                </w:tcPr>
                <w:p w14:paraId="5B5E391C">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default" w:ascii="Times New Roman" w:hAnsi="Times New Roman" w:eastAsia="宋体" w:cs="Times New Roman"/>
                      <w:color w:val="000000" w:themeColor="text1"/>
                      <w:sz w:val="21"/>
                      <w:szCs w:val="21"/>
                      <w:lang w:eastAsia="zh-CN"/>
                    </w:rPr>
                    <w:t>、肠道致病菌、肠道病毒、结核杆菌</w:t>
                  </w:r>
                  <w:r>
                    <w:rPr>
                      <w:rFonts w:hint="default" w:ascii="Times New Roman" w:hAnsi="Times New Roman" w:eastAsia="宋体" w:cs="Times New Roman"/>
                      <w:color w:val="000000" w:themeColor="text1"/>
                      <w:sz w:val="21"/>
                      <w:szCs w:val="21"/>
                    </w:rPr>
                    <w:t>、总余氯</w:t>
                  </w:r>
                  <w:r>
                    <w:rPr>
                      <w:rFonts w:hint="eastAsia" w:cs="Times New Roman"/>
                      <w:color w:val="000000" w:themeColor="text1"/>
                      <w:sz w:val="21"/>
                      <w:szCs w:val="21"/>
                      <w:lang w:eastAsia="zh-CN"/>
                    </w:rPr>
                    <w:t>、</w:t>
                  </w:r>
                  <w:r>
                    <w:rPr>
                      <w:rFonts w:hint="eastAsia" w:cs="Times New Roman"/>
                      <w:color w:val="000000" w:themeColor="text1"/>
                      <w:sz w:val="21"/>
                      <w:szCs w:val="21"/>
                      <w:lang w:val="en-US" w:eastAsia="zh-CN"/>
                    </w:rPr>
                    <w:t>氨氮</w:t>
                  </w:r>
                </w:p>
              </w:tc>
              <w:tc>
                <w:tcPr>
                  <w:tcW w:w="585" w:type="dxa"/>
                  <w:vMerge w:val="continue"/>
                  <w:vAlign w:val="center"/>
                </w:tcPr>
                <w:p w14:paraId="2F909A09">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p>
              </w:tc>
              <w:tc>
                <w:tcPr>
                  <w:tcW w:w="735" w:type="dxa"/>
                  <w:vAlign w:val="center"/>
                </w:tcPr>
                <w:p w14:paraId="677123B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间断排放，</w:t>
                  </w:r>
                  <w:r>
                    <w:rPr>
                      <w:rFonts w:hint="default" w:ascii="Times New Roman" w:hAnsi="Times New Roman" w:eastAsia="宋体" w:cs="Times New Roman"/>
                      <w:color w:val="000000" w:themeColor="text1"/>
                      <w:u w:val="none"/>
                    </w:rPr>
                    <w:t>流量不稳定且无规律</w:t>
                  </w:r>
                  <w:r>
                    <w:rPr>
                      <w:rFonts w:hint="eastAsia" w:cs="Times New Roman"/>
                      <w:color w:val="000000" w:themeColor="text1"/>
                      <w:u w:val="none"/>
                      <w:lang w:eastAsia="zh-CN"/>
                    </w:rPr>
                    <w:t>，但不属于冲击型排放</w:t>
                  </w:r>
                </w:p>
              </w:tc>
              <w:tc>
                <w:tcPr>
                  <w:tcW w:w="675" w:type="dxa"/>
                  <w:vAlign w:val="center"/>
                </w:tcPr>
                <w:p w14:paraId="153EE59D">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TW002</w:t>
                  </w:r>
                </w:p>
              </w:tc>
              <w:tc>
                <w:tcPr>
                  <w:tcW w:w="705" w:type="dxa"/>
                  <w:vAlign w:val="center"/>
                </w:tcPr>
                <w:p w14:paraId="5E835E89">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传染科废水预处理系统</w:t>
                  </w:r>
                </w:p>
              </w:tc>
              <w:tc>
                <w:tcPr>
                  <w:tcW w:w="750" w:type="dxa"/>
                  <w:vAlign w:val="center"/>
                </w:tcPr>
                <w:p w14:paraId="24FFB454">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eastAsia="zh-CN"/>
                    </w:rPr>
                    <w:t>氯系消毒</w:t>
                  </w:r>
                  <w:r>
                    <w:rPr>
                      <w:rFonts w:hint="eastAsia" w:ascii="Times New Roman" w:hAnsi="Times New Roman" w:cs="Times New Roman"/>
                      <w:color w:val="000000" w:themeColor="text1"/>
                      <w:sz w:val="21"/>
                      <w:szCs w:val="21"/>
                      <w:lang w:val="en-US" w:eastAsia="zh-CN"/>
                    </w:rPr>
                    <w:t>+除氯</w:t>
                  </w:r>
                </w:p>
              </w:tc>
              <w:tc>
                <w:tcPr>
                  <w:tcW w:w="560" w:type="dxa"/>
                  <w:vAlign w:val="center"/>
                </w:tcPr>
                <w:p w14:paraId="73BC313A">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w:t>
                  </w:r>
                </w:p>
              </w:tc>
              <w:tc>
                <w:tcPr>
                  <w:tcW w:w="734" w:type="dxa"/>
                  <w:vAlign w:val="center"/>
                </w:tcPr>
                <w:p w14:paraId="67F1E9D3">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val="en-US" w:eastAsia="zh-CN"/>
                    </w:rPr>
                  </w:pPr>
                  <w:r>
                    <w:rPr>
                      <w:rFonts w:hint="eastAsia" w:cs="Times New Roman"/>
                      <w:color w:val="000000" w:themeColor="text1"/>
                      <w:u w:val="none"/>
                      <w:lang w:val="en-US" w:eastAsia="zh-CN"/>
                    </w:rPr>
                    <w:t>/</w:t>
                  </w:r>
                </w:p>
              </w:tc>
              <w:tc>
                <w:tcPr>
                  <w:tcW w:w="1342" w:type="dxa"/>
                  <w:vAlign w:val="center"/>
                </w:tcPr>
                <w:p w14:paraId="7D69DA22">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eastAsia="zh-CN"/>
                    </w:rPr>
                  </w:pPr>
                  <w:r>
                    <w:rPr>
                      <w:rFonts w:hint="default" w:ascii="Times New Roman" w:hAnsi="Times New Roman" w:eastAsia="宋体" w:cs="Times New Roman"/>
                      <w:color w:val="000000" w:themeColor="text1"/>
                      <w:u w:val="none"/>
                    </w:rPr>
                    <w:t>企业总排口</w:t>
                  </w:r>
                  <w:r>
                    <w:rPr>
                      <w:rFonts w:hint="eastAsia" w:ascii="Times New Roman" w:hAnsi="Times New Roman" w:eastAsia="宋体" w:cs="Times New Roman"/>
                      <w:color w:val="000000" w:themeColor="text1"/>
                      <w:u w:val="none"/>
                      <w:lang w:eastAsia="zh-CN"/>
                    </w:rPr>
                    <w:t>□</w:t>
                  </w:r>
                </w:p>
                <w:p w14:paraId="2795BAF2">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雨水排放</w:t>
                  </w: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07CACD0A">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default" w:ascii="Times New Roman" w:hAnsi="Times New Roman" w:eastAsia="宋体" w:cs="Times New Roman"/>
                      <w:color w:val="000000" w:themeColor="text1"/>
                      <w:u w:val="none"/>
                    </w:rPr>
                    <w:t>清净下水排放</w:t>
                  </w:r>
                </w:p>
                <w:p w14:paraId="4C09976D">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default" w:ascii="Times New Roman" w:hAnsi="Times New Roman" w:eastAsia="宋体" w:cs="Times New Roman"/>
                      <w:color w:val="000000" w:themeColor="text1"/>
                      <w:u w:val="none"/>
                    </w:rPr>
                  </w:pPr>
                  <w:r>
                    <w:rPr>
                      <w:rFonts w:hint="eastAsia" w:cs="Times New Roman"/>
                      <w:color w:val="000000" w:themeColor="text1"/>
                      <w:u w:val="none"/>
                      <w:lang w:val="en-US" w:eastAsia="zh-CN"/>
                    </w:rPr>
                    <w:t>口</w:t>
                  </w:r>
                  <w:r>
                    <w:rPr>
                      <w:rFonts w:hint="default" w:ascii="Times New Roman" w:hAnsi="Times New Roman" w:eastAsia="宋体" w:cs="Times New Roman"/>
                      <w:color w:val="000000" w:themeColor="text1"/>
                      <w:u w:val="none"/>
                    </w:rPr>
                    <w:t>□</w:t>
                  </w:r>
                </w:p>
                <w:p w14:paraId="5BB1DAE5">
                  <w:pPr>
                    <w:pStyle w:val="82"/>
                    <w:keepNext w:val="0"/>
                    <w:keepLines w:val="0"/>
                    <w:pageBreakBefore w:val="0"/>
                    <w:widowControl/>
                    <w:kinsoku/>
                    <w:wordWrap/>
                    <w:overflowPunct/>
                    <w:topLinePunct w:val="0"/>
                    <w:autoSpaceDE/>
                    <w:autoSpaceDN/>
                    <w:bidi w:val="0"/>
                    <w:adjustRightInd/>
                    <w:snapToGrid w:val="0"/>
                    <w:spacing w:after="60" w:line="240" w:lineRule="auto"/>
                    <w:ind w:right="0"/>
                    <w:jc w:val="center"/>
                    <w:textAlignment w:val="auto"/>
                    <w:rPr>
                      <w:rFonts w:hint="eastAsia" w:ascii="Times New Roman" w:hAnsi="Times New Roman" w:eastAsia="宋体" w:cs="Times New Roman"/>
                      <w:color w:val="000000" w:themeColor="text1"/>
                      <w:u w:val="none"/>
                      <w:lang w:eastAsia="zh-CN"/>
                    </w:rPr>
                  </w:pPr>
                  <w:r>
                    <w:rPr>
                      <w:rFonts w:hint="default" w:ascii="Times New Roman" w:hAnsi="Times New Roman" w:eastAsia="宋体" w:cs="Times New Roman"/>
                      <w:color w:val="000000" w:themeColor="text1"/>
                      <w:u w:val="none"/>
                    </w:rPr>
                    <w:t>车间或</w:t>
                  </w:r>
                  <w:r>
                    <w:rPr>
                      <w:rFonts w:hint="eastAsia" w:cs="Times New Roman"/>
                      <w:color w:val="000000" w:themeColor="text1"/>
                      <w:u w:val="none"/>
                      <w:lang w:val="en-US" w:eastAsia="zh-CN"/>
                    </w:rPr>
                    <w:t>预</w:t>
                  </w:r>
                  <w:r>
                    <w:rPr>
                      <w:rFonts w:hint="default" w:ascii="Times New Roman" w:hAnsi="Times New Roman" w:eastAsia="宋体" w:cs="Times New Roman"/>
                      <w:color w:val="000000" w:themeColor="text1"/>
                      <w:u w:val="none"/>
                    </w:rPr>
                    <w:t>处理设施排放口</w:t>
                  </w:r>
                  <w:r>
                    <w:rPr>
                      <w:rFonts w:hint="eastAsia" w:ascii="Times New Roman" w:hAnsi="Times New Roman" w:eastAsia="宋体" w:cs="Times New Roman"/>
                      <w:color w:val="000000" w:themeColor="text1"/>
                      <w:u w:val="none"/>
                      <w:lang w:eastAsia="zh-CN"/>
                    </w:rPr>
                    <w:t>☑</w:t>
                  </w:r>
                </w:p>
              </w:tc>
            </w:tr>
          </w:tbl>
          <w:p w14:paraId="55DFE787">
            <w:pPr>
              <w:spacing w:line="360" w:lineRule="auto"/>
              <w:jc w:val="center"/>
              <w:rPr>
                <w:rFonts w:hint="eastAsia" w:ascii="Times New Roman" w:hAnsi="Times New Roman" w:eastAsia="宋体" w:cs="Times New Roman"/>
                <w:b/>
                <w:bCs/>
                <w:color w:val="000000" w:themeColor="text1"/>
                <w:u w:val="none"/>
                <w:lang w:val="en-US" w:eastAsia="zh-CN"/>
              </w:rPr>
            </w:pPr>
            <w:r>
              <w:rPr>
                <w:rFonts w:hint="default" w:ascii="Times New Roman" w:hAnsi="Times New Roman" w:cs="Times New Roman"/>
                <w:b/>
                <w:bCs/>
                <w:color w:val="000000" w:themeColor="text1"/>
                <w:u w:val="none"/>
                <w:lang w:val="en-US" w:eastAsia="zh-CN"/>
              </w:rPr>
              <w:t>表4-1</w:t>
            </w:r>
            <w:r>
              <w:rPr>
                <w:rFonts w:hint="eastAsia" w:cs="Times New Roman"/>
                <w:b/>
                <w:bCs/>
                <w:color w:val="000000" w:themeColor="text1"/>
                <w:u w:val="none"/>
                <w:lang w:val="en-US" w:eastAsia="zh-CN"/>
              </w:rPr>
              <w:t>6</w:t>
            </w:r>
            <w:r>
              <w:rPr>
                <w:rFonts w:hint="default" w:ascii="Times New Roman" w:hAnsi="Times New Roman" w:cs="Times New Roman"/>
                <w:b/>
                <w:bCs/>
                <w:color w:val="000000" w:themeColor="text1"/>
                <w:u w:val="none"/>
                <w:lang w:val="en-US" w:eastAsia="zh-CN"/>
              </w:rPr>
              <w:t xml:space="preserve"> </w:t>
            </w:r>
            <w:r>
              <w:rPr>
                <w:rFonts w:hint="default" w:ascii="Times New Roman" w:hAnsi="Times New Roman" w:cs="Times New Roman"/>
                <w:b/>
                <w:bCs/>
                <w:color w:val="000000" w:themeColor="text1"/>
                <w:u w:val="none"/>
              </w:rPr>
              <w:t>废水</w:t>
            </w:r>
            <w:r>
              <w:rPr>
                <w:rFonts w:hint="eastAsia" w:ascii="Times New Roman" w:hAnsi="Times New Roman" w:cs="Times New Roman"/>
                <w:b/>
                <w:bCs/>
                <w:color w:val="000000" w:themeColor="text1"/>
                <w:u w:val="none"/>
                <w:lang w:val="en-US" w:eastAsia="zh-CN"/>
              </w:rPr>
              <w:t>间接</w:t>
            </w:r>
            <w:r>
              <w:rPr>
                <w:rFonts w:hint="default" w:ascii="Times New Roman" w:hAnsi="Times New Roman" w:cs="Times New Roman"/>
                <w:b/>
                <w:bCs/>
                <w:color w:val="000000" w:themeColor="text1"/>
                <w:u w:val="none"/>
              </w:rPr>
              <w:t>排放基本情况</w:t>
            </w:r>
            <w:r>
              <w:rPr>
                <w:rFonts w:hint="eastAsia" w:ascii="Times New Roman" w:hAnsi="Times New Roman" w:cs="Times New Roman"/>
                <w:b/>
                <w:bCs/>
                <w:color w:val="000000" w:themeColor="text1"/>
                <w:u w:val="none"/>
                <w:lang w:val="en-US" w:eastAsia="zh-CN"/>
              </w:rPr>
              <w:t>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645"/>
              <w:gridCol w:w="675"/>
              <w:gridCol w:w="802"/>
              <w:gridCol w:w="735"/>
              <w:gridCol w:w="724"/>
              <w:gridCol w:w="585"/>
              <w:gridCol w:w="1140"/>
              <w:gridCol w:w="2501"/>
            </w:tblGrid>
            <w:tr w14:paraId="1586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vAlign w:val="center"/>
                </w:tcPr>
                <w:p w14:paraId="41B4ABA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排放口编号</w:t>
                  </w:r>
                </w:p>
              </w:tc>
              <w:tc>
                <w:tcPr>
                  <w:tcW w:w="1320" w:type="dxa"/>
                  <w:gridSpan w:val="2"/>
                  <w:vAlign w:val="center"/>
                </w:tcPr>
                <w:p w14:paraId="0373C2C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排放口坐标</w:t>
                  </w:r>
                </w:p>
              </w:tc>
              <w:tc>
                <w:tcPr>
                  <w:tcW w:w="802" w:type="dxa"/>
                  <w:vMerge w:val="restart"/>
                  <w:vAlign w:val="center"/>
                </w:tcPr>
                <w:p w14:paraId="1DE2338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废水排放量（万t/a）</w:t>
                  </w:r>
                </w:p>
              </w:tc>
              <w:tc>
                <w:tcPr>
                  <w:tcW w:w="735" w:type="dxa"/>
                  <w:vMerge w:val="restart"/>
                  <w:vAlign w:val="center"/>
                </w:tcPr>
                <w:p w14:paraId="2890838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排放去向</w:t>
                  </w:r>
                </w:p>
              </w:tc>
              <w:tc>
                <w:tcPr>
                  <w:tcW w:w="724" w:type="dxa"/>
                  <w:vMerge w:val="restart"/>
                  <w:vAlign w:val="center"/>
                </w:tcPr>
                <w:p w14:paraId="241CC77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排放规律</w:t>
                  </w:r>
                </w:p>
              </w:tc>
              <w:tc>
                <w:tcPr>
                  <w:tcW w:w="4226" w:type="dxa"/>
                  <w:gridSpan w:val="3"/>
                  <w:vAlign w:val="center"/>
                </w:tcPr>
                <w:p w14:paraId="580DFFF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default" w:ascii="Times New Roman" w:hAnsi="Times New Roman" w:eastAsia="宋体" w:cs="Times New Roman"/>
                      <w:b/>
                      <w:bCs/>
                      <w:color w:val="000000" w:themeColor="text1"/>
                      <w:kern w:val="0"/>
                      <w:sz w:val="21"/>
                      <w:szCs w:val="21"/>
                      <w:u w:val="none"/>
                      <w:lang w:val="en-US" w:eastAsia="zh-CN" w:bidi="ar-SA"/>
                    </w:rPr>
                    <w:t>受纳污水处理厂信息</w:t>
                  </w:r>
                </w:p>
              </w:tc>
            </w:tr>
            <w:tr w14:paraId="1168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6FF007E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p>
              </w:tc>
              <w:tc>
                <w:tcPr>
                  <w:tcW w:w="645" w:type="dxa"/>
                  <w:vAlign w:val="center"/>
                </w:tcPr>
                <w:p w14:paraId="7AF6647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东经</w:t>
                  </w:r>
                </w:p>
              </w:tc>
              <w:tc>
                <w:tcPr>
                  <w:tcW w:w="675" w:type="dxa"/>
                  <w:vAlign w:val="center"/>
                </w:tcPr>
                <w:p w14:paraId="3B262EE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北纬</w:t>
                  </w:r>
                </w:p>
              </w:tc>
              <w:tc>
                <w:tcPr>
                  <w:tcW w:w="802" w:type="dxa"/>
                  <w:vMerge w:val="continue"/>
                  <w:vAlign w:val="center"/>
                </w:tcPr>
                <w:p w14:paraId="1D99FD7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p>
              </w:tc>
              <w:tc>
                <w:tcPr>
                  <w:tcW w:w="735" w:type="dxa"/>
                  <w:vMerge w:val="continue"/>
                  <w:vAlign w:val="center"/>
                </w:tcPr>
                <w:p w14:paraId="7A0671B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p>
              </w:tc>
              <w:tc>
                <w:tcPr>
                  <w:tcW w:w="724" w:type="dxa"/>
                  <w:vMerge w:val="continue"/>
                  <w:vAlign w:val="center"/>
                </w:tcPr>
                <w:p w14:paraId="2BAFAAB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p>
              </w:tc>
              <w:tc>
                <w:tcPr>
                  <w:tcW w:w="585" w:type="dxa"/>
                  <w:vAlign w:val="center"/>
                </w:tcPr>
                <w:p w14:paraId="6D0439E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eastAsia" w:ascii="Times New Roman" w:hAnsi="Times New Roman" w:eastAsia="宋体" w:cs="Times New Roman"/>
                      <w:b/>
                      <w:bCs/>
                      <w:color w:val="000000" w:themeColor="text1"/>
                      <w:kern w:val="0"/>
                      <w:sz w:val="21"/>
                      <w:szCs w:val="21"/>
                      <w:u w:val="none"/>
                      <w:lang w:val="en-US" w:eastAsia="zh-CN" w:bidi="ar-SA"/>
                    </w:rPr>
                    <w:t>名称</w:t>
                  </w:r>
                </w:p>
              </w:tc>
              <w:tc>
                <w:tcPr>
                  <w:tcW w:w="1140" w:type="dxa"/>
                  <w:vAlign w:val="center"/>
                </w:tcPr>
                <w:p w14:paraId="2957C77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default" w:ascii="Times New Roman" w:hAnsi="Times New Roman" w:eastAsia="宋体" w:cs="Times New Roman"/>
                      <w:b/>
                      <w:bCs/>
                      <w:color w:val="000000" w:themeColor="text1"/>
                      <w:kern w:val="0"/>
                      <w:sz w:val="21"/>
                      <w:szCs w:val="21"/>
                      <w:u w:val="none"/>
                      <w:lang w:val="en-US" w:eastAsia="zh-CN" w:bidi="ar-SA"/>
                    </w:rPr>
                    <w:t>污染物种类</w:t>
                  </w:r>
                </w:p>
              </w:tc>
              <w:tc>
                <w:tcPr>
                  <w:tcW w:w="2501" w:type="dxa"/>
                  <w:vAlign w:val="center"/>
                </w:tcPr>
                <w:p w14:paraId="62AD0B7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0"/>
                      <w:sz w:val="21"/>
                      <w:szCs w:val="21"/>
                      <w:u w:val="none"/>
                      <w:lang w:val="en-US" w:eastAsia="zh-CN" w:bidi="ar-SA"/>
                    </w:rPr>
                  </w:pPr>
                  <w:r>
                    <w:rPr>
                      <w:rFonts w:hint="default" w:ascii="Times New Roman" w:hAnsi="Times New Roman" w:eastAsia="宋体" w:cs="Times New Roman"/>
                      <w:b/>
                      <w:bCs/>
                      <w:color w:val="000000" w:themeColor="text1"/>
                      <w:kern w:val="0"/>
                      <w:sz w:val="21"/>
                      <w:szCs w:val="21"/>
                      <w:u w:val="none"/>
                      <w:lang w:val="en-US" w:eastAsia="zh-CN" w:bidi="ar-SA"/>
                    </w:rPr>
                    <w:t>《城镇污水处理厂污染物排放标准》（GB18918-2002（含2006年、2025年修改单））中 一级标准 A标准</w:t>
                  </w:r>
                </w:p>
              </w:tc>
            </w:tr>
            <w:tr w14:paraId="50080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restart"/>
                  <w:vAlign w:val="center"/>
                </w:tcPr>
                <w:p w14:paraId="052F242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DW001</w:t>
                  </w:r>
                </w:p>
              </w:tc>
              <w:tc>
                <w:tcPr>
                  <w:tcW w:w="645" w:type="dxa"/>
                  <w:vMerge w:val="restart"/>
                  <w:vAlign w:val="center"/>
                </w:tcPr>
                <w:p w14:paraId="680F582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default" w:ascii="Times New Roman" w:hAnsi="Times New Roman" w:eastAsia="宋体" w:cs="Times New Roman"/>
                      <w:color w:val="000000" w:themeColor="text1"/>
                      <w:kern w:val="0"/>
                      <w:sz w:val="21"/>
                      <w:szCs w:val="21"/>
                      <w:u w:val="none"/>
                      <w:lang w:val="en-US" w:eastAsia="zh-CN" w:bidi="ar-SA"/>
                    </w:rPr>
                    <w:t>113.45486</w:t>
                  </w:r>
                  <w:r>
                    <w:rPr>
                      <w:rFonts w:hint="eastAsia" w:ascii="Times New Roman" w:hAnsi="Times New Roman" w:eastAsia="宋体" w:cs="Times New Roman"/>
                      <w:color w:val="000000" w:themeColor="text1"/>
                      <w:kern w:val="0"/>
                      <w:sz w:val="21"/>
                      <w:szCs w:val="21"/>
                      <w:u w:val="none"/>
                      <w:lang w:val="en-US" w:eastAsia="zh-CN" w:bidi="ar-SA"/>
                    </w:rPr>
                    <w:t>1</w:t>
                  </w:r>
                </w:p>
              </w:tc>
              <w:tc>
                <w:tcPr>
                  <w:tcW w:w="675" w:type="dxa"/>
                  <w:vMerge w:val="restart"/>
                  <w:vAlign w:val="center"/>
                </w:tcPr>
                <w:p w14:paraId="2B9BC15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default" w:ascii="Times New Roman" w:hAnsi="Times New Roman" w:eastAsia="宋体" w:cs="Times New Roman"/>
                      <w:color w:val="000000" w:themeColor="text1"/>
                      <w:kern w:val="0"/>
                      <w:sz w:val="21"/>
                      <w:szCs w:val="21"/>
                      <w:u w:val="none"/>
                      <w:lang w:val="en-US" w:eastAsia="zh-CN" w:bidi="ar-SA"/>
                    </w:rPr>
                    <w:t>29.467734</w:t>
                  </w:r>
                </w:p>
              </w:tc>
              <w:tc>
                <w:tcPr>
                  <w:tcW w:w="802" w:type="dxa"/>
                  <w:vMerge w:val="restart"/>
                  <w:vAlign w:val="center"/>
                </w:tcPr>
                <w:p w14:paraId="237CA1E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default" w:ascii="Times New Roman" w:hAnsi="Times New Roman" w:eastAsia="宋体" w:cs="Times New Roman"/>
                      <w:color w:val="000000" w:themeColor="text1"/>
                      <w:kern w:val="0"/>
                      <w:sz w:val="21"/>
                      <w:szCs w:val="21"/>
                      <w:u w:val="none"/>
                      <w:lang w:val="en-US" w:eastAsia="zh-CN" w:bidi="ar-SA"/>
                    </w:rPr>
                    <w:t>5</w:t>
                  </w:r>
                  <w:r>
                    <w:rPr>
                      <w:rFonts w:hint="eastAsia" w:cs="Times New Roman"/>
                      <w:color w:val="000000" w:themeColor="text1"/>
                      <w:kern w:val="0"/>
                      <w:sz w:val="21"/>
                      <w:szCs w:val="21"/>
                      <w:u w:val="none"/>
                      <w:lang w:val="en-US" w:eastAsia="zh-CN" w:bidi="ar-SA"/>
                    </w:rPr>
                    <w:t>.</w:t>
                  </w:r>
                  <w:r>
                    <w:rPr>
                      <w:rFonts w:hint="default" w:ascii="Times New Roman" w:hAnsi="Times New Roman" w:eastAsia="宋体" w:cs="Times New Roman"/>
                      <w:color w:val="000000" w:themeColor="text1"/>
                      <w:kern w:val="0"/>
                      <w:sz w:val="21"/>
                      <w:szCs w:val="21"/>
                      <w:u w:val="none"/>
                      <w:lang w:val="en-US" w:eastAsia="zh-CN" w:bidi="ar-SA"/>
                    </w:rPr>
                    <w:t>898</w:t>
                  </w:r>
                </w:p>
              </w:tc>
              <w:tc>
                <w:tcPr>
                  <w:tcW w:w="735" w:type="dxa"/>
                  <w:vMerge w:val="restart"/>
                  <w:vAlign w:val="center"/>
                </w:tcPr>
                <w:p w14:paraId="4009022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南津港污水处理厂</w:t>
                  </w:r>
                </w:p>
              </w:tc>
              <w:tc>
                <w:tcPr>
                  <w:tcW w:w="724" w:type="dxa"/>
                  <w:vMerge w:val="restart"/>
                  <w:vAlign w:val="center"/>
                </w:tcPr>
                <w:p w14:paraId="29900F2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default" w:ascii="Times New Roman" w:hAnsi="Times New Roman" w:eastAsia="宋体" w:cs="Times New Roman"/>
                      <w:color w:val="000000" w:themeColor="text1"/>
                      <w:kern w:val="0"/>
                      <w:sz w:val="21"/>
                      <w:szCs w:val="21"/>
                      <w:u w:val="none"/>
                      <w:lang w:val="en-US" w:eastAsia="zh-CN" w:bidi="ar-SA"/>
                    </w:rPr>
                    <w:t>连续排放，流量不稳定且无规律，但不属于冲击型排放</w:t>
                  </w:r>
                </w:p>
              </w:tc>
              <w:tc>
                <w:tcPr>
                  <w:tcW w:w="585" w:type="dxa"/>
                  <w:vMerge w:val="restart"/>
                  <w:vAlign w:val="center"/>
                </w:tcPr>
                <w:p w14:paraId="7F20583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南津港污水处理厂</w:t>
                  </w:r>
                </w:p>
              </w:tc>
              <w:tc>
                <w:tcPr>
                  <w:tcW w:w="1140" w:type="dxa"/>
                  <w:vAlign w:val="center"/>
                </w:tcPr>
                <w:p w14:paraId="76F183D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pH</w:t>
                  </w:r>
                </w:p>
              </w:tc>
              <w:tc>
                <w:tcPr>
                  <w:tcW w:w="2501" w:type="dxa"/>
                  <w:vAlign w:val="center"/>
                </w:tcPr>
                <w:p w14:paraId="234E766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6-9（无量纲）</w:t>
                  </w:r>
                </w:p>
              </w:tc>
            </w:tr>
            <w:tr w14:paraId="62AF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67DAC51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695785F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3C8D26E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40700D7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47BC0F1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284E8B0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001A25C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12E68DC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COD</w:t>
                  </w:r>
                </w:p>
              </w:tc>
              <w:tc>
                <w:tcPr>
                  <w:tcW w:w="2501" w:type="dxa"/>
                  <w:vAlign w:val="center"/>
                </w:tcPr>
                <w:p w14:paraId="53A854E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50</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1EFB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6EACAD5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3AE9E5D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7C9B5F8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5E1760A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534B69A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1AD07C6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55E069A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1AFD4DE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BOD</w:t>
                  </w:r>
                  <w:r>
                    <w:rPr>
                      <w:rFonts w:hint="eastAsia" w:ascii="Times New Roman" w:hAnsi="Times New Roman" w:eastAsia="宋体" w:cs="Times New Roman"/>
                      <w:color w:val="000000" w:themeColor="text1"/>
                      <w:kern w:val="0"/>
                      <w:sz w:val="21"/>
                      <w:szCs w:val="21"/>
                      <w:u w:val="none"/>
                      <w:vertAlign w:val="subscript"/>
                      <w:lang w:val="en-US" w:eastAsia="zh-CN" w:bidi="ar-SA"/>
                    </w:rPr>
                    <w:t>5</w:t>
                  </w:r>
                </w:p>
              </w:tc>
              <w:tc>
                <w:tcPr>
                  <w:tcW w:w="2501" w:type="dxa"/>
                  <w:vAlign w:val="center"/>
                </w:tcPr>
                <w:p w14:paraId="72CA768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10</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3DC0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4D8AC24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571671C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00DAD3E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5F9F079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2D7521D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1F60639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0FC39B4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4D76F8C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SS</w:t>
                  </w:r>
                </w:p>
              </w:tc>
              <w:tc>
                <w:tcPr>
                  <w:tcW w:w="2501" w:type="dxa"/>
                  <w:vAlign w:val="center"/>
                </w:tcPr>
                <w:p w14:paraId="2BF7AAD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10</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222F6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423B704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780D11A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2B0EFBE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666713D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1F3EDE4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1E303EC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1250DC4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3DCE690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NH</w:t>
                  </w:r>
                  <w:r>
                    <w:rPr>
                      <w:rFonts w:hint="eastAsia" w:ascii="Times New Roman" w:hAnsi="Times New Roman" w:eastAsia="宋体" w:cs="Times New Roman"/>
                      <w:color w:val="000000" w:themeColor="text1"/>
                      <w:kern w:val="0"/>
                      <w:sz w:val="21"/>
                      <w:szCs w:val="21"/>
                      <w:u w:val="none"/>
                      <w:vertAlign w:val="subscript"/>
                      <w:lang w:val="en-US" w:eastAsia="zh-CN" w:bidi="ar-SA"/>
                    </w:rPr>
                    <w:t>3</w:t>
                  </w:r>
                  <w:r>
                    <w:rPr>
                      <w:rFonts w:hint="eastAsia" w:ascii="Times New Roman" w:hAnsi="Times New Roman" w:eastAsia="宋体" w:cs="Times New Roman"/>
                      <w:color w:val="000000" w:themeColor="text1"/>
                      <w:kern w:val="0"/>
                      <w:sz w:val="21"/>
                      <w:szCs w:val="21"/>
                      <w:u w:val="none"/>
                      <w:lang w:val="en-US" w:eastAsia="zh-CN" w:bidi="ar-SA"/>
                    </w:rPr>
                    <w:t>-N</w:t>
                  </w:r>
                </w:p>
              </w:tc>
              <w:tc>
                <w:tcPr>
                  <w:tcW w:w="2501" w:type="dxa"/>
                  <w:vAlign w:val="center"/>
                </w:tcPr>
                <w:p w14:paraId="3D74212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5</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52A7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381652C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11711DD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1AFA145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0160017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6FB8F53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2A766C1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10AB11D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6F87D15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动植物油</w:t>
                  </w:r>
                </w:p>
              </w:tc>
              <w:tc>
                <w:tcPr>
                  <w:tcW w:w="2501" w:type="dxa"/>
                  <w:vAlign w:val="center"/>
                </w:tcPr>
                <w:p w14:paraId="4F621D5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1</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4099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4E4C1ED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3BC8EA8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227D0AD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266A785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64B752F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5811734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34454B4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1D05160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石油类</w:t>
                  </w:r>
                </w:p>
              </w:tc>
              <w:tc>
                <w:tcPr>
                  <w:tcW w:w="2501" w:type="dxa"/>
                  <w:vAlign w:val="center"/>
                </w:tcPr>
                <w:p w14:paraId="4048C0D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1</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524C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3E3E862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0FD77E9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553507C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1DCF626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7547208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1FCB6D6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639BD24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1D5A4D9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总余氯</w:t>
                  </w:r>
                </w:p>
              </w:tc>
              <w:tc>
                <w:tcPr>
                  <w:tcW w:w="2501" w:type="dxa"/>
                  <w:vAlign w:val="center"/>
                </w:tcPr>
                <w:p w14:paraId="625BC13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w:t>
                  </w:r>
                </w:p>
              </w:tc>
            </w:tr>
            <w:tr w14:paraId="798A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4ACE1BF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56D69E1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0F1CA90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59473FE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3342738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47E8469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28B5F46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52ED98B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LAS</w:t>
                  </w:r>
                </w:p>
              </w:tc>
              <w:tc>
                <w:tcPr>
                  <w:tcW w:w="2501" w:type="dxa"/>
                  <w:vAlign w:val="center"/>
                </w:tcPr>
                <w:p w14:paraId="4C667EB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0.5</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436D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1CB749C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22409E6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38FBA59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3DA3366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6B4BCBB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3732FC3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6F7805F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59DB0B6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总氮</w:t>
                  </w:r>
                </w:p>
              </w:tc>
              <w:tc>
                <w:tcPr>
                  <w:tcW w:w="2501" w:type="dxa"/>
                  <w:vAlign w:val="center"/>
                </w:tcPr>
                <w:p w14:paraId="69D0795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15</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r w14:paraId="2B765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4" w:type="dxa"/>
                  <w:vMerge w:val="continue"/>
                  <w:vAlign w:val="center"/>
                </w:tcPr>
                <w:p w14:paraId="474C2D8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45" w:type="dxa"/>
                  <w:vMerge w:val="continue"/>
                  <w:vAlign w:val="center"/>
                </w:tcPr>
                <w:p w14:paraId="50FE2E1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675" w:type="dxa"/>
                  <w:vMerge w:val="continue"/>
                  <w:vAlign w:val="center"/>
                </w:tcPr>
                <w:p w14:paraId="4EAF881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802" w:type="dxa"/>
                  <w:vMerge w:val="continue"/>
                  <w:vAlign w:val="center"/>
                </w:tcPr>
                <w:p w14:paraId="03BCC4A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35" w:type="dxa"/>
                  <w:vMerge w:val="continue"/>
                  <w:vAlign w:val="center"/>
                </w:tcPr>
                <w:p w14:paraId="6C36D32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724" w:type="dxa"/>
                  <w:vMerge w:val="continue"/>
                  <w:vAlign w:val="center"/>
                </w:tcPr>
                <w:p w14:paraId="48986D9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585" w:type="dxa"/>
                  <w:vMerge w:val="continue"/>
                  <w:vAlign w:val="center"/>
                </w:tcPr>
                <w:p w14:paraId="2B7A08A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p>
              </w:tc>
              <w:tc>
                <w:tcPr>
                  <w:tcW w:w="1140" w:type="dxa"/>
                  <w:vAlign w:val="center"/>
                </w:tcPr>
                <w:p w14:paraId="17AFF49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总磷</w:t>
                  </w:r>
                </w:p>
              </w:tc>
              <w:tc>
                <w:tcPr>
                  <w:tcW w:w="2501" w:type="dxa"/>
                  <w:vAlign w:val="center"/>
                </w:tcPr>
                <w:p w14:paraId="0B48B03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u w:val="none"/>
                      <w:lang w:val="en-US" w:eastAsia="zh-CN" w:bidi="ar-SA"/>
                    </w:rPr>
                  </w:pPr>
                  <w:r>
                    <w:rPr>
                      <w:rFonts w:hint="eastAsia" w:ascii="Times New Roman" w:hAnsi="Times New Roman" w:eastAsia="宋体" w:cs="Times New Roman"/>
                      <w:color w:val="000000" w:themeColor="text1"/>
                      <w:kern w:val="0"/>
                      <w:sz w:val="21"/>
                      <w:szCs w:val="21"/>
                      <w:u w:val="none"/>
                      <w:lang w:val="en-US" w:eastAsia="zh-CN" w:bidi="ar-SA"/>
                    </w:rPr>
                    <w:t>0.5</w:t>
                  </w:r>
                  <w:r>
                    <w:rPr>
                      <w:rFonts w:hint="eastAsia" w:cs="Times New Roman"/>
                      <w:color w:val="000000" w:themeColor="text1"/>
                      <w:kern w:val="0"/>
                      <w:sz w:val="21"/>
                      <w:szCs w:val="21"/>
                      <w:u w:val="none"/>
                      <w:lang w:val="en-US" w:eastAsia="zh-CN" w:bidi="ar-SA"/>
                    </w:rPr>
                    <w:t>（</w:t>
                  </w:r>
                  <w:r>
                    <w:rPr>
                      <w:rFonts w:hint="eastAsia"/>
                      <w:b w:val="0"/>
                      <w:bCs w:val="0"/>
                      <w:color w:val="000000" w:themeColor="text1"/>
                      <w:sz w:val="21"/>
                      <w:szCs w:val="24"/>
                      <w:vertAlign w:val="baseline"/>
                      <w:lang w:val="en-US" w:eastAsia="zh-CN"/>
                    </w:rPr>
                    <w:t>mg/L）</w:t>
                  </w:r>
                </w:p>
              </w:tc>
            </w:tr>
          </w:tbl>
          <w:p w14:paraId="498CB846">
            <w:pPr>
              <w:bidi w:val="0"/>
              <w:spacing w:line="360" w:lineRule="auto"/>
              <w:jc w:val="center"/>
              <w:rPr>
                <w:rFonts w:hint="default" w:eastAsia="宋体"/>
                <w:b/>
                <w:bCs/>
                <w:color w:val="000000" w:themeColor="text1"/>
                <w:sz w:val="21"/>
                <w:szCs w:val="24"/>
                <w:lang w:val="en-US" w:eastAsia="zh-CN"/>
              </w:rPr>
            </w:pPr>
            <w:r>
              <w:rPr>
                <w:rFonts w:hint="eastAsia"/>
                <w:b/>
                <w:bCs/>
                <w:color w:val="000000" w:themeColor="text1"/>
                <w:sz w:val="21"/>
                <w:szCs w:val="24"/>
                <w:lang w:val="en-US" w:eastAsia="zh-CN"/>
              </w:rPr>
              <w:t>表4-17 废水污染物排放信息表</w:t>
            </w:r>
          </w:p>
          <w:tbl>
            <w:tblPr>
              <w:tblStyle w:val="25"/>
              <w:tblW w:w="84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1170"/>
              <w:gridCol w:w="1350"/>
              <w:gridCol w:w="1800"/>
              <w:gridCol w:w="1710"/>
              <w:gridCol w:w="1751"/>
            </w:tblGrid>
            <w:tr w14:paraId="0B0F6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Align w:val="center"/>
                </w:tcPr>
                <w:p w14:paraId="16CB387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b/>
                      <w:bCs/>
                      <w:color w:val="000000" w:themeColor="text1"/>
                      <w:sz w:val="21"/>
                      <w:szCs w:val="24"/>
                      <w:vertAlign w:val="baseline"/>
                      <w:lang w:val="en-US" w:eastAsia="zh-CN"/>
                    </w:rPr>
                  </w:pPr>
                  <w:r>
                    <w:rPr>
                      <w:rFonts w:hint="eastAsia"/>
                      <w:b/>
                      <w:bCs/>
                      <w:color w:val="000000" w:themeColor="text1"/>
                      <w:sz w:val="21"/>
                      <w:szCs w:val="24"/>
                      <w:vertAlign w:val="baseline"/>
                      <w:lang w:val="en-US" w:eastAsia="zh-CN"/>
                    </w:rPr>
                    <w:t>序号</w:t>
                  </w:r>
                </w:p>
              </w:tc>
              <w:tc>
                <w:tcPr>
                  <w:tcW w:w="1170" w:type="dxa"/>
                  <w:vAlign w:val="center"/>
                </w:tcPr>
                <w:p w14:paraId="5E01C59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b/>
                      <w:bCs/>
                      <w:color w:val="000000" w:themeColor="text1"/>
                      <w:sz w:val="21"/>
                      <w:szCs w:val="24"/>
                      <w:vertAlign w:val="baseline"/>
                      <w:lang w:val="en-US" w:eastAsia="zh-CN"/>
                    </w:rPr>
                  </w:pPr>
                  <w:r>
                    <w:rPr>
                      <w:rFonts w:hint="eastAsia"/>
                      <w:b/>
                      <w:bCs/>
                      <w:color w:val="000000" w:themeColor="text1"/>
                      <w:sz w:val="21"/>
                      <w:szCs w:val="24"/>
                      <w:vertAlign w:val="baseline"/>
                      <w:lang w:val="en-US" w:eastAsia="zh-CN"/>
                    </w:rPr>
                    <w:t>废水种类</w:t>
                  </w:r>
                </w:p>
              </w:tc>
              <w:tc>
                <w:tcPr>
                  <w:tcW w:w="1350" w:type="dxa"/>
                  <w:vAlign w:val="center"/>
                </w:tcPr>
                <w:p w14:paraId="14BD49E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b/>
                      <w:bCs/>
                      <w:color w:val="000000" w:themeColor="text1"/>
                      <w:sz w:val="21"/>
                      <w:szCs w:val="24"/>
                      <w:vertAlign w:val="baseline"/>
                      <w:lang w:val="en-US" w:eastAsia="zh-CN"/>
                    </w:rPr>
                  </w:pPr>
                  <w:r>
                    <w:rPr>
                      <w:rFonts w:hint="eastAsia"/>
                      <w:b/>
                      <w:bCs/>
                      <w:color w:val="000000" w:themeColor="text1"/>
                      <w:sz w:val="21"/>
                      <w:szCs w:val="24"/>
                      <w:vertAlign w:val="baseline"/>
                      <w:lang w:val="en-US" w:eastAsia="zh-CN"/>
                    </w:rPr>
                    <w:t>污染物种类</w:t>
                  </w:r>
                </w:p>
              </w:tc>
              <w:tc>
                <w:tcPr>
                  <w:tcW w:w="1800" w:type="dxa"/>
                  <w:vAlign w:val="center"/>
                </w:tcPr>
                <w:p w14:paraId="488DF39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b/>
                      <w:bCs/>
                      <w:color w:val="000000" w:themeColor="text1"/>
                      <w:sz w:val="21"/>
                      <w:szCs w:val="24"/>
                      <w:vertAlign w:val="baseline"/>
                      <w:lang w:val="en-US" w:eastAsia="zh-CN"/>
                    </w:rPr>
                  </w:pPr>
                  <w:r>
                    <w:rPr>
                      <w:rFonts w:hint="eastAsia"/>
                      <w:b/>
                      <w:bCs/>
                      <w:color w:val="000000" w:themeColor="text1"/>
                      <w:sz w:val="21"/>
                      <w:szCs w:val="24"/>
                      <w:vertAlign w:val="baseline"/>
                      <w:lang w:val="en-US" w:eastAsia="zh-CN"/>
                    </w:rPr>
                    <w:t>本项目排放限值（mg/L）</w:t>
                  </w:r>
                </w:p>
              </w:tc>
              <w:tc>
                <w:tcPr>
                  <w:tcW w:w="1710" w:type="dxa"/>
                  <w:vAlign w:val="center"/>
                </w:tcPr>
                <w:p w14:paraId="7AF28C7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b/>
                      <w:bCs/>
                      <w:color w:val="000000" w:themeColor="text1"/>
                      <w:sz w:val="21"/>
                      <w:szCs w:val="24"/>
                      <w:vertAlign w:val="baseline"/>
                      <w:lang w:val="en-US" w:eastAsia="zh-CN"/>
                    </w:rPr>
                  </w:pPr>
                  <w:r>
                    <w:rPr>
                      <w:rFonts w:hint="eastAsia"/>
                      <w:b/>
                      <w:bCs/>
                      <w:color w:val="000000" w:themeColor="text1"/>
                      <w:sz w:val="21"/>
                      <w:szCs w:val="24"/>
                      <w:vertAlign w:val="baseline"/>
                      <w:lang w:val="en-US" w:eastAsia="zh-CN"/>
                    </w:rPr>
                    <w:t>南津港污水厂排放标准（mg/L）</w:t>
                  </w:r>
                </w:p>
              </w:tc>
              <w:tc>
                <w:tcPr>
                  <w:tcW w:w="1751" w:type="dxa"/>
                  <w:vAlign w:val="center"/>
                </w:tcPr>
                <w:p w14:paraId="3A061E8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b/>
                      <w:bCs/>
                      <w:color w:val="000000" w:themeColor="text1"/>
                      <w:sz w:val="21"/>
                      <w:szCs w:val="24"/>
                      <w:vertAlign w:val="baseline"/>
                      <w:lang w:val="en-US" w:eastAsia="zh-CN"/>
                    </w:rPr>
                  </w:pPr>
                  <w:r>
                    <w:rPr>
                      <w:rFonts w:hint="eastAsia"/>
                      <w:b/>
                      <w:bCs/>
                      <w:color w:val="000000" w:themeColor="text1"/>
                      <w:sz w:val="21"/>
                      <w:szCs w:val="24"/>
                      <w:vertAlign w:val="baseline"/>
                      <w:lang w:val="en-US" w:eastAsia="zh-CN"/>
                    </w:rPr>
                    <w:t>年排放量（t/a）</w:t>
                  </w:r>
                </w:p>
              </w:tc>
            </w:tr>
            <w:tr w14:paraId="776A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restart"/>
                  <w:vAlign w:val="center"/>
                </w:tcPr>
                <w:p w14:paraId="4D7F317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1</w:t>
                  </w:r>
                </w:p>
              </w:tc>
              <w:tc>
                <w:tcPr>
                  <w:tcW w:w="1170" w:type="dxa"/>
                  <w:vMerge w:val="restart"/>
                  <w:vAlign w:val="center"/>
                </w:tcPr>
                <w:p w14:paraId="69E1D53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综合废水</w:t>
                  </w:r>
                </w:p>
              </w:tc>
              <w:tc>
                <w:tcPr>
                  <w:tcW w:w="1350" w:type="dxa"/>
                  <w:vAlign w:val="center"/>
                </w:tcPr>
                <w:p w14:paraId="31F337E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pH</w:t>
                  </w:r>
                </w:p>
              </w:tc>
              <w:tc>
                <w:tcPr>
                  <w:tcW w:w="1800" w:type="dxa"/>
                  <w:vAlign w:val="center"/>
                </w:tcPr>
                <w:p w14:paraId="7608988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6-9（无量纲）</w:t>
                  </w:r>
                </w:p>
              </w:tc>
              <w:tc>
                <w:tcPr>
                  <w:tcW w:w="1710" w:type="dxa"/>
                  <w:vAlign w:val="center"/>
                </w:tcPr>
                <w:p w14:paraId="590B49D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lang w:val="en-US" w:eastAsia="zh-CN"/>
                    </w:rPr>
                  </w:pPr>
                  <w:r>
                    <w:rPr>
                      <w:rFonts w:hint="eastAsia"/>
                      <w:color w:val="000000" w:themeColor="text1"/>
                      <w:sz w:val="21"/>
                      <w:szCs w:val="24"/>
                      <w:vertAlign w:val="baseline"/>
                      <w:lang w:val="en-US" w:eastAsia="zh-CN"/>
                    </w:rPr>
                    <w:t>6-9（无量纲）</w:t>
                  </w:r>
                </w:p>
              </w:tc>
              <w:tc>
                <w:tcPr>
                  <w:tcW w:w="1751" w:type="dxa"/>
                  <w:vAlign w:val="center"/>
                </w:tcPr>
                <w:p w14:paraId="3B1590E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w:t>
                  </w:r>
                </w:p>
              </w:tc>
            </w:tr>
            <w:tr w14:paraId="571B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vAlign w:val="center"/>
                </w:tcPr>
                <w:p w14:paraId="43C5D73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170" w:type="dxa"/>
                  <w:vMerge w:val="continue"/>
                  <w:vAlign w:val="center"/>
                </w:tcPr>
                <w:p w14:paraId="228C7D8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350" w:type="dxa"/>
                  <w:vAlign w:val="center"/>
                </w:tcPr>
                <w:p w14:paraId="44E5DE2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COD</w:t>
                  </w:r>
                  <w:r>
                    <w:rPr>
                      <w:rFonts w:hint="eastAsia"/>
                      <w:color w:val="000000" w:themeColor="text1"/>
                      <w:sz w:val="21"/>
                      <w:szCs w:val="24"/>
                      <w:vertAlign w:val="subscript"/>
                      <w:lang w:val="en-US" w:eastAsia="zh-CN"/>
                    </w:rPr>
                    <w:t>Cr</w:t>
                  </w:r>
                </w:p>
              </w:tc>
              <w:tc>
                <w:tcPr>
                  <w:tcW w:w="1800" w:type="dxa"/>
                  <w:vAlign w:val="center"/>
                </w:tcPr>
                <w:p w14:paraId="35D47EB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250</w:t>
                  </w:r>
                </w:p>
              </w:tc>
              <w:tc>
                <w:tcPr>
                  <w:tcW w:w="1710" w:type="dxa"/>
                  <w:vAlign w:val="center"/>
                </w:tcPr>
                <w:p w14:paraId="500F53D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lang w:val="en-US" w:eastAsia="zh-CN"/>
                    </w:rPr>
                  </w:pPr>
                  <w:r>
                    <w:rPr>
                      <w:rFonts w:hint="eastAsia"/>
                      <w:color w:val="000000" w:themeColor="text1"/>
                      <w:sz w:val="21"/>
                      <w:szCs w:val="24"/>
                      <w:vertAlign w:val="baseline"/>
                      <w:lang w:val="en-US" w:eastAsia="zh-CN"/>
                    </w:rPr>
                    <w:t>50</w:t>
                  </w:r>
                </w:p>
              </w:tc>
              <w:tc>
                <w:tcPr>
                  <w:tcW w:w="1751" w:type="dxa"/>
                  <w:vAlign w:val="center"/>
                </w:tcPr>
                <w:p w14:paraId="508296D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2.949</w:t>
                  </w:r>
                </w:p>
              </w:tc>
            </w:tr>
            <w:tr w14:paraId="4163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vAlign w:val="center"/>
                </w:tcPr>
                <w:p w14:paraId="12AA271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170" w:type="dxa"/>
                  <w:vMerge w:val="continue"/>
                  <w:vAlign w:val="center"/>
                </w:tcPr>
                <w:p w14:paraId="7F5F4BE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350" w:type="dxa"/>
                  <w:vAlign w:val="center"/>
                </w:tcPr>
                <w:p w14:paraId="31A8657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BOD</w:t>
                  </w:r>
                  <w:r>
                    <w:rPr>
                      <w:rFonts w:hint="eastAsia"/>
                      <w:color w:val="000000" w:themeColor="text1"/>
                      <w:sz w:val="21"/>
                      <w:szCs w:val="24"/>
                      <w:vertAlign w:val="subscript"/>
                      <w:lang w:val="en-US" w:eastAsia="zh-CN"/>
                    </w:rPr>
                    <w:t>5</w:t>
                  </w:r>
                </w:p>
              </w:tc>
              <w:tc>
                <w:tcPr>
                  <w:tcW w:w="1800" w:type="dxa"/>
                  <w:vAlign w:val="center"/>
                </w:tcPr>
                <w:p w14:paraId="73D58D2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100</w:t>
                  </w:r>
                </w:p>
              </w:tc>
              <w:tc>
                <w:tcPr>
                  <w:tcW w:w="1710" w:type="dxa"/>
                  <w:vAlign w:val="center"/>
                </w:tcPr>
                <w:p w14:paraId="7B79B35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lang w:val="en-US" w:eastAsia="zh-CN"/>
                    </w:rPr>
                  </w:pPr>
                  <w:r>
                    <w:rPr>
                      <w:rFonts w:hint="eastAsia"/>
                      <w:color w:val="000000" w:themeColor="text1"/>
                      <w:sz w:val="21"/>
                      <w:szCs w:val="24"/>
                      <w:vertAlign w:val="baseline"/>
                      <w:lang w:val="en-US" w:eastAsia="zh-CN"/>
                    </w:rPr>
                    <w:t>10</w:t>
                  </w:r>
                </w:p>
              </w:tc>
              <w:tc>
                <w:tcPr>
                  <w:tcW w:w="1751" w:type="dxa"/>
                  <w:vAlign w:val="center"/>
                </w:tcPr>
                <w:p w14:paraId="3A236AF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0.590</w:t>
                  </w:r>
                </w:p>
              </w:tc>
            </w:tr>
            <w:tr w14:paraId="17AF8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vAlign w:val="center"/>
                </w:tcPr>
                <w:p w14:paraId="3217C4E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170" w:type="dxa"/>
                  <w:vMerge w:val="continue"/>
                  <w:vAlign w:val="center"/>
                </w:tcPr>
                <w:p w14:paraId="674A808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350" w:type="dxa"/>
                  <w:vAlign w:val="center"/>
                </w:tcPr>
                <w:p w14:paraId="0F89DA7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SS</w:t>
                  </w:r>
                </w:p>
              </w:tc>
              <w:tc>
                <w:tcPr>
                  <w:tcW w:w="1800" w:type="dxa"/>
                  <w:vAlign w:val="center"/>
                </w:tcPr>
                <w:p w14:paraId="1102E38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60</w:t>
                  </w:r>
                </w:p>
              </w:tc>
              <w:tc>
                <w:tcPr>
                  <w:tcW w:w="1710" w:type="dxa"/>
                  <w:vAlign w:val="center"/>
                </w:tcPr>
                <w:p w14:paraId="598ADAE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lang w:val="en-US" w:eastAsia="zh-CN"/>
                    </w:rPr>
                  </w:pPr>
                  <w:r>
                    <w:rPr>
                      <w:rFonts w:hint="eastAsia"/>
                      <w:color w:val="000000" w:themeColor="text1"/>
                      <w:sz w:val="21"/>
                      <w:szCs w:val="24"/>
                      <w:vertAlign w:val="baseline"/>
                      <w:lang w:val="en-US" w:eastAsia="zh-CN"/>
                    </w:rPr>
                    <w:t>10</w:t>
                  </w:r>
                </w:p>
              </w:tc>
              <w:tc>
                <w:tcPr>
                  <w:tcW w:w="1751" w:type="dxa"/>
                  <w:vAlign w:val="center"/>
                </w:tcPr>
                <w:p w14:paraId="0010B9A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0.590</w:t>
                  </w:r>
                </w:p>
              </w:tc>
            </w:tr>
            <w:tr w14:paraId="306C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vAlign w:val="center"/>
                </w:tcPr>
                <w:p w14:paraId="597AA34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170" w:type="dxa"/>
                  <w:vMerge w:val="continue"/>
                  <w:vAlign w:val="center"/>
                </w:tcPr>
                <w:p w14:paraId="083D6C7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350" w:type="dxa"/>
                  <w:vAlign w:val="center"/>
                </w:tcPr>
                <w:p w14:paraId="4491157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氨氮</w:t>
                  </w:r>
                </w:p>
              </w:tc>
              <w:tc>
                <w:tcPr>
                  <w:tcW w:w="1800" w:type="dxa"/>
                  <w:vAlign w:val="center"/>
                </w:tcPr>
                <w:p w14:paraId="1DE369A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25</w:t>
                  </w:r>
                </w:p>
              </w:tc>
              <w:tc>
                <w:tcPr>
                  <w:tcW w:w="1710" w:type="dxa"/>
                  <w:vAlign w:val="center"/>
                </w:tcPr>
                <w:p w14:paraId="3F72FEA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lang w:val="en-US" w:eastAsia="zh-CN"/>
                    </w:rPr>
                  </w:pPr>
                  <w:r>
                    <w:rPr>
                      <w:rFonts w:hint="eastAsia"/>
                      <w:color w:val="000000" w:themeColor="text1"/>
                      <w:sz w:val="21"/>
                      <w:szCs w:val="24"/>
                      <w:vertAlign w:val="baseline"/>
                      <w:lang w:val="en-US" w:eastAsia="zh-CN"/>
                    </w:rPr>
                    <w:t>5</w:t>
                  </w:r>
                </w:p>
              </w:tc>
              <w:tc>
                <w:tcPr>
                  <w:tcW w:w="1751" w:type="dxa"/>
                  <w:vAlign w:val="center"/>
                </w:tcPr>
                <w:p w14:paraId="1E3F268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0.295</w:t>
                  </w:r>
                </w:p>
              </w:tc>
            </w:tr>
            <w:tr w14:paraId="72A3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vAlign w:val="center"/>
                </w:tcPr>
                <w:p w14:paraId="43718E7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170" w:type="dxa"/>
                  <w:vMerge w:val="continue"/>
                  <w:vAlign w:val="center"/>
                </w:tcPr>
                <w:p w14:paraId="5EB0FFD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350" w:type="dxa"/>
                  <w:vAlign w:val="center"/>
                </w:tcPr>
                <w:p w14:paraId="52193F6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动植物油</w:t>
                  </w:r>
                </w:p>
              </w:tc>
              <w:tc>
                <w:tcPr>
                  <w:tcW w:w="1800" w:type="dxa"/>
                  <w:vAlign w:val="center"/>
                </w:tcPr>
                <w:p w14:paraId="07EA954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20</w:t>
                  </w:r>
                </w:p>
              </w:tc>
              <w:tc>
                <w:tcPr>
                  <w:tcW w:w="1710" w:type="dxa"/>
                  <w:vAlign w:val="center"/>
                </w:tcPr>
                <w:p w14:paraId="04672FC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lang w:val="en-US" w:eastAsia="zh-CN"/>
                    </w:rPr>
                  </w:pPr>
                  <w:r>
                    <w:rPr>
                      <w:rFonts w:hint="eastAsia"/>
                      <w:color w:val="000000" w:themeColor="text1"/>
                      <w:sz w:val="21"/>
                      <w:szCs w:val="24"/>
                      <w:vertAlign w:val="baseline"/>
                      <w:lang w:val="en-US" w:eastAsia="zh-CN"/>
                    </w:rPr>
                    <w:t>1</w:t>
                  </w:r>
                </w:p>
              </w:tc>
              <w:tc>
                <w:tcPr>
                  <w:tcW w:w="1751" w:type="dxa"/>
                  <w:vAlign w:val="center"/>
                </w:tcPr>
                <w:p w14:paraId="29C4A3B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0.059</w:t>
                  </w:r>
                </w:p>
              </w:tc>
            </w:tr>
            <w:tr w14:paraId="7D83F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vMerge w:val="continue"/>
                  <w:vAlign w:val="center"/>
                </w:tcPr>
                <w:p w14:paraId="6EE5CFB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170" w:type="dxa"/>
                  <w:vMerge w:val="continue"/>
                  <w:vAlign w:val="center"/>
                </w:tcPr>
                <w:p w14:paraId="245BD61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1350" w:type="dxa"/>
                  <w:vAlign w:val="center"/>
                </w:tcPr>
                <w:p w14:paraId="0BC51F3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eastAsia"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粪大肠菌群</w:t>
                  </w:r>
                </w:p>
              </w:tc>
              <w:tc>
                <w:tcPr>
                  <w:tcW w:w="1800" w:type="dxa"/>
                  <w:vAlign w:val="center"/>
                </w:tcPr>
                <w:p w14:paraId="0A41A98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5000（MPN/L）</w:t>
                  </w:r>
                </w:p>
              </w:tc>
              <w:tc>
                <w:tcPr>
                  <w:tcW w:w="1710" w:type="dxa"/>
                  <w:vAlign w:val="center"/>
                </w:tcPr>
                <w:p w14:paraId="4909AF4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lang w:val="en-US" w:eastAsia="zh-CN"/>
                    </w:rPr>
                  </w:pPr>
                  <w:r>
                    <w:rPr>
                      <w:rFonts w:hint="eastAsia"/>
                      <w:color w:val="000000" w:themeColor="text1"/>
                      <w:sz w:val="21"/>
                      <w:szCs w:val="24"/>
                      <w:vertAlign w:val="baseline"/>
                      <w:lang w:val="en-US" w:eastAsia="zh-CN"/>
                    </w:rPr>
                    <w:t>10000（MPN/L）</w:t>
                  </w:r>
                </w:p>
              </w:tc>
              <w:tc>
                <w:tcPr>
                  <w:tcW w:w="1751" w:type="dxa"/>
                  <w:vAlign w:val="center"/>
                </w:tcPr>
                <w:p w14:paraId="6FEBADF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2.95×10</w:t>
                  </w:r>
                  <w:r>
                    <w:rPr>
                      <w:rFonts w:hint="eastAsia"/>
                      <w:color w:val="000000" w:themeColor="text1"/>
                      <w:sz w:val="21"/>
                      <w:szCs w:val="24"/>
                      <w:vertAlign w:val="superscript"/>
                      <w:lang w:val="en-US" w:eastAsia="zh-CN"/>
                    </w:rPr>
                    <w:t>8</w:t>
                  </w:r>
                  <w:r>
                    <w:rPr>
                      <w:rFonts w:hint="eastAsia"/>
                      <w:color w:val="000000" w:themeColor="text1"/>
                      <w:sz w:val="21"/>
                      <w:szCs w:val="24"/>
                      <w:vertAlign w:val="baseline"/>
                      <w:lang w:val="en-US" w:eastAsia="zh-CN"/>
                    </w:rPr>
                    <w:t>（MPN）</w:t>
                  </w:r>
                </w:p>
              </w:tc>
            </w:tr>
            <w:tr w14:paraId="300A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0" w:type="dxa"/>
                  <w:gridSpan w:val="2"/>
                  <w:vMerge w:val="restart"/>
                  <w:vAlign w:val="center"/>
                </w:tcPr>
                <w:p w14:paraId="7927EB2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eastAsia="宋体"/>
                      <w:color w:val="000000" w:themeColor="text1"/>
                      <w:sz w:val="21"/>
                      <w:szCs w:val="24"/>
                      <w:vertAlign w:val="baseline"/>
                      <w:lang w:val="en-US" w:eastAsia="zh-CN"/>
                    </w:rPr>
                  </w:pPr>
                  <w:r>
                    <w:rPr>
                      <w:rFonts w:hint="eastAsia"/>
                      <w:color w:val="000000" w:themeColor="text1"/>
                      <w:sz w:val="21"/>
                      <w:szCs w:val="24"/>
                      <w:vertAlign w:val="baseline"/>
                      <w:lang w:val="en-US" w:eastAsia="zh-CN"/>
                    </w:rPr>
                    <w:t>全院合计</w:t>
                  </w:r>
                </w:p>
              </w:tc>
              <w:tc>
                <w:tcPr>
                  <w:tcW w:w="4860" w:type="dxa"/>
                  <w:gridSpan w:val="3"/>
                  <w:vAlign w:val="center"/>
                </w:tcPr>
                <w:p w14:paraId="0B60330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pH</w:t>
                  </w:r>
                </w:p>
              </w:tc>
              <w:tc>
                <w:tcPr>
                  <w:tcW w:w="1751" w:type="dxa"/>
                  <w:vAlign w:val="center"/>
                </w:tcPr>
                <w:p w14:paraId="5584ABB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w:t>
                  </w:r>
                </w:p>
              </w:tc>
            </w:tr>
            <w:tr w14:paraId="79DB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0" w:type="dxa"/>
                  <w:gridSpan w:val="2"/>
                  <w:vMerge w:val="continue"/>
                  <w:vAlign w:val="center"/>
                </w:tcPr>
                <w:p w14:paraId="6544FDE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4860" w:type="dxa"/>
                  <w:gridSpan w:val="3"/>
                  <w:vAlign w:val="center"/>
                </w:tcPr>
                <w:p w14:paraId="2CCE2F4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COD</w:t>
                  </w:r>
                  <w:r>
                    <w:rPr>
                      <w:rFonts w:hint="eastAsia"/>
                      <w:color w:val="000000" w:themeColor="text1"/>
                      <w:sz w:val="21"/>
                      <w:szCs w:val="24"/>
                      <w:vertAlign w:val="subscript"/>
                      <w:lang w:val="en-US" w:eastAsia="zh-CN"/>
                    </w:rPr>
                    <w:t>Cr</w:t>
                  </w:r>
                </w:p>
              </w:tc>
              <w:tc>
                <w:tcPr>
                  <w:tcW w:w="1751" w:type="dxa"/>
                  <w:vAlign w:val="center"/>
                </w:tcPr>
                <w:p w14:paraId="136A1E9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2.949</w:t>
                  </w:r>
                </w:p>
              </w:tc>
            </w:tr>
            <w:tr w14:paraId="20F8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0" w:type="dxa"/>
                  <w:gridSpan w:val="2"/>
                  <w:vMerge w:val="continue"/>
                  <w:vAlign w:val="center"/>
                </w:tcPr>
                <w:p w14:paraId="242F099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4860" w:type="dxa"/>
                  <w:gridSpan w:val="3"/>
                  <w:vAlign w:val="center"/>
                </w:tcPr>
                <w:p w14:paraId="25E59BE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BOD</w:t>
                  </w:r>
                  <w:r>
                    <w:rPr>
                      <w:rFonts w:hint="eastAsia"/>
                      <w:color w:val="000000" w:themeColor="text1"/>
                      <w:sz w:val="21"/>
                      <w:szCs w:val="24"/>
                      <w:vertAlign w:val="subscript"/>
                      <w:lang w:val="en-US" w:eastAsia="zh-CN"/>
                    </w:rPr>
                    <w:t>5</w:t>
                  </w:r>
                </w:p>
              </w:tc>
              <w:tc>
                <w:tcPr>
                  <w:tcW w:w="1751" w:type="dxa"/>
                  <w:vAlign w:val="center"/>
                </w:tcPr>
                <w:p w14:paraId="2DA62E7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0.590</w:t>
                  </w:r>
                </w:p>
              </w:tc>
            </w:tr>
            <w:tr w14:paraId="4696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0" w:type="dxa"/>
                  <w:gridSpan w:val="2"/>
                  <w:vMerge w:val="continue"/>
                  <w:vAlign w:val="center"/>
                </w:tcPr>
                <w:p w14:paraId="45566FA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4860" w:type="dxa"/>
                  <w:gridSpan w:val="3"/>
                  <w:vAlign w:val="center"/>
                </w:tcPr>
                <w:p w14:paraId="001067F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SS</w:t>
                  </w:r>
                </w:p>
              </w:tc>
              <w:tc>
                <w:tcPr>
                  <w:tcW w:w="1751" w:type="dxa"/>
                  <w:vAlign w:val="center"/>
                </w:tcPr>
                <w:p w14:paraId="742D427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0.590</w:t>
                  </w:r>
                </w:p>
              </w:tc>
            </w:tr>
            <w:tr w14:paraId="1504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0" w:type="dxa"/>
                  <w:gridSpan w:val="2"/>
                  <w:vMerge w:val="continue"/>
                  <w:vAlign w:val="center"/>
                </w:tcPr>
                <w:p w14:paraId="212CBC3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4860" w:type="dxa"/>
                  <w:gridSpan w:val="3"/>
                  <w:vAlign w:val="center"/>
                </w:tcPr>
                <w:p w14:paraId="638E96F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氨氮</w:t>
                  </w:r>
                </w:p>
              </w:tc>
              <w:tc>
                <w:tcPr>
                  <w:tcW w:w="1751" w:type="dxa"/>
                  <w:vAlign w:val="center"/>
                </w:tcPr>
                <w:p w14:paraId="0B82E31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0.295</w:t>
                  </w:r>
                </w:p>
              </w:tc>
            </w:tr>
            <w:tr w14:paraId="00FB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0" w:type="dxa"/>
                  <w:gridSpan w:val="2"/>
                  <w:vMerge w:val="continue"/>
                  <w:vAlign w:val="center"/>
                </w:tcPr>
                <w:p w14:paraId="6A4D5EB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4860" w:type="dxa"/>
                  <w:gridSpan w:val="3"/>
                  <w:vAlign w:val="center"/>
                </w:tcPr>
                <w:p w14:paraId="04C4B71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动植物油</w:t>
                  </w:r>
                </w:p>
              </w:tc>
              <w:tc>
                <w:tcPr>
                  <w:tcW w:w="1751" w:type="dxa"/>
                  <w:vAlign w:val="center"/>
                </w:tcPr>
                <w:p w14:paraId="5FE9D32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0.059</w:t>
                  </w:r>
                </w:p>
              </w:tc>
            </w:tr>
            <w:tr w14:paraId="016E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70" w:type="dxa"/>
                  <w:gridSpan w:val="2"/>
                  <w:vMerge w:val="continue"/>
                  <w:vAlign w:val="center"/>
                </w:tcPr>
                <w:p w14:paraId="2974982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p>
              </w:tc>
              <w:tc>
                <w:tcPr>
                  <w:tcW w:w="4860" w:type="dxa"/>
                  <w:gridSpan w:val="3"/>
                  <w:vAlign w:val="center"/>
                </w:tcPr>
                <w:p w14:paraId="47604A1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粪大肠菌群</w:t>
                  </w:r>
                </w:p>
              </w:tc>
              <w:tc>
                <w:tcPr>
                  <w:tcW w:w="1751" w:type="dxa"/>
                  <w:vAlign w:val="center"/>
                </w:tcPr>
                <w:p w14:paraId="30A1FF6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color w:val="000000" w:themeColor="text1"/>
                      <w:sz w:val="21"/>
                      <w:szCs w:val="24"/>
                      <w:vertAlign w:val="baseline"/>
                    </w:rPr>
                  </w:pPr>
                  <w:r>
                    <w:rPr>
                      <w:rFonts w:hint="eastAsia"/>
                      <w:color w:val="000000" w:themeColor="text1"/>
                      <w:sz w:val="21"/>
                      <w:szCs w:val="24"/>
                      <w:vertAlign w:val="baseline"/>
                      <w:lang w:val="en-US" w:eastAsia="zh-CN"/>
                    </w:rPr>
                    <w:t>2.95×10</w:t>
                  </w:r>
                  <w:r>
                    <w:rPr>
                      <w:rFonts w:hint="eastAsia"/>
                      <w:color w:val="000000" w:themeColor="text1"/>
                      <w:sz w:val="21"/>
                      <w:szCs w:val="24"/>
                      <w:vertAlign w:val="superscript"/>
                      <w:lang w:val="en-US" w:eastAsia="zh-CN"/>
                    </w:rPr>
                    <w:t>8</w:t>
                  </w:r>
                  <w:r>
                    <w:rPr>
                      <w:rFonts w:hint="eastAsia"/>
                      <w:color w:val="000000" w:themeColor="text1"/>
                      <w:sz w:val="21"/>
                      <w:szCs w:val="24"/>
                      <w:vertAlign w:val="baseline"/>
                      <w:lang w:val="en-US" w:eastAsia="zh-CN"/>
                    </w:rPr>
                    <w:t>（MPN）</w:t>
                  </w:r>
                </w:p>
              </w:tc>
            </w:tr>
          </w:tbl>
          <w:p w14:paraId="4D54C207">
            <w:pPr>
              <w:spacing w:line="360" w:lineRule="auto"/>
              <w:ind w:firstLine="482" w:firstLineChars="200"/>
              <w:rPr>
                <w:rFonts w:hint="default" w:ascii="Times New Roman" w:hAnsi="Times New Roman" w:eastAsia="宋体" w:cs="Times New Roman"/>
                <w:b/>
                <w:bCs/>
                <w:color w:val="000000" w:themeColor="text1"/>
                <w:sz w:val="24"/>
                <w:szCs w:val="24"/>
              </w:rPr>
            </w:pPr>
            <w:r>
              <w:rPr>
                <w:rFonts w:hint="default" w:ascii="Times New Roman" w:hAnsi="Times New Roman" w:eastAsia="宋体" w:cs="Times New Roman"/>
                <w:b/>
                <w:bCs/>
                <w:color w:val="000000" w:themeColor="text1"/>
                <w:sz w:val="24"/>
                <w:szCs w:val="24"/>
              </w:rPr>
              <w:t>（4）废水排放去向合理性分析</w:t>
            </w:r>
          </w:p>
          <w:p w14:paraId="3E89CEE6">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cs="Times New Roman"/>
                <w:color w:val="000000" w:themeColor="text1"/>
                <w:sz w:val="24"/>
                <w:szCs w:val="24"/>
                <w:u w:val="none"/>
                <w:lang w:val="en-US" w:eastAsia="zh-CN"/>
              </w:rPr>
              <w:t>本项目利用原有的</w:t>
            </w:r>
            <w:r>
              <w:rPr>
                <w:rFonts w:hint="eastAsia" w:ascii="Times New Roman" w:hAnsi="Times New Roman" w:cs="Times New Roman"/>
                <w:color w:val="000000" w:themeColor="text1"/>
                <w:sz w:val="24"/>
                <w:szCs w:val="24"/>
                <w:u w:val="none"/>
                <w:lang w:val="en-US" w:eastAsia="zh-CN"/>
              </w:rPr>
              <w:t>化粪池、隔油池、</w:t>
            </w:r>
            <w:r>
              <w:rPr>
                <w:rFonts w:hint="default" w:ascii="Times New Roman" w:hAnsi="Times New Roman" w:cs="Times New Roman"/>
                <w:color w:val="000000" w:themeColor="text1"/>
                <w:sz w:val="24"/>
                <w:szCs w:val="24"/>
                <w:u w:val="none"/>
                <w:lang w:val="en-US" w:eastAsia="zh-CN"/>
              </w:rPr>
              <w:t>传染病废水预处理系统和综合污水处理站，整套污水处理系统</w:t>
            </w:r>
            <w:r>
              <w:rPr>
                <w:rFonts w:hint="eastAsia" w:ascii="Times New Roman" w:hAnsi="Times New Roman" w:cs="Times New Roman"/>
                <w:color w:val="000000" w:themeColor="text1"/>
                <w:sz w:val="24"/>
                <w:szCs w:val="24"/>
                <w:u w:val="none"/>
                <w:lang w:val="en-US" w:eastAsia="zh-CN"/>
              </w:rPr>
              <w:t>曾</w:t>
            </w:r>
            <w:r>
              <w:rPr>
                <w:rFonts w:hint="default" w:ascii="Times New Roman" w:hAnsi="Times New Roman" w:cs="Times New Roman"/>
                <w:color w:val="000000" w:themeColor="text1"/>
                <w:sz w:val="24"/>
                <w:szCs w:val="24"/>
                <w:u w:val="none"/>
                <w:lang w:val="en-US" w:eastAsia="zh-CN"/>
              </w:rPr>
              <w:t>完成验收（附件9），并设有水质在线监测设备，已与生态环境局完成联网验收，监测因子：流量、总余氯、pH、COD、氨氮、总磷、总氮（</w:t>
            </w:r>
            <w:r>
              <w:rPr>
                <w:rFonts w:hint="default" w:ascii="Times New Roman" w:hAnsi="Times New Roman" w:eastAsia="宋体" w:cs="Times New Roman"/>
                <w:color w:val="000000" w:themeColor="text1"/>
                <w:sz w:val="24"/>
                <w:szCs w:val="24"/>
                <w:u w:val="none"/>
              </w:rPr>
              <w:t>《排污许可证申请与核发技术规范 医疗机构》（HJ 1105-2020）</w:t>
            </w:r>
            <w:r>
              <w:rPr>
                <w:rFonts w:hint="eastAsia" w:cs="Times New Roman"/>
                <w:color w:val="000000" w:themeColor="text1"/>
                <w:sz w:val="24"/>
                <w:szCs w:val="24"/>
                <w:u w:val="none"/>
                <w:lang w:val="en-US" w:eastAsia="zh-CN"/>
              </w:rPr>
              <w:t>中仅对流量要求设置在线监测，本项目所在地区的生态环境主管部门对其他因子提出了在线监测要求，本院与原岳阳市中心医院金鹗山院区管理等级不同，在线监测要求也不同</w:t>
            </w:r>
            <w:r>
              <w:rPr>
                <w:rFonts w:hint="eastAsia"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故</w:t>
            </w:r>
            <w:r>
              <w:rPr>
                <w:rFonts w:hint="default" w:ascii="Times New Roman" w:hAnsi="Times New Roman" w:cs="Times New Roman"/>
                <w:color w:val="000000" w:themeColor="text1"/>
                <w:sz w:val="24"/>
                <w:szCs w:val="24"/>
                <w:u w:val="none"/>
                <w:lang w:val="en-US" w:eastAsia="zh-CN"/>
              </w:rPr>
              <w:t>本项目迁建完成后将</w:t>
            </w:r>
            <w:r>
              <w:rPr>
                <w:rFonts w:hint="eastAsia" w:cs="Times New Roman"/>
                <w:color w:val="000000" w:themeColor="text1"/>
                <w:sz w:val="24"/>
                <w:szCs w:val="24"/>
                <w:u w:val="none"/>
                <w:lang w:val="en-US" w:eastAsia="zh-CN"/>
              </w:rPr>
              <w:t>按照当地主管部门要求将在线监测因子</w:t>
            </w:r>
            <w:r>
              <w:rPr>
                <w:rFonts w:hint="default" w:ascii="Times New Roman" w:hAnsi="Times New Roman" w:cs="Times New Roman"/>
                <w:color w:val="000000" w:themeColor="text1"/>
                <w:sz w:val="24"/>
                <w:szCs w:val="24"/>
                <w:u w:val="none"/>
                <w:lang w:val="en-US" w:eastAsia="zh-CN"/>
              </w:rPr>
              <w:t>改为</w:t>
            </w:r>
            <w:r>
              <w:rPr>
                <w:rFonts w:hint="eastAsia" w:cs="Times New Roman"/>
                <w:color w:val="000000" w:themeColor="text1"/>
                <w:sz w:val="24"/>
                <w:szCs w:val="24"/>
                <w:u w:val="none"/>
                <w:lang w:val="en-US" w:eastAsia="zh-CN"/>
              </w:rPr>
              <w:t>：</w:t>
            </w:r>
            <w:r>
              <w:rPr>
                <w:rFonts w:hint="default" w:ascii="Times New Roman" w:hAnsi="Times New Roman" w:cs="Times New Roman"/>
                <w:color w:val="000000" w:themeColor="text1"/>
                <w:sz w:val="24"/>
                <w:szCs w:val="24"/>
                <w:u w:val="none"/>
                <w:lang w:val="en-US" w:eastAsia="zh-CN"/>
              </w:rPr>
              <w:t>流量、总余氯、pH）</w:t>
            </w:r>
            <w:r>
              <w:rPr>
                <w:rFonts w:hint="default" w:ascii="Times New Roman" w:hAnsi="Times New Roman" w:eastAsia="宋体" w:cs="Times New Roman"/>
                <w:color w:val="000000" w:themeColor="text1"/>
                <w:sz w:val="24"/>
                <w:szCs w:val="24"/>
                <w:u w:val="none"/>
              </w:rPr>
              <w:t>，</w:t>
            </w:r>
            <w:r>
              <w:rPr>
                <w:rFonts w:hint="default" w:ascii="Times New Roman" w:hAnsi="Times New Roman" w:cs="Times New Roman"/>
                <w:color w:val="000000" w:themeColor="text1"/>
                <w:sz w:val="24"/>
                <w:szCs w:val="24"/>
                <w:u w:val="none"/>
                <w:lang w:val="en-US" w:eastAsia="zh-CN"/>
              </w:rPr>
              <w:t>污水处理站运行情况稳定，根据第二章中往年的常规检测结果可知</w:t>
            </w:r>
            <w:r>
              <w:rPr>
                <w:rFonts w:hint="default" w:ascii="Times New Roman" w:hAnsi="Times New Roman" w:cs="Times New Roman"/>
                <w:color w:val="000000" w:themeColor="text1"/>
                <w:sz w:val="24"/>
                <w:szCs w:val="24"/>
                <w:u w:val="none"/>
                <w:lang w:eastAsia="zh-CN"/>
              </w:rPr>
              <w:t>，</w:t>
            </w:r>
            <w:r>
              <w:rPr>
                <w:rFonts w:hint="default" w:ascii="Times New Roman" w:hAnsi="Times New Roman" w:eastAsia="宋体" w:cs="Times New Roman"/>
                <w:color w:val="000000" w:themeColor="text1"/>
                <w:sz w:val="24"/>
                <w:szCs w:val="24"/>
                <w:u w:val="none"/>
              </w:rPr>
              <w:t>处理后的废水能满足《医疗机构水污染物排放标准》（GB18466-2005）排放标准</w:t>
            </w:r>
            <w:r>
              <w:rPr>
                <w:rFonts w:hint="default" w:ascii="Times New Roman" w:hAnsi="Times New Roman" w:cs="Times New Roman"/>
                <w:color w:val="000000" w:themeColor="text1"/>
                <w:sz w:val="24"/>
                <w:szCs w:val="24"/>
                <w:u w:val="none"/>
                <w:lang w:val="en-US" w:eastAsia="zh-CN"/>
              </w:rPr>
              <w:t>和南津港污水处理厂接管要求</w:t>
            </w:r>
            <w:r>
              <w:rPr>
                <w:rFonts w:hint="default" w:ascii="Times New Roman" w:hAnsi="Times New Roman" w:eastAsia="宋体" w:cs="Times New Roman"/>
                <w:color w:val="000000" w:themeColor="text1"/>
                <w:sz w:val="24"/>
                <w:szCs w:val="24"/>
              </w:rPr>
              <w:t xml:space="preserve">。 </w:t>
            </w:r>
          </w:p>
          <w:p w14:paraId="3BF4697D">
            <w:pPr>
              <w:adjustRightInd w:val="0"/>
              <w:snapToGrid w:val="0"/>
              <w:spacing w:line="360" w:lineRule="auto"/>
              <w:ind w:firstLine="480" w:firstLineChars="200"/>
              <w:rPr>
                <w:rFonts w:hint="default" w:ascii="Times New Roman" w:hAnsi="Times New Roman" w:eastAsia="宋体" w:cs="Times New Roman"/>
                <w:color w:val="000000" w:themeColor="text1"/>
                <w:sz w:val="24"/>
                <w:szCs w:val="24"/>
              </w:rPr>
            </w:pPr>
            <w:r>
              <w:rPr>
                <w:rFonts w:hint="default" w:ascii="Times New Roman" w:hAnsi="Times New Roman" w:cs="Times New Roman"/>
                <w:color w:val="000000" w:themeColor="text1"/>
                <w:sz w:val="24"/>
                <w:szCs w:val="24"/>
                <w:lang w:val="en-US" w:eastAsia="zh-CN"/>
              </w:rPr>
              <w:t>原岳阳市中心医院金鹗山院区总排放口已完成接管，岳阳市岳阳楼区人民医院（岳阳肛肠病医院）和原岳阳市中心医院金鹗山院区均办理了排污许可证，本项目污水排放量已纳入了南津港污水处理厂的处理能力和范围中。</w:t>
            </w:r>
          </w:p>
          <w:p w14:paraId="7980D34C">
            <w:pPr>
              <w:widowControl/>
              <w:spacing w:line="360" w:lineRule="auto"/>
              <w:ind w:firstLine="480" w:firstLineChars="200"/>
              <w:jc w:val="left"/>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000000" w:themeColor="text1"/>
                <w:sz w:val="24"/>
                <w:szCs w:val="24"/>
              </w:rPr>
              <w:t>综上所述，本项目污水排放去向合理可行。</w:t>
            </w:r>
          </w:p>
          <w:p w14:paraId="71B7ACF5">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000000" w:themeColor="text1"/>
                <w:sz w:val="24"/>
                <w:szCs w:val="24"/>
                <w:u w:val="none"/>
              </w:rPr>
            </w:pPr>
            <w:r>
              <w:rPr>
                <w:rFonts w:hint="default" w:ascii="Times New Roman" w:hAnsi="Times New Roman" w:eastAsia="宋体" w:cs="Times New Roman"/>
                <w:b/>
                <w:bCs/>
                <w:color w:val="000000" w:themeColor="text1"/>
                <w:sz w:val="24"/>
                <w:szCs w:val="24"/>
              </w:rPr>
              <w:t>（5）</w:t>
            </w:r>
            <w:r>
              <w:rPr>
                <w:rFonts w:hint="default" w:ascii="Times New Roman" w:hAnsi="Times New Roman" w:eastAsia="宋体" w:cs="Times New Roman"/>
                <w:b/>
                <w:bCs/>
                <w:color w:val="000000" w:themeColor="text1"/>
                <w:sz w:val="24"/>
                <w:szCs w:val="24"/>
                <w:u w:val="none"/>
              </w:rPr>
              <w:t>自行监测计划</w:t>
            </w:r>
          </w:p>
          <w:p w14:paraId="15542D81">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themeColor="text1"/>
                <w:sz w:val="24"/>
                <w:szCs w:val="24"/>
                <w:u w:val="single"/>
              </w:rPr>
            </w:pPr>
            <w:r>
              <w:rPr>
                <w:rFonts w:hint="default" w:ascii="Times New Roman" w:hAnsi="Times New Roman" w:eastAsia="宋体" w:cs="Times New Roman"/>
                <w:color w:val="000000" w:themeColor="text1"/>
                <w:sz w:val="24"/>
                <w:szCs w:val="24"/>
                <w:u w:val="none"/>
              </w:rPr>
              <w:t>根据《固定污染源排污许可分类管理名录（2019年版）》，本项目属于简化管理</w:t>
            </w:r>
            <w:r>
              <w:rPr>
                <w:rFonts w:hint="eastAsia" w:cs="Times New Roman"/>
                <w:color w:val="000000" w:themeColor="text1"/>
                <w:sz w:val="24"/>
                <w:szCs w:val="24"/>
                <w:u w:val="none"/>
                <w:lang w:eastAsia="zh-CN"/>
              </w:rPr>
              <w:t>，</w:t>
            </w:r>
            <w:r>
              <w:rPr>
                <w:rFonts w:hint="default" w:ascii="Times New Roman" w:hAnsi="Times New Roman" w:eastAsia="宋体" w:cs="Times New Roman"/>
                <w:color w:val="000000" w:themeColor="text1"/>
                <w:sz w:val="24"/>
                <w:szCs w:val="24"/>
                <w:u w:val="none"/>
              </w:rPr>
              <w:t xml:space="preserve">项目运营期污染源监测可根据实际情况参照《排污单位自行监测技术指南 </w:t>
            </w:r>
            <w:r>
              <w:rPr>
                <w:rFonts w:hint="default" w:ascii="Times New Roman" w:hAnsi="Times New Roman" w:eastAsia="宋体" w:cs="Times New Roman"/>
                <w:color w:val="000000" w:themeColor="text1"/>
                <w:sz w:val="24"/>
                <w:szCs w:val="24"/>
                <w:u w:val="none"/>
                <w:lang w:val="en-US" w:eastAsia="zh-CN"/>
              </w:rPr>
              <w:t>总</w:t>
            </w:r>
            <w:r>
              <w:rPr>
                <w:rFonts w:hint="default" w:ascii="Times New Roman" w:hAnsi="Times New Roman" w:eastAsia="宋体" w:cs="Times New Roman"/>
                <w:color w:val="000000" w:themeColor="text1"/>
                <w:sz w:val="24"/>
                <w:szCs w:val="24"/>
                <w:u w:val="none"/>
              </w:rPr>
              <w:t>则》（HJ 819-2017）</w:t>
            </w:r>
            <w:r>
              <w:rPr>
                <w:rFonts w:hint="default" w:ascii="Times New Roman" w:hAnsi="Times New Roman" w:eastAsia="宋体" w:cs="Times New Roman"/>
                <w:color w:val="000000" w:themeColor="text1"/>
                <w:sz w:val="24"/>
                <w:szCs w:val="24"/>
                <w:u w:val="none"/>
                <w:lang w:val="en-US" w:eastAsia="zh-CN"/>
              </w:rPr>
              <w:t>、</w:t>
            </w:r>
            <w:r>
              <w:rPr>
                <w:rFonts w:hint="default" w:ascii="Times New Roman" w:hAnsi="Times New Roman" w:eastAsia="宋体" w:cs="Times New Roman"/>
                <w:color w:val="000000" w:themeColor="text1"/>
                <w:sz w:val="24"/>
                <w:szCs w:val="24"/>
                <w:u w:val="none"/>
              </w:rPr>
              <w:t>《排污许可证申请与核发技术规范 总则》（HJ 942-2018）、《排污许可证申请与核发技术规范 医疗机构》（HJ 1105-2020），建议项目运营期废水污染源监测计划如下表。</w:t>
            </w:r>
          </w:p>
          <w:p w14:paraId="4AAD418B">
            <w:pPr>
              <w:jc w:val="center"/>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表4-</w:t>
            </w:r>
            <w:r>
              <w:rPr>
                <w:rFonts w:hint="default" w:ascii="Times New Roman" w:hAnsi="Times New Roman" w:cs="Times New Roman"/>
                <w:b/>
                <w:bCs/>
                <w:color w:val="000000" w:themeColor="text1"/>
                <w:sz w:val="21"/>
                <w:szCs w:val="21"/>
                <w:lang w:val="en-US" w:eastAsia="zh-CN"/>
              </w:rPr>
              <w:t>1</w:t>
            </w:r>
            <w:r>
              <w:rPr>
                <w:rFonts w:hint="eastAsia" w:ascii="Times New Roman" w:hAnsi="Times New Roman" w:cs="Times New Roman"/>
                <w:b/>
                <w:bCs/>
                <w:color w:val="000000" w:themeColor="text1"/>
                <w:sz w:val="21"/>
                <w:szCs w:val="21"/>
                <w:lang w:val="en-US" w:eastAsia="zh-CN"/>
              </w:rPr>
              <w:t>8</w:t>
            </w:r>
            <w:r>
              <w:rPr>
                <w:rFonts w:hint="default" w:ascii="Times New Roman" w:hAnsi="Times New Roman" w:eastAsia="宋体" w:cs="Times New Roman"/>
                <w:b/>
                <w:bCs/>
                <w:color w:val="000000" w:themeColor="text1"/>
                <w:sz w:val="21"/>
                <w:szCs w:val="21"/>
              </w:rPr>
              <w:t xml:space="preserve"> 废水监测计划</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6135"/>
              <w:gridCol w:w="1246"/>
            </w:tblGrid>
            <w:tr w14:paraId="6CC7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Align w:val="center"/>
                </w:tcPr>
                <w:p w14:paraId="371AAADE">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监测点位</w:t>
                  </w:r>
                </w:p>
              </w:tc>
              <w:tc>
                <w:tcPr>
                  <w:tcW w:w="3621" w:type="pct"/>
                  <w:vAlign w:val="center"/>
                </w:tcPr>
                <w:p w14:paraId="1601F3B7">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监测指标</w:t>
                  </w:r>
                </w:p>
              </w:tc>
              <w:tc>
                <w:tcPr>
                  <w:tcW w:w="735" w:type="pct"/>
                  <w:vAlign w:val="center"/>
                </w:tcPr>
                <w:p w14:paraId="4C26C704">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监测频次</w:t>
                  </w:r>
                </w:p>
              </w:tc>
            </w:tr>
            <w:tr w14:paraId="5EEAA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restart"/>
                  <w:vAlign w:val="center"/>
                </w:tcPr>
                <w:p w14:paraId="02D95FD5">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污水总排口</w:t>
                  </w:r>
                </w:p>
              </w:tc>
              <w:tc>
                <w:tcPr>
                  <w:tcW w:w="3621" w:type="pct"/>
                  <w:vAlign w:val="center"/>
                </w:tcPr>
                <w:p w14:paraId="4669B6C6">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流量、pH、总余氯</w:t>
                  </w:r>
                </w:p>
              </w:tc>
              <w:tc>
                <w:tcPr>
                  <w:tcW w:w="735" w:type="pct"/>
                  <w:vAlign w:val="center"/>
                </w:tcPr>
                <w:p w14:paraId="6DC83E22">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自动监测</w:t>
                  </w:r>
                </w:p>
              </w:tc>
            </w:tr>
            <w:tr w14:paraId="528F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vAlign w:val="center"/>
                </w:tcPr>
                <w:p w14:paraId="6A62B529">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p>
              </w:tc>
              <w:tc>
                <w:tcPr>
                  <w:tcW w:w="3621" w:type="pct"/>
                  <w:vAlign w:val="center"/>
                </w:tcPr>
                <w:p w14:paraId="3C343124">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化学需氧量、悬浮物</w:t>
                  </w:r>
                </w:p>
              </w:tc>
              <w:tc>
                <w:tcPr>
                  <w:tcW w:w="735" w:type="pct"/>
                  <w:vAlign w:val="center"/>
                </w:tcPr>
                <w:p w14:paraId="26209C64">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周/次</w:t>
                  </w:r>
                </w:p>
              </w:tc>
            </w:tr>
            <w:tr w14:paraId="50F83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pct"/>
                  <w:vMerge w:val="continue"/>
                  <w:vAlign w:val="center"/>
                </w:tcPr>
                <w:p w14:paraId="208561AD">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p>
              </w:tc>
              <w:tc>
                <w:tcPr>
                  <w:tcW w:w="3621" w:type="pct"/>
                  <w:vAlign w:val="center"/>
                </w:tcPr>
                <w:p w14:paraId="0FDA1D30">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lang w:eastAsia="zh-CN"/>
                    </w:rPr>
                  </w:pPr>
                  <w:r>
                    <w:rPr>
                      <w:rFonts w:hint="default" w:ascii="Times New Roman" w:hAnsi="Times New Roman" w:eastAsia="宋体" w:cs="Times New Roman"/>
                      <w:color w:val="000000" w:themeColor="text1"/>
                      <w:sz w:val="21"/>
                      <w:szCs w:val="21"/>
                      <w:lang w:eastAsia="zh-CN"/>
                    </w:rPr>
                    <w:t>粪大肠菌群数</w:t>
                  </w:r>
                </w:p>
              </w:tc>
              <w:tc>
                <w:tcPr>
                  <w:tcW w:w="735" w:type="pct"/>
                  <w:vAlign w:val="center"/>
                </w:tcPr>
                <w:p w14:paraId="5DDD34CD">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月/次</w:t>
                  </w:r>
                </w:p>
              </w:tc>
            </w:tr>
            <w:tr w14:paraId="317F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3" w:type="pct"/>
                  <w:vMerge w:val="continue"/>
                  <w:vAlign w:val="center"/>
                </w:tcPr>
                <w:p w14:paraId="4E476676">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p>
              </w:tc>
              <w:tc>
                <w:tcPr>
                  <w:tcW w:w="3621" w:type="pct"/>
                  <w:vAlign w:val="center"/>
                </w:tcPr>
                <w:p w14:paraId="70488674">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结核杆菌、五日生化需氧量、石油类、挥发酚、动植物油、阴离子表面活性剂、总氰化物</w:t>
                  </w:r>
                </w:p>
              </w:tc>
              <w:tc>
                <w:tcPr>
                  <w:tcW w:w="735" w:type="pct"/>
                  <w:vAlign w:val="center"/>
                </w:tcPr>
                <w:p w14:paraId="699D7788">
                  <w:pPr>
                    <w:pStyle w:val="11"/>
                    <w:keepNext w:val="0"/>
                    <w:keepLines w:val="0"/>
                    <w:pageBreakBefore w:val="0"/>
                    <w:widowControl/>
                    <w:kinsoku/>
                    <w:wordWrap/>
                    <w:overflowPunct/>
                    <w:topLinePunct w:val="0"/>
                    <w:autoSpaceDE/>
                    <w:autoSpaceDN/>
                    <w:bidi w:val="0"/>
                    <w:adjustRightInd/>
                    <w:spacing w:before="60" w:after="60" w:line="240" w:lineRule="auto"/>
                    <w:ind w:right="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季度/次</w:t>
                  </w:r>
                </w:p>
              </w:tc>
            </w:tr>
          </w:tbl>
          <w:p w14:paraId="4E07D08D">
            <w:pPr>
              <w:pStyle w:val="11"/>
              <w:rPr>
                <w:rFonts w:hint="default" w:ascii="Times New Roman" w:hAnsi="Times New Roman" w:eastAsia="宋体" w:cs="Times New Roman"/>
                <w:color w:val="000000" w:themeColor="text1"/>
                <w:sz w:val="21"/>
                <w:szCs w:val="21"/>
              </w:rPr>
            </w:pPr>
          </w:p>
        </w:tc>
      </w:tr>
    </w:tbl>
    <w:p w14:paraId="1A2BAD7C">
      <w:pPr>
        <w:rPr>
          <w:sz w:val="30"/>
        </w:rPr>
        <w:sectPr>
          <w:footerReference r:id="rId6" w:type="default"/>
          <w:footerReference r:id="rId7" w:type="even"/>
          <w:pgSz w:w="11906" w:h="16838"/>
          <w:pgMar w:top="1701" w:right="1531" w:bottom="1701" w:left="1531" w:header="851" w:footer="850" w:gutter="0"/>
          <w:pgBorders>
            <w:top w:val="none" w:sz="0" w:space="0"/>
            <w:left w:val="none" w:sz="0" w:space="0"/>
            <w:bottom w:val="none" w:sz="0" w:space="0"/>
            <w:right w:val="none" w:sz="0" w:space="0"/>
          </w:pgBorders>
          <w:pgNumType w:fmt="numberInDash" w:chapSep="emDash"/>
          <w:cols w:space="720" w:num="1"/>
          <w:docGrid w:linePitch="312" w:charSpace="0"/>
        </w:sectPr>
      </w:pP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
        <w:gridCol w:w="8838"/>
      </w:tblGrid>
      <w:tr w14:paraId="663F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3" w:hRule="atLeast"/>
        </w:trPr>
        <w:tc>
          <w:tcPr>
            <w:tcW w:w="222" w:type="dxa"/>
          </w:tcPr>
          <w:p w14:paraId="1078EEB9">
            <w:pPr>
              <w:pStyle w:val="36"/>
              <w:rPr>
                <w:vertAlign w:val="baseline"/>
              </w:rPr>
            </w:pPr>
          </w:p>
        </w:tc>
        <w:tc>
          <w:tcPr>
            <w:tcW w:w="8838" w:type="dxa"/>
          </w:tcPr>
          <w:p w14:paraId="6444A52D">
            <w:pPr>
              <w:pStyle w:val="11"/>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3、噪声</w:t>
            </w:r>
          </w:p>
          <w:p w14:paraId="2BFDF4C9">
            <w:pPr>
              <w:pStyle w:val="11"/>
              <w:rPr>
                <w:rFonts w:hint="default" w:ascii="Times New Roman" w:hAnsi="Times New Roman" w:eastAsia="宋体" w:cs="Times New Roman"/>
                <w:b/>
                <w:bCs/>
                <w:sz w:val="24"/>
                <w:szCs w:val="24"/>
                <w:highlight w:val="none"/>
                <w:u w:val="none"/>
                <w:lang w:val="en-US" w:eastAsia="zh-CN"/>
              </w:rPr>
            </w:pPr>
            <w:r>
              <w:rPr>
                <w:rFonts w:hint="default" w:ascii="Times New Roman" w:hAnsi="Times New Roman" w:eastAsia="宋体" w:cs="Times New Roman"/>
                <w:b/>
                <w:bCs/>
                <w:sz w:val="24"/>
                <w:szCs w:val="24"/>
                <w:highlight w:val="none"/>
                <w:lang w:val="en-US" w:eastAsia="zh-CN"/>
              </w:rPr>
              <w:t>3.1</w:t>
            </w:r>
            <w:r>
              <w:rPr>
                <w:rFonts w:hint="default" w:ascii="Times New Roman" w:hAnsi="Times New Roman" w:eastAsia="宋体" w:cs="Times New Roman"/>
                <w:b/>
                <w:bCs/>
                <w:sz w:val="24"/>
                <w:szCs w:val="24"/>
                <w:highlight w:val="none"/>
                <w:u w:val="none"/>
                <w:lang w:val="en-US" w:eastAsia="zh-CN"/>
              </w:rPr>
              <w:t>噪声预测</w:t>
            </w:r>
          </w:p>
          <w:p w14:paraId="17CD68A8">
            <w:pPr>
              <w:spacing w:line="360" w:lineRule="auto"/>
              <w:ind w:firstLine="480" w:firstLineChars="200"/>
              <w:rPr>
                <w:rFonts w:hint="default" w:ascii="Times New Roman" w:hAnsi="Times New Roman" w:cs="Times New Roman"/>
                <w:color w:val="auto"/>
                <w:sz w:val="24"/>
                <w:szCs w:val="24"/>
                <w:u w:val="none"/>
              </w:rPr>
            </w:pPr>
            <w:r>
              <w:rPr>
                <w:rFonts w:hint="default" w:ascii="Times New Roman" w:hAnsi="Times New Roman" w:cs="Times New Roman"/>
                <w:color w:val="auto"/>
                <w:sz w:val="24"/>
                <w:szCs w:val="24"/>
                <w:u w:val="none"/>
              </w:rPr>
              <w:t>本项目噪声源主要为</w:t>
            </w:r>
            <w:r>
              <w:rPr>
                <w:rFonts w:hint="default" w:ascii="Times New Roman" w:hAnsi="Times New Roman" w:cs="Times New Roman"/>
                <w:color w:val="auto"/>
                <w:sz w:val="24"/>
                <w:szCs w:val="24"/>
                <w:u w:val="none"/>
                <w:lang w:val="en-US" w:eastAsia="zh-CN"/>
              </w:rPr>
              <w:t>风机、水泵、空调机组</w:t>
            </w:r>
            <w:r>
              <w:rPr>
                <w:rFonts w:hint="eastAsia" w:cs="Times New Roman"/>
                <w:color w:val="auto"/>
                <w:sz w:val="24"/>
                <w:szCs w:val="24"/>
                <w:u w:val="none"/>
                <w:lang w:val="en-US" w:eastAsia="zh-CN"/>
              </w:rPr>
              <w:t>、锅炉</w:t>
            </w:r>
            <w:r>
              <w:rPr>
                <w:rFonts w:hint="default" w:ascii="Times New Roman" w:hAnsi="Times New Roman" w:cs="Times New Roman"/>
                <w:color w:val="auto"/>
                <w:sz w:val="24"/>
                <w:szCs w:val="24"/>
                <w:u w:val="none"/>
                <w:lang w:val="en-US" w:eastAsia="zh-CN"/>
              </w:rPr>
              <w:t>以及人员噪声</w:t>
            </w:r>
            <w:r>
              <w:rPr>
                <w:rFonts w:hint="default" w:ascii="Times New Roman" w:hAnsi="Times New Roman" w:cs="Times New Roman"/>
                <w:color w:val="auto"/>
                <w:sz w:val="24"/>
                <w:szCs w:val="24"/>
                <w:u w:val="none"/>
              </w:rPr>
              <w:t>等。类比同类企业，项目各噪声源噪声值在</w:t>
            </w:r>
            <w:r>
              <w:rPr>
                <w:rFonts w:hint="default" w:ascii="Times New Roman" w:hAnsi="Times New Roman" w:cs="Times New Roman"/>
                <w:color w:val="auto"/>
                <w:sz w:val="24"/>
                <w:szCs w:val="24"/>
                <w:u w:val="none"/>
                <w:lang w:val="en-US" w:eastAsia="zh-CN"/>
              </w:rPr>
              <w:t>65</w:t>
            </w:r>
            <w:r>
              <w:rPr>
                <w:rFonts w:hint="default" w:ascii="Times New Roman" w:hAnsi="Times New Roman" w:cs="Times New Roman"/>
                <w:color w:val="auto"/>
                <w:sz w:val="24"/>
                <w:szCs w:val="24"/>
                <w:u w:val="none"/>
              </w:rPr>
              <w:t>~</w:t>
            </w:r>
            <w:r>
              <w:rPr>
                <w:rFonts w:hint="eastAsia" w:cs="Times New Roman"/>
                <w:color w:val="auto"/>
                <w:sz w:val="24"/>
                <w:szCs w:val="24"/>
                <w:u w:val="none"/>
                <w:lang w:val="en-US" w:eastAsia="zh-CN"/>
              </w:rPr>
              <w:t>80</w:t>
            </w:r>
            <w:r>
              <w:rPr>
                <w:rFonts w:hint="default" w:ascii="Times New Roman" w:hAnsi="Times New Roman" w:cs="Times New Roman"/>
                <w:color w:val="auto"/>
                <w:sz w:val="24"/>
                <w:szCs w:val="24"/>
                <w:u w:val="none"/>
              </w:rPr>
              <w:t>B（A）范围内，详见表4-</w:t>
            </w:r>
            <w:r>
              <w:rPr>
                <w:rFonts w:hint="default" w:ascii="Times New Roman" w:hAnsi="Times New Roman" w:cs="Times New Roman"/>
                <w:color w:val="auto"/>
                <w:sz w:val="24"/>
                <w:szCs w:val="24"/>
                <w:u w:val="none"/>
                <w:lang w:val="en-US" w:eastAsia="zh-CN"/>
              </w:rPr>
              <w:t>1</w:t>
            </w:r>
            <w:r>
              <w:rPr>
                <w:rFonts w:hint="eastAsia" w:cs="Times New Roman"/>
                <w:color w:val="auto"/>
                <w:sz w:val="24"/>
                <w:szCs w:val="24"/>
                <w:u w:val="none"/>
                <w:lang w:val="en-US" w:eastAsia="zh-CN"/>
              </w:rPr>
              <w:t>9</w:t>
            </w:r>
            <w:r>
              <w:rPr>
                <w:rFonts w:hint="default" w:ascii="Times New Roman" w:hAnsi="Times New Roman" w:cs="Times New Roman"/>
                <w:color w:val="auto"/>
                <w:sz w:val="24"/>
                <w:szCs w:val="24"/>
                <w:u w:val="none"/>
              </w:rPr>
              <w:t>。</w:t>
            </w:r>
          </w:p>
          <w:p w14:paraId="0FB3DBBF">
            <w:pPr>
              <w:pStyle w:val="36"/>
              <w:spacing w:line="360" w:lineRule="auto"/>
              <w:jc w:val="center"/>
              <w:rPr>
                <w:rFonts w:hint="default" w:ascii="Times New Roman" w:hAnsi="Times New Roman" w:cs="Times New Roman"/>
                <w:color w:val="auto"/>
                <w:kern w:val="0"/>
                <w:sz w:val="24"/>
                <w:szCs w:val="24"/>
                <w:lang w:val="en-US" w:eastAsia="zh-CN"/>
              </w:rPr>
            </w:pPr>
            <w:r>
              <w:rPr>
                <w:rFonts w:hint="default" w:ascii="Times New Roman" w:hAnsi="Times New Roman" w:eastAsia="宋体" w:cs="Times New Roman"/>
                <w:b/>
                <w:bCs/>
                <w:u w:val="none"/>
                <w:lang w:val="en-US" w:eastAsia="zh-CN"/>
              </w:rPr>
              <w:t>表4-1</w:t>
            </w:r>
            <w:r>
              <w:rPr>
                <w:rFonts w:hint="eastAsia" w:eastAsia="宋体" w:cs="Times New Roman"/>
                <w:b/>
                <w:bCs/>
                <w:u w:val="none"/>
                <w:lang w:val="en-US" w:eastAsia="zh-CN"/>
              </w:rPr>
              <w:t xml:space="preserve">9 </w:t>
            </w:r>
            <w:r>
              <w:rPr>
                <w:rFonts w:hint="default" w:ascii="Times New Roman" w:hAnsi="Times New Roman" w:eastAsia="宋体" w:cs="Times New Roman"/>
                <w:b/>
                <w:bCs/>
                <w:u w:val="none"/>
                <w:lang w:eastAsia="zh-CN"/>
              </w:rPr>
              <w:t>噪声污染源源强核算结果及相关参数一览表</w:t>
            </w:r>
            <w:r>
              <w:rPr>
                <w:rFonts w:hint="eastAsia" w:cs="Times New Roman"/>
                <w:b/>
                <w:bCs/>
                <w:u w:val="none"/>
                <w:lang w:val="en-US" w:eastAsia="zh-CN"/>
              </w:rPr>
              <w:t xml:space="preserve">  </w:t>
            </w:r>
            <w:r>
              <w:rPr>
                <w:rFonts w:hint="eastAsia" w:cs="Times New Roman"/>
                <w:b w:val="0"/>
                <w:bCs w:val="0"/>
                <w:u w:val="none"/>
                <w:lang w:val="en-US" w:eastAsia="zh-CN"/>
              </w:rPr>
              <w:t>单位：dB(A)</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230"/>
              <w:gridCol w:w="660"/>
              <w:gridCol w:w="1725"/>
              <w:gridCol w:w="1110"/>
              <w:gridCol w:w="870"/>
              <w:gridCol w:w="795"/>
              <w:gridCol w:w="1065"/>
              <w:gridCol w:w="684"/>
            </w:tblGrid>
            <w:tr w14:paraId="62BB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Merge w:val="restart"/>
                  <w:vAlign w:val="center"/>
                </w:tcPr>
                <w:p w14:paraId="02EDCFA3">
                  <w:pPr>
                    <w:keepNext w:val="0"/>
                    <w:keepLines w:val="0"/>
                    <w:pageBreakBefore w:val="0"/>
                    <w:widowControl w:val="0"/>
                    <w:kinsoku/>
                    <w:wordWrap/>
                    <w:overflowPunct/>
                    <w:topLinePunct w:val="0"/>
                    <w:autoSpaceDE w:val="0"/>
                    <w:autoSpaceDN w:val="0"/>
                    <w:bidi w:val="0"/>
                    <w:adjustRightInd/>
                    <w:snapToGrid w:val="0"/>
                    <w:spacing w:before="60" w:after="60" w:line="240" w:lineRule="auto"/>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lang w:val="en-US" w:eastAsia="zh-CN"/>
                    </w:rPr>
                    <w:t>序号</w:t>
                  </w:r>
                </w:p>
              </w:tc>
              <w:tc>
                <w:tcPr>
                  <w:tcW w:w="1230" w:type="dxa"/>
                  <w:vMerge w:val="restart"/>
                  <w:vAlign w:val="center"/>
                </w:tcPr>
                <w:p w14:paraId="6BB1C1D3">
                  <w:pPr>
                    <w:keepNext w:val="0"/>
                    <w:keepLines w:val="0"/>
                    <w:pageBreakBefore w:val="0"/>
                    <w:widowControl w:val="0"/>
                    <w:kinsoku/>
                    <w:wordWrap/>
                    <w:overflowPunct/>
                    <w:topLinePunct w:val="0"/>
                    <w:autoSpaceDE w:val="0"/>
                    <w:autoSpaceDN w:val="0"/>
                    <w:bidi w:val="0"/>
                    <w:adjustRightInd/>
                    <w:snapToGrid w:val="0"/>
                    <w:spacing w:before="60" w:after="60" w:line="240" w:lineRule="auto"/>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lang w:eastAsia="zh-CN"/>
                    </w:rPr>
                    <w:t>噪声源</w:t>
                  </w:r>
                </w:p>
              </w:tc>
              <w:tc>
                <w:tcPr>
                  <w:tcW w:w="660" w:type="dxa"/>
                  <w:vMerge w:val="restart"/>
                  <w:vAlign w:val="center"/>
                </w:tcPr>
                <w:p w14:paraId="791281E5">
                  <w:pPr>
                    <w:keepNext w:val="0"/>
                    <w:keepLines w:val="0"/>
                    <w:pageBreakBefore w:val="0"/>
                    <w:widowControl w:val="0"/>
                    <w:kinsoku/>
                    <w:wordWrap/>
                    <w:overflowPunct/>
                    <w:topLinePunct w:val="0"/>
                    <w:autoSpaceDE w:val="0"/>
                    <w:autoSpaceDN w:val="0"/>
                    <w:bidi w:val="0"/>
                    <w:adjustRightInd/>
                    <w:snapToGrid w:val="0"/>
                    <w:spacing w:before="60" w:after="60" w:line="240" w:lineRule="auto"/>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rPr>
                    <w:t>数量(台)</w:t>
                  </w:r>
                </w:p>
              </w:tc>
              <w:tc>
                <w:tcPr>
                  <w:tcW w:w="1725" w:type="dxa"/>
                  <w:vMerge w:val="restart"/>
                  <w:vAlign w:val="center"/>
                </w:tcPr>
                <w:p w14:paraId="71F5AF2B">
                  <w:pPr>
                    <w:keepNext w:val="0"/>
                    <w:keepLines w:val="0"/>
                    <w:pageBreakBefore w:val="0"/>
                    <w:widowControl w:val="0"/>
                    <w:kinsoku/>
                    <w:wordWrap/>
                    <w:overflowPunct/>
                    <w:topLinePunct w:val="0"/>
                    <w:autoSpaceDE w:val="0"/>
                    <w:autoSpaceDN w:val="0"/>
                    <w:bidi w:val="0"/>
                    <w:adjustRightInd/>
                    <w:snapToGrid w:val="0"/>
                    <w:spacing w:before="60" w:after="60" w:line="240" w:lineRule="auto"/>
                    <w:jc w:val="center"/>
                    <w:textAlignment w:val="auto"/>
                    <w:rPr>
                      <w:rFonts w:hint="default" w:ascii="Times New Roman" w:hAnsi="Times New Roman" w:eastAsia="宋体" w:cs="Times New Roman"/>
                      <w:b/>
                      <w:bCs/>
                      <w:color w:val="auto"/>
                      <w:kern w:val="0"/>
                      <w:sz w:val="21"/>
                      <w:szCs w:val="21"/>
                      <w:highlight w:val="none"/>
                      <w:u w:val="none"/>
                    </w:rPr>
                  </w:pPr>
                  <w:r>
                    <w:rPr>
                      <w:rFonts w:hint="default" w:ascii="Times New Roman" w:hAnsi="Times New Roman" w:eastAsia="宋体" w:cs="Times New Roman"/>
                      <w:b/>
                      <w:bCs/>
                      <w:color w:val="auto"/>
                      <w:kern w:val="0"/>
                      <w:sz w:val="21"/>
                      <w:szCs w:val="21"/>
                      <w:highlight w:val="none"/>
                      <w:u w:val="none"/>
                    </w:rPr>
                    <w:t>声源类型</w:t>
                  </w:r>
                </w:p>
                <w:p w14:paraId="313D0E12">
                  <w:pPr>
                    <w:keepNext w:val="0"/>
                    <w:keepLines w:val="0"/>
                    <w:pageBreakBefore w:val="0"/>
                    <w:widowControl w:val="0"/>
                    <w:kinsoku/>
                    <w:wordWrap/>
                    <w:overflowPunct/>
                    <w:topLinePunct w:val="0"/>
                    <w:autoSpaceDE w:val="0"/>
                    <w:autoSpaceDN w:val="0"/>
                    <w:bidi w:val="0"/>
                    <w:adjustRightInd/>
                    <w:snapToGrid w:val="0"/>
                    <w:spacing w:before="60" w:after="60" w:line="240" w:lineRule="auto"/>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rPr>
                    <w:t>（频发、偶发等）</w:t>
                  </w:r>
                </w:p>
              </w:tc>
              <w:tc>
                <w:tcPr>
                  <w:tcW w:w="1980" w:type="dxa"/>
                  <w:gridSpan w:val="2"/>
                  <w:vAlign w:val="center"/>
                </w:tcPr>
                <w:p w14:paraId="70F88800">
                  <w:pPr>
                    <w:keepNext w:val="0"/>
                    <w:keepLines w:val="0"/>
                    <w:pageBreakBefore w:val="0"/>
                    <w:widowControl w:val="0"/>
                    <w:kinsoku/>
                    <w:wordWrap/>
                    <w:overflowPunct/>
                    <w:topLinePunct w:val="0"/>
                    <w:bidi w:val="0"/>
                    <w:adjustRightInd/>
                    <w:snapToGrid w:val="0"/>
                    <w:spacing w:before="60" w:beforeLines="10" w:after="60" w:afterLines="10" w:line="240" w:lineRule="auto"/>
                    <w:ind w:left="0" w:leftChars="0" w:firstLine="0" w:firstLineChars="0"/>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lang w:val="en-US" w:eastAsia="zh-CN" w:bidi="ar-SA"/>
                    </w:rPr>
                    <w:t>噪声强度</w:t>
                  </w:r>
                </w:p>
              </w:tc>
              <w:tc>
                <w:tcPr>
                  <w:tcW w:w="795" w:type="dxa"/>
                  <w:vMerge w:val="restart"/>
                  <w:vAlign w:val="center"/>
                </w:tcPr>
                <w:p w14:paraId="7004892D">
                  <w:pPr>
                    <w:keepNext w:val="0"/>
                    <w:keepLines w:val="0"/>
                    <w:pageBreakBefore w:val="0"/>
                    <w:widowControl w:val="0"/>
                    <w:kinsoku/>
                    <w:wordWrap/>
                    <w:overflowPunct/>
                    <w:topLinePunct w:val="0"/>
                    <w:bidi w:val="0"/>
                    <w:adjustRightInd/>
                    <w:snapToGrid w:val="0"/>
                    <w:spacing w:before="60" w:beforeLines="10" w:after="60" w:afterLines="10" w:line="240" w:lineRule="auto"/>
                    <w:ind w:left="0" w:leftChars="0" w:firstLine="0" w:firstLineChars="0"/>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lang w:val="en-US" w:eastAsia="zh-CN" w:bidi="ar-SA"/>
                    </w:rPr>
                    <w:t>排放时间h</w:t>
                  </w:r>
                </w:p>
              </w:tc>
              <w:tc>
                <w:tcPr>
                  <w:tcW w:w="1065" w:type="dxa"/>
                  <w:vMerge w:val="restart"/>
                  <w:vAlign w:val="center"/>
                </w:tcPr>
                <w:p w14:paraId="640BBAC5">
                  <w:pPr>
                    <w:keepNext w:val="0"/>
                    <w:keepLines w:val="0"/>
                    <w:pageBreakBefore w:val="0"/>
                    <w:widowControl w:val="0"/>
                    <w:kinsoku/>
                    <w:wordWrap/>
                    <w:overflowPunct/>
                    <w:topLinePunct w:val="0"/>
                    <w:bidi w:val="0"/>
                    <w:adjustRightInd/>
                    <w:snapToGrid w:val="0"/>
                    <w:spacing w:before="60" w:beforeLines="10" w:after="60" w:afterLines="10" w:line="240" w:lineRule="auto"/>
                    <w:ind w:left="0" w:leftChars="0" w:firstLine="0" w:firstLineChars="0"/>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lang w:val="en-US" w:eastAsia="zh-CN" w:bidi="ar-SA"/>
                    </w:rPr>
                    <w:t>设备源强叠加值</w:t>
                  </w:r>
                </w:p>
              </w:tc>
              <w:tc>
                <w:tcPr>
                  <w:tcW w:w="684" w:type="dxa"/>
                  <w:vMerge w:val="restart"/>
                  <w:vAlign w:val="center"/>
                </w:tcPr>
                <w:p w14:paraId="6A9C93F1">
                  <w:pPr>
                    <w:keepNext w:val="0"/>
                    <w:keepLines w:val="0"/>
                    <w:pageBreakBefore w:val="0"/>
                    <w:widowControl w:val="0"/>
                    <w:kinsoku/>
                    <w:wordWrap/>
                    <w:overflowPunct/>
                    <w:topLinePunct w:val="0"/>
                    <w:bidi w:val="0"/>
                    <w:adjustRightInd/>
                    <w:snapToGrid w:val="0"/>
                    <w:spacing w:before="60" w:beforeLines="10" w:after="60" w:afterLines="10"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highlight w:val="none"/>
                      <w:u w:val="none"/>
                      <w:lang w:val="en-US" w:eastAsia="zh-CN" w:bidi="ar-SA"/>
                    </w:rPr>
                  </w:pPr>
                  <w:r>
                    <w:rPr>
                      <w:rFonts w:hint="default" w:ascii="Times New Roman" w:hAnsi="Times New Roman" w:eastAsia="宋体" w:cs="Times New Roman"/>
                      <w:b/>
                      <w:bCs/>
                      <w:color w:val="auto"/>
                      <w:kern w:val="0"/>
                      <w:sz w:val="21"/>
                      <w:szCs w:val="21"/>
                      <w:highlight w:val="none"/>
                      <w:u w:val="none"/>
                      <w:lang w:val="en-US" w:eastAsia="zh-CN" w:bidi="ar-SA"/>
                    </w:rPr>
                    <w:t>声源</w:t>
                  </w:r>
                </w:p>
                <w:p w14:paraId="5BC5AF3F">
                  <w:pPr>
                    <w:keepNext w:val="0"/>
                    <w:keepLines w:val="0"/>
                    <w:pageBreakBefore w:val="0"/>
                    <w:widowControl w:val="0"/>
                    <w:kinsoku/>
                    <w:wordWrap/>
                    <w:overflowPunct/>
                    <w:topLinePunct w:val="0"/>
                    <w:bidi w:val="0"/>
                    <w:adjustRightInd/>
                    <w:snapToGrid w:val="0"/>
                    <w:spacing w:before="60" w:beforeLines="10" w:after="60" w:afterLines="10" w:line="240" w:lineRule="auto"/>
                    <w:ind w:left="0" w:leftChars="0" w:firstLine="0" w:firstLineChars="0"/>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lang w:val="en-US" w:eastAsia="zh-CN" w:bidi="ar-SA"/>
                    </w:rPr>
                    <w:t>类别</w:t>
                  </w:r>
                </w:p>
              </w:tc>
            </w:tr>
            <w:tr w14:paraId="0B9F0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Merge w:val="continue"/>
                  <w:vAlign w:val="center"/>
                </w:tcPr>
                <w:p w14:paraId="0A52539C">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auto"/>
                      <w:kern w:val="0"/>
                      <w:sz w:val="21"/>
                      <w:szCs w:val="21"/>
                      <w:vertAlign w:val="baseline"/>
                      <w:lang w:val="en-US" w:eastAsia="zh-CN"/>
                    </w:rPr>
                  </w:pPr>
                </w:p>
              </w:tc>
              <w:tc>
                <w:tcPr>
                  <w:tcW w:w="1230" w:type="dxa"/>
                  <w:vMerge w:val="continue"/>
                  <w:vAlign w:val="center"/>
                </w:tcPr>
                <w:p w14:paraId="6C56ACB1">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auto"/>
                      <w:kern w:val="0"/>
                      <w:sz w:val="21"/>
                      <w:szCs w:val="21"/>
                      <w:vertAlign w:val="baseline"/>
                      <w:lang w:val="en-US" w:eastAsia="zh-CN"/>
                    </w:rPr>
                  </w:pPr>
                </w:p>
              </w:tc>
              <w:tc>
                <w:tcPr>
                  <w:tcW w:w="660" w:type="dxa"/>
                  <w:vMerge w:val="continue"/>
                  <w:vAlign w:val="center"/>
                </w:tcPr>
                <w:p w14:paraId="084D339F">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auto"/>
                      <w:kern w:val="0"/>
                      <w:sz w:val="21"/>
                      <w:szCs w:val="21"/>
                      <w:vertAlign w:val="baseline"/>
                      <w:lang w:val="en-US" w:eastAsia="zh-CN"/>
                    </w:rPr>
                  </w:pPr>
                </w:p>
              </w:tc>
              <w:tc>
                <w:tcPr>
                  <w:tcW w:w="1725" w:type="dxa"/>
                  <w:vMerge w:val="continue"/>
                  <w:vAlign w:val="center"/>
                </w:tcPr>
                <w:p w14:paraId="22383BE0">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auto"/>
                      <w:kern w:val="0"/>
                      <w:sz w:val="21"/>
                      <w:szCs w:val="21"/>
                      <w:vertAlign w:val="baseline"/>
                      <w:lang w:val="en-US" w:eastAsia="zh-CN"/>
                    </w:rPr>
                  </w:pPr>
                </w:p>
              </w:tc>
              <w:tc>
                <w:tcPr>
                  <w:tcW w:w="1110" w:type="dxa"/>
                  <w:vAlign w:val="center"/>
                </w:tcPr>
                <w:p w14:paraId="6684C489">
                  <w:pPr>
                    <w:keepNext w:val="0"/>
                    <w:keepLines w:val="0"/>
                    <w:pageBreakBefore w:val="0"/>
                    <w:widowControl w:val="0"/>
                    <w:kinsoku/>
                    <w:wordWrap/>
                    <w:overflowPunct/>
                    <w:topLinePunct w:val="0"/>
                    <w:autoSpaceDE w:val="0"/>
                    <w:autoSpaceDN w:val="0"/>
                    <w:bidi w:val="0"/>
                    <w:adjustRightInd/>
                    <w:snapToGrid w:val="0"/>
                    <w:spacing w:before="60" w:after="60" w:line="240" w:lineRule="auto"/>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rPr>
                    <w:t>核算方法</w:t>
                  </w:r>
                </w:p>
              </w:tc>
              <w:tc>
                <w:tcPr>
                  <w:tcW w:w="870" w:type="dxa"/>
                  <w:vAlign w:val="center"/>
                </w:tcPr>
                <w:p w14:paraId="34F31E22">
                  <w:pPr>
                    <w:keepNext w:val="0"/>
                    <w:keepLines w:val="0"/>
                    <w:pageBreakBefore w:val="0"/>
                    <w:widowControl w:val="0"/>
                    <w:kinsoku/>
                    <w:wordWrap/>
                    <w:overflowPunct/>
                    <w:topLinePunct w:val="0"/>
                    <w:bidi w:val="0"/>
                    <w:adjustRightInd/>
                    <w:snapToGrid w:val="0"/>
                    <w:spacing w:before="60" w:beforeLines="10" w:after="60" w:afterLines="10" w:line="240" w:lineRule="auto"/>
                    <w:ind w:left="0" w:leftChars="0" w:firstLine="0" w:firstLineChars="0"/>
                    <w:jc w:val="center"/>
                    <w:textAlignment w:val="auto"/>
                    <w:rPr>
                      <w:rFonts w:hint="default" w:ascii="Times New Roman" w:hAnsi="Times New Roman"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highlight w:val="none"/>
                      <w:u w:val="none"/>
                      <w:lang w:val="en-US" w:eastAsia="zh-CN" w:bidi="ar-SA"/>
                    </w:rPr>
                    <w:t>噪声值</w:t>
                  </w:r>
                </w:p>
              </w:tc>
              <w:tc>
                <w:tcPr>
                  <w:tcW w:w="795" w:type="dxa"/>
                  <w:vMerge w:val="continue"/>
                  <w:vAlign w:val="center"/>
                </w:tcPr>
                <w:p w14:paraId="22767D3F">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auto"/>
                      <w:kern w:val="0"/>
                      <w:sz w:val="21"/>
                      <w:szCs w:val="21"/>
                      <w:vertAlign w:val="baseline"/>
                      <w:lang w:val="en-US" w:eastAsia="zh-CN"/>
                    </w:rPr>
                  </w:pPr>
                </w:p>
              </w:tc>
              <w:tc>
                <w:tcPr>
                  <w:tcW w:w="1065" w:type="dxa"/>
                  <w:vMerge w:val="continue"/>
                  <w:vAlign w:val="center"/>
                </w:tcPr>
                <w:p w14:paraId="75A227D3">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auto"/>
                      <w:kern w:val="0"/>
                      <w:sz w:val="21"/>
                      <w:szCs w:val="21"/>
                      <w:vertAlign w:val="baseline"/>
                      <w:lang w:val="en-US" w:eastAsia="zh-CN"/>
                    </w:rPr>
                  </w:pPr>
                </w:p>
              </w:tc>
              <w:tc>
                <w:tcPr>
                  <w:tcW w:w="684" w:type="dxa"/>
                  <w:vMerge w:val="continue"/>
                  <w:vAlign w:val="center"/>
                </w:tcPr>
                <w:p w14:paraId="5CCFE02E">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auto"/>
                      <w:kern w:val="0"/>
                      <w:sz w:val="21"/>
                      <w:szCs w:val="21"/>
                      <w:vertAlign w:val="baseline"/>
                      <w:lang w:val="en-US" w:eastAsia="zh-CN"/>
                    </w:rPr>
                  </w:pPr>
                </w:p>
              </w:tc>
            </w:tr>
            <w:tr w14:paraId="070F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5945B23E">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1</w:t>
                  </w:r>
                </w:p>
              </w:tc>
              <w:tc>
                <w:tcPr>
                  <w:tcW w:w="1230" w:type="dxa"/>
                  <w:vAlign w:val="center"/>
                </w:tcPr>
                <w:p w14:paraId="4277E187">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风机</w:t>
                  </w:r>
                </w:p>
              </w:tc>
              <w:tc>
                <w:tcPr>
                  <w:tcW w:w="660" w:type="dxa"/>
                  <w:vAlign w:val="center"/>
                </w:tcPr>
                <w:p w14:paraId="0D8B1EAD">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cs="Times New Roman"/>
                      <w:color w:val="000000" w:themeColor="text1"/>
                      <w:kern w:val="0"/>
                      <w:sz w:val="21"/>
                      <w:szCs w:val="21"/>
                      <w:vertAlign w:val="baseline"/>
                      <w:lang w:val="en-US" w:eastAsia="zh-CN"/>
                    </w:rPr>
                    <w:t>1</w:t>
                  </w:r>
                </w:p>
              </w:tc>
              <w:tc>
                <w:tcPr>
                  <w:tcW w:w="1725" w:type="dxa"/>
                  <w:vAlign w:val="center"/>
                </w:tcPr>
                <w:p w14:paraId="66A684A2">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频发</w:t>
                  </w:r>
                </w:p>
              </w:tc>
              <w:tc>
                <w:tcPr>
                  <w:tcW w:w="1110" w:type="dxa"/>
                  <w:vAlign w:val="center"/>
                </w:tcPr>
                <w:p w14:paraId="64984312">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类比法</w:t>
                  </w:r>
                </w:p>
              </w:tc>
              <w:tc>
                <w:tcPr>
                  <w:tcW w:w="870" w:type="dxa"/>
                  <w:vAlign w:val="center"/>
                </w:tcPr>
                <w:p w14:paraId="65408091">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80</w:t>
                  </w:r>
                </w:p>
              </w:tc>
              <w:tc>
                <w:tcPr>
                  <w:tcW w:w="795" w:type="dxa"/>
                  <w:vAlign w:val="center"/>
                </w:tcPr>
                <w:p w14:paraId="48109C61">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8760</w:t>
                  </w:r>
                </w:p>
              </w:tc>
              <w:tc>
                <w:tcPr>
                  <w:tcW w:w="1065" w:type="dxa"/>
                  <w:vAlign w:val="center"/>
                </w:tcPr>
                <w:p w14:paraId="38CEAA0C">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80</w:t>
                  </w:r>
                </w:p>
              </w:tc>
              <w:tc>
                <w:tcPr>
                  <w:tcW w:w="684" w:type="dxa"/>
                  <w:vMerge w:val="restart"/>
                  <w:vAlign w:val="center"/>
                </w:tcPr>
                <w:p w14:paraId="17E6411C">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室内声源</w:t>
                  </w:r>
                </w:p>
              </w:tc>
            </w:tr>
            <w:tr w14:paraId="03E72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161445F7">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2</w:t>
                  </w:r>
                </w:p>
              </w:tc>
              <w:tc>
                <w:tcPr>
                  <w:tcW w:w="1230" w:type="dxa"/>
                  <w:vAlign w:val="center"/>
                </w:tcPr>
                <w:p w14:paraId="2B79A790">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水泵</w:t>
                  </w:r>
                </w:p>
              </w:tc>
              <w:tc>
                <w:tcPr>
                  <w:tcW w:w="660" w:type="dxa"/>
                  <w:vAlign w:val="center"/>
                </w:tcPr>
                <w:p w14:paraId="1A3FF335">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cs="Times New Roman"/>
                      <w:color w:val="000000" w:themeColor="text1"/>
                      <w:kern w:val="0"/>
                      <w:sz w:val="21"/>
                      <w:szCs w:val="21"/>
                      <w:vertAlign w:val="baseline"/>
                      <w:lang w:val="en-US" w:eastAsia="zh-CN"/>
                    </w:rPr>
                    <w:t>2</w:t>
                  </w:r>
                </w:p>
              </w:tc>
              <w:tc>
                <w:tcPr>
                  <w:tcW w:w="1725" w:type="dxa"/>
                  <w:vAlign w:val="center"/>
                </w:tcPr>
                <w:p w14:paraId="257F28CA">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cs="Times New Roman"/>
                      <w:color w:val="000000" w:themeColor="text1"/>
                      <w:kern w:val="0"/>
                      <w:sz w:val="21"/>
                      <w:szCs w:val="21"/>
                      <w:vertAlign w:val="baseline"/>
                      <w:lang w:val="en-US" w:eastAsia="zh-CN"/>
                    </w:rPr>
                    <w:t>偶</w:t>
                  </w:r>
                  <w:r>
                    <w:rPr>
                      <w:rFonts w:hint="eastAsia" w:ascii="Times New Roman" w:hAnsi="Times New Roman" w:cs="Times New Roman"/>
                      <w:color w:val="000000" w:themeColor="text1"/>
                      <w:kern w:val="0"/>
                      <w:sz w:val="21"/>
                      <w:szCs w:val="21"/>
                      <w:vertAlign w:val="baseline"/>
                      <w:lang w:val="en-US" w:eastAsia="zh-CN"/>
                    </w:rPr>
                    <w:t>发</w:t>
                  </w:r>
                </w:p>
              </w:tc>
              <w:tc>
                <w:tcPr>
                  <w:tcW w:w="1110" w:type="dxa"/>
                  <w:vAlign w:val="center"/>
                </w:tcPr>
                <w:p w14:paraId="688919FD">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类比法</w:t>
                  </w:r>
                </w:p>
              </w:tc>
              <w:tc>
                <w:tcPr>
                  <w:tcW w:w="870" w:type="dxa"/>
                  <w:vAlign w:val="center"/>
                </w:tcPr>
                <w:p w14:paraId="387C1165">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70</w:t>
                  </w:r>
                </w:p>
              </w:tc>
              <w:tc>
                <w:tcPr>
                  <w:tcW w:w="795" w:type="dxa"/>
                  <w:vAlign w:val="center"/>
                </w:tcPr>
                <w:p w14:paraId="2AABEC9E">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8760</w:t>
                  </w:r>
                </w:p>
              </w:tc>
              <w:tc>
                <w:tcPr>
                  <w:tcW w:w="1065" w:type="dxa"/>
                  <w:vAlign w:val="center"/>
                </w:tcPr>
                <w:p w14:paraId="3153332F">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73</w:t>
                  </w:r>
                </w:p>
              </w:tc>
              <w:tc>
                <w:tcPr>
                  <w:tcW w:w="684" w:type="dxa"/>
                  <w:vMerge w:val="continue"/>
                  <w:vAlign w:val="center"/>
                </w:tcPr>
                <w:p w14:paraId="16C9969A">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p>
              </w:tc>
            </w:tr>
            <w:tr w14:paraId="018F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3" w:type="dxa"/>
                  <w:vAlign w:val="center"/>
                </w:tcPr>
                <w:p w14:paraId="6D2402BC">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3</w:t>
                  </w:r>
                </w:p>
              </w:tc>
              <w:tc>
                <w:tcPr>
                  <w:tcW w:w="1230" w:type="dxa"/>
                  <w:vAlign w:val="center"/>
                </w:tcPr>
                <w:p w14:paraId="0C2BA655">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锅炉</w:t>
                  </w:r>
                </w:p>
              </w:tc>
              <w:tc>
                <w:tcPr>
                  <w:tcW w:w="660" w:type="dxa"/>
                  <w:vAlign w:val="center"/>
                </w:tcPr>
                <w:p w14:paraId="45A6F19B">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1</w:t>
                  </w:r>
                </w:p>
              </w:tc>
              <w:tc>
                <w:tcPr>
                  <w:tcW w:w="1725" w:type="dxa"/>
                  <w:vAlign w:val="center"/>
                </w:tcPr>
                <w:p w14:paraId="34B63434">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偶发</w:t>
                  </w:r>
                </w:p>
              </w:tc>
              <w:tc>
                <w:tcPr>
                  <w:tcW w:w="1110" w:type="dxa"/>
                  <w:vAlign w:val="center"/>
                </w:tcPr>
                <w:p w14:paraId="5A07FB75">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类比法</w:t>
                  </w:r>
                </w:p>
              </w:tc>
              <w:tc>
                <w:tcPr>
                  <w:tcW w:w="870" w:type="dxa"/>
                  <w:vAlign w:val="center"/>
                </w:tcPr>
                <w:p w14:paraId="2E266746">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65</w:t>
                  </w:r>
                </w:p>
              </w:tc>
              <w:tc>
                <w:tcPr>
                  <w:tcW w:w="795" w:type="dxa"/>
                  <w:vAlign w:val="center"/>
                </w:tcPr>
                <w:p w14:paraId="22462D64">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450</w:t>
                  </w:r>
                </w:p>
              </w:tc>
              <w:tc>
                <w:tcPr>
                  <w:tcW w:w="1065" w:type="dxa"/>
                  <w:vAlign w:val="center"/>
                </w:tcPr>
                <w:p w14:paraId="4652C78E">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65</w:t>
                  </w:r>
                </w:p>
              </w:tc>
              <w:tc>
                <w:tcPr>
                  <w:tcW w:w="684" w:type="dxa"/>
                  <w:vMerge w:val="continue"/>
                  <w:vAlign w:val="center"/>
                </w:tcPr>
                <w:p w14:paraId="70236469">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p>
              </w:tc>
            </w:tr>
            <w:tr w14:paraId="7051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dxa"/>
                  <w:vAlign w:val="center"/>
                </w:tcPr>
                <w:p w14:paraId="04CCF3C4">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4</w:t>
                  </w:r>
                </w:p>
              </w:tc>
              <w:tc>
                <w:tcPr>
                  <w:tcW w:w="1230" w:type="dxa"/>
                  <w:vAlign w:val="center"/>
                </w:tcPr>
                <w:p w14:paraId="7F374F3D">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rightChars="0"/>
                    <w:jc w:val="center"/>
                    <w:textAlignment w:val="auto"/>
                    <w:rPr>
                      <w:rFonts w:hint="eastAsia"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空调机组</w:t>
                  </w:r>
                </w:p>
              </w:tc>
              <w:tc>
                <w:tcPr>
                  <w:tcW w:w="660" w:type="dxa"/>
                  <w:vAlign w:val="center"/>
                </w:tcPr>
                <w:p w14:paraId="45966A78">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rightChars="0"/>
                    <w:jc w:val="center"/>
                    <w:textAlignment w:val="auto"/>
                    <w:rPr>
                      <w:rFonts w:hint="eastAsia"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1</w:t>
                  </w:r>
                </w:p>
              </w:tc>
              <w:tc>
                <w:tcPr>
                  <w:tcW w:w="1725" w:type="dxa"/>
                  <w:vAlign w:val="center"/>
                </w:tcPr>
                <w:p w14:paraId="3B6267AC">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rightChars="0"/>
                    <w:jc w:val="center"/>
                    <w:textAlignment w:val="auto"/>
                    <w:rPr>
                      <w:rFonts w:hint="eastAsia"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频发</w:t>
                  </w:r>
                </w:p>
              </w:tc>
              <w:tc>
                <w:tcPr>
                  <w:tcW w:w="1110" w:type="dxa"/>
                  <w:vAlign w:val="center"/>
                </w:tcPr>
                <w:p w14:paraId="624CD502">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rightChars="0"/>
                    <w:jc w:val="center"/>
                    <w:textAlignment w:val="auto"/>
                    <w:rPr>
                      <w:rFonts w:hint="eastAsia"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类比法</w:t>
                  </w:r>
                </w:p>
              </w:tc>
              <w:tc>
                <w:tcPr>
                  <w:tcW w:w="870" w:type="dxa"/>
                  <w:vAlign w:val="center"/>
                </w:tcPr>
                <w:p w14:paraId="7D66BD96">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rightChars="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65</w:t>
                  </w:r>
                </w:p>
              </w:tc>
              <w:tc>
                <w:tcPr>
                  <w:tcW w:w="795" w:type="dxa"/>
                  <w:vAlign w:val="center"/>
                </w:tcPr>
                <w:p w14:paraId="32A609DE">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rightChars="0"/>
                    <w:jc w:val="center"/>
                    <w:textAlignment w:val="auto"/>
                    <w:rPr>
                      <w:rFonts w:hint="eastAsia"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8760</w:t>
                  </w:r>
                </w:p>
              </w:tc>
              <w:tc>
                <w:tcPr>
                  <w:tcW w:w="1065" w:type="dxa"/>
                  <w:vAlign w:val="center"/>
                </w:tcPr>
                <w:p w14:paraId="4A39B0B1">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rightChars="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65</w:t>
                  </w:r>
                </w:p>
              </w:tc>
              <w:tc>
                <w:tcPr>
                  <w:tcW w:w="684" w:type="dxa"/>
                  <w:vAlign w:val="center"/>
                </w:tcPr>
                <w:p w14:paraId="091AB9F2">
                  <w:pPr>
                    <w:keepNext w:val="0"/>
                    <w:keepLines w:val="0"/>
                    <w:pageBreakBefore w:val="0"/>
                    <w:widowControl w:val="0"/>
                    <w:suppressLineNumbers w:val="0"/>
                    <w:kinsoku/>
                    <w:wordWrap/>
                    <w:overflowPunct/>
                    <w:topLinePunct w:val="0"/>
                    <w:bidi w:val="0"/>
                    <w:adjustRightInd/>
                    <w:spacing w:before="60" w:beforeAutospacing="0" w:after="60" w:afterAutospacing="0" w:line="240" w:lineRule="auto"/>
                    <w:ind w:right="0"/>
                    <w:jc w:val="center"/>
                    <w:textAlignment w:val="auto"/>
                    <w:rPr>
                      <w:rFonts w:hint="default" w:ascii="Times New Roman" w:hAnsi="Times New Roman" w:cs="Times New Roman"/>
                      <w:color w:val="000000" w:themeColor="text1"/>
                      <w:kern w:val="0"/>
                      <w:sz w:val="21"/>
                      <w:szCs w:val="21"/>
                      <w:vertAlign w:val="baseline"/>
                      <w:lang w:val="en-US" w:eastAsia="zh-CN"/>
                    </w:rPr>
                  </w:pPr>
                  <w:r>
                    <w:rPr>
                      <w:rFonts w:hint="eastAsia" w:ascii="Times New Roman" w:hAnsi="Times New Roman" w:cs="Times New Roman"/>
                      <w:color w:val="000000" w:themeColor="text1"/>
                      <w:kern w:val="0"/>
                      <w:sz w:val="21"/>
                      <w:szCs w:val="21"/>
                      <w:vertAlign w:val="baseline"/>
                      <w:lang w:val="en-US" w:eastAsia="zh-CN"/>
                    </w:rPr>
                    <w:t>室外声源</w:t>
                  </w:r>
                </w:p>
              </w:tc>
            </w:tr>
          </w:tbl>
          <w:p w14:paraId="017FA67F">
            <w:pPr>
              <w:keepNext w:val="0"/>
              <w:keepLines w:val="0"/>
              <w:suppressLineNumbers w:val="0"/>
              <w:spacing w:before="0" w:beforeAutospacing="0" w:after="0" w:afterAutospacing="0" w:line="360" w:lineRule="auto"/>
              <w:ind w:right="0"/>
              <w:jc w:val="center"/>
              <w:rPr>
                <w:rFonts w:hint="default" w:ascii="Times New Roman" w:hAnsi="Times New Roman" w:cs="Times New Roman"/>
                <w:b/>
                <w:bCs/>
                <w:color w:val="auto"/>
                <w:kern w:val="0"/>
                <w:sz w:val="21"/>
                <w:szCs w:val="21"/>
                <w:lang w:val="en-US" w:eastAsia="zh-CN"/>
              </w:rPr>
            </w:pPr>
            <w:r>
              <w:rPr>
                <w:rFonts w:hint="eastAsia" w:cs="Times New Roman"/>
                <w:b/>
                <w:bCs/>
                <w:color w:val="auto"/>
                <w:kern w:val="0"/>
                <w:sz w:val="21"/>
                <w:szCs w:val="21"/>
                <w:lang w:val="en-US" w:eastAsia="zh-CN"/>
              </w:rPr>
              <w:t>表4-20 工业企业噪声源强调查清单（室内声源）</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
              <w:gridCol w:w="435"/>
              <w:gridCol w:w="795"/>
              <w:gridCol w:w="615"/>
              <w:gridCol w:w="615"/>
              <w:gridCol w:w="510"/>
              <w:gridCol w:w="555"/>
              <w:gridCol w:w="525"/>
              <w:gridCol w:w="435"/>
              <w:gridCol w:w="664"/>
              <w:gridCol w:w="731"/>
              <w:gridCol w:w="427"/>
              <w:gridCol w:w="600"/>
              <w:gridCol w:w="728"/>
              <w:gridCol w:w="594"/>
            </w:tblGrid>
            <w:tr w14:paraId="29D1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vAlign w:val="center"/>
                </w:tcPr>
                <w:p w14:paraId="4BE4D47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序号</w:t>
                  </w:r>
                </w:p>
              </w:tc>
              <w:tc>
                <w:tcPr>
                  <w:tcW w:w="435" w:type="dxa"/>
                  <w:vMerge w:val="restart"/>
                  <w:vAlign w:val="center"/>
                </w:tcPr>
                <w:p w14:paraId="5AABD83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建筑物名称</w:t>
                  </w:r>
                </w:p>
              </w:tc>
              <w:tc>
                <w:tcPr>
                  <w:tcW w:w="795" w:type="dxa"/>
                  <w:vMerge w:val="restart"/>
                  <w:vAlign w:val="center"/>
                </w:tcPr>
                <w:p w14:paraId="7F88717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声源名称</w:t>
                  </w:r>
                </w:p>
              </w:tc>
              <w:tc>
                <w:tcPr>
                  <w:tcW w:w="615" w:type="dxa"/>
                  <w:vMerge w:val="restart"/>
                  <w:vAlign w:val="center"/>
                </w:tcPr>
                <w:p w14:paraId="72A732C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声功率级</w:t>
                  </w:r>
                </w:p>
              </w:tc>
              <w:tc>
                <w:tcPr>
                  <w:tcW w:w="615" w:type="dxa"/>
                  <w:vMerge w:val="restart"/>
                  <w:vAlign w:val="center"/>
                </w:tcPr>
                <w:p w14:paraId="0CC7722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声源控制措施</w:t>
                  </w:r>
                </w:p>
              </w:tc>
              <w:tc>
                <w:tcPr>
                  <w:tcW w:w="1590" w:type="dxa"/>
                  <w:gridSpan w:val="3"/>
                  <w:vAlign w:val="center"/>
                </w:tcPr>
                <w:p w14:paraId="0A1C010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空间相对位置/m</w:t>
                  </w:r>
                </w:p>
              </w:tc>
              <w:tc>
                <w:tcPr>
                  <w:tcW w:w="1099" w:type="dxa"/>
                  <w:gridSpan w:val="2"/>
                  <w:vMerge w:val="restart"/>
                  <w:vAlign w:val="center"/>
                </w:tcPr>
                <w:p w14:paraId="4032FB7D">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r>
                    <w:rPr>
                      <w:rFonts w:hint="default" w:ascii="Times New Roman" w:hAnsi="Times New Roman" w:eastAsia="宋体" w:cs="Times New Roman"/>
                      <w:b/>
                      <w:bCs/>
                      <w:color w:val="auto"/>
                      <w:kern w:val="2"/>
                      <w:sz w:val="18"/>
                      <w:szCs w:val="18"/>
                      <w:highlight w:val="none"/>
                      <w:u w:val="none"/>
                      <w:lang w:val="en-US" w:eastAsia="zh-CN" w:bidi="ar-SA"/>
                    </w:rPr>
                    <w:t>距室内边界距离/m</w:t>
                  </w:r>
                </w:p>
              </w:tc>
              <w:tc>
                <w:tcPr>
                  <w:tcW w:w="731" w:type="dxa"/>
                  <w:vMerge w:val="restart"/>
                  <w:vAlign w:val="center"/>
                </w:tcPr>
                <w:p w14:paraId="5BC93EAF">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r>
                    <w:rPr>
                      <w:rFonts w:hint="default" w:ascii="Times New Roman" w:hAnsi="Times New Roman" w:eastAsia="宋体" w:cs="Times New Roman"/>
                      <w:b/>
                      <w:bCs/>
                      <w:color w:val="auto"/>
                      <w:kern w:val="2"/>
                      <w:sz w:val="18"/>
                      <w:szCs w:val="18"/>
                      <w:highlight w:val="none"/>
                      <w:u w:val="none"/>
                      <w:lang w:val="en-US" w:eastAsia="zh-CN" w:bidi="ar-SA"/>
                    </w:rPr>
                    <w:t>室内边界声级/dB(A)</w:t>
                  </w:r>
                </w:p>
              </w:tc>
              <w:tc>
                <w:tcPr>
                  <w:tcW w:w="427" w:type="dxa"/>
                  <w:vMerge w:val="restart"/>
                  <w:vAlign w:val="center"/>
                </w:tcPr>
                <w:p w14:paraId="69D85811">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r>
                    <w:rPr>
                      <w:rFonts w:hint="default" w:ascii="Times New Roman" w:hAnsi="Times New Roman" w:eastAsia="宋体" w:cs="Times New Roman"/>
                      <w:b/>
                      <w:bCs/>
                      <w:color w:val="auto"/>
                      <w:kern w:val="2"/>
                      <w:sz w:val="18"/>
                      <w:szCs w:val="18"/>
                      <w:highlight w:val="none"/>
                      <w:u w:val="none"/>
                      <w:lang w:val="en-US" w:eastAsia="zh-CN" w:bidi="ar-SA"/>
                    </w:rPr>
                    <w:t>运行时段</w:t>
                  </w:r>
                </w:p>
              </w:tc>
              <w:tc>
                <w:tcPr>
                  <w:tcW w:w="600" w:type="dxa"/>
                  <w:vMerge w:val="restart"/>
                  <w:vAlign w:val="center"/>
                </w:tcPr>
                <w:p w14:paraId="119C1633">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r>
                    <w:rPr>
                      <w:rFonts w:hint="default" w:ascii="Times New Roman" w:hAnsi="Times New Roman" w:eastAsia="宋体" w:cs="Times New Roman"/>
                      <w:b/>
                      <w:bCs/>
                      <w:color w:val="auto"/>
                      <w:kern w:val="2"/>
                      <w:sz w:val="18"/>
                      <w:szCs w:val="18"/>
                      <w:highlight w:val="none"/>
                      <w:u w:val="none"/>
                      <w:lang w:val="en-US" w:eastAsia="zh-CN" w:bidi="ar-SA"/>
                    </w:rPr>
                    <w:t>建筑物插入损失/dB(A)</w:t>
                  </w:r>
                </w:p>
              </w:tc>
              <w:tc>
                <w:tcPr>
                  <w:tcW w:w="1322" w:type="dxa"/>
                  <w:gridSpan w:val="2"/>
                  <w:vAlign w:val="center"/>
                </w:tcPr>
                <w:p w14:paraId="3DA3C33F">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r>
                    <w:rPr>
                      <w:rFonts w:hint="default" w:ascii="Times New Roman" w:hAnsi="Times New Roman" w:eastAsia="宋体" w:cs="Times New Roman"/>
                      <w:b/>
                      <w:bCs/>
                      <w:color w:val="auto"/>
                      <w:kern w:val="2"/>
                      <w:sz w:val="18"/>
                      <w:szCs w:val="18"/>
                      <w:highlight w:val="none"/>
                      <w:u w:val="none"/>
                      <w:lang w:val="en-US" w:eastAsia="zh-CN" w:bidi="ar-SA"/>
                    </w:rPr>
                    <w:t>建筑物外噪声</w:t>
                  </w:r>
                </w:p>
              </w:tc>
            </w:tr>
            <w:tr w14:paraId="73E8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734D319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p>
              </w:tc>
              <w:tc>
                <w:tcPr>
                  <w:tcW w:w="435" w:type="dxa"/>
                  <w:vMerge w:val="continue"/>
                  <w:vAlign w:val="center"/>
                </w:tcPr>
                <w:p w14:paraId="67918EA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p>
              </w:tc>
              <w:tc>
                <w:tcPr>
                  <w:tcW w:w="795" w:type="dxa"/>
                  <w:vMerge w:val="continue"/>
                  <w:vAlign w:val="center"/>
                </w:tcPr>
                <w:p w14:paraId="79CAD5F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p>
              </w:tc>
              <w:tc>
                <w:tcPr>
                  <w:tcW w:w="615" w:type="dxa"/>
                  <w:vMerge w:val="continue"/>
                  <w:vAlign w:val="center"/>
                </w:tcPr>
                <w:p w14:paraId="0D56B01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p>
              </w:tc>
              <w:tc>
                <w:tcPr>
                  <w:tcW w:w="615" w:type="dxa"/>
                  <w:vMerge w:val="continue"/>
                  <w:vAlign w:val="center"/>
                </w:tcPr>
                <w:p w14:paraId="5430C9B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p>
              </w:tc>
              <w:tc>
                <w:tcPr>
                  <w:tcW w:w="510" w:type="dxa"/>
                  <w:vAlign w:val="center"/>
                </w:tcPr>
                <w:p w14:paraId="54CC3CB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X</w:t>
                  </w:r>
                </w:p>
              </w:tc>
              <w:tc>
                <w:tcPr>
                  <w:tcW w:w="555" w:type="dxa"/>
                  <w:vAlign w:val="center"/>
                </w:tcPr>
                <w:p w14:paraId="2A6EF01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Y</w:t>
                  </w:r>
                </w:p>
              </w:tc>
              <w:tc>
                <w:tcPr>
                  <w:tcW w:w="525" w:type="dxa"/>
                  <w:vAlign w:val="center"/>
                </w:tcPr>
                <w:p w14:paraId="3300775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b/>
                      <w:bCs/>
                      <w:color w:val="auto"/>
                      <w:kern w:val="0"/>
                      <w:sz w:val="18"/>
                      <w:szCs w:val="18"/>
                      <w:vertAlign w:val="baseline"/>
                      <w:lang w:val="en-US" w:eastAsia="zh-CN"/>
                    </w:rPr>
                  </w:pPr>
                  <w:r>
                    <w:rPr>
                      <w:rFonts w:hint="eastAsia" w:cs="Times New Roman"/>
                      <w:b/>
                      <w:bCs/>
                      <w:color w:val="auto"/>
                      <w:kern w:val="0"/>
                      <w:sz w:val="18"/>
                      <w:szCs w:val="18"/>
                      <w:vertAlign w:val="baseline"/>
                      <w:lang w:val="en-US" w:eastAsia="zh-CN"/>
                    </w:rPr>
                    <w:t>Z</w:t>
                  </w:r>
                </w:p>
              </w:tc>
              <w:tc>
                <w:tcPr>
                  <w:tcW w:w="1099" w:type="dxa"/>
                  <w:gridSpan w:val="2"/>
                  <w:vMerge w:val="continue"/>
                  <w:vAlign w:val="center"/>
                </w:tcPr>
                <w:p w14:paraId="2F851C50">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p>
              </w:tc>
              <w:tc>
                <w:tcPr>
                  <w:tcW w:w="731" w:type="dxa"/>
                  <w:vMerge w:val="continue"/>
                  <w:vAlign w:val="center"/>
                </w:tcPr>
                <w:p w14:paraId="247706A6">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p>
              </w:tc>
              <w:tc>
                <w:tcPr>
                  <w:tcW w:w="427" w:type="dxa"/>
                  <w:vMerge w:val="continue"/>
                  <w:vAlign w:val="center"/>
                </w:tcPr>
                <w:p w14:paraId="35A45803">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p>
              </w:tc>
              <w:tc>
                <w:tcPr>
                  <w:tcW w:w="600" w:type="dxa"/>
                  <w:vMerge w:val="continue"/>
                  <w:vAlign w:val="center"/>
                </w:tcPr>
                <w:p w14:paraId="774BD616">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p>
              </w:tc>
              <w:tc>
                <w:tcPr>
                  <w:tcW w:w="728" w:type="dxa"/>
                  <w:vAlign w:val="center"/>
                </w:tcPr>
                <w:p w14:paraId="365C12A7">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r>
                    <w:rPr>
                      <w:rFonts w:hint="default" w:ascii="Times New Roman" w:hAnsi="Times New Roman" w:eastAsia="宋体" w:cs="Times New Roman"/>
                      <w:b/>
                      <w:bCs/>
                      <w:color w:val="auto"/>
                      <w:kern w:val="2"/>
                      <w:sz w:val="18"/>
                      <w:szCs w:val="18"/>
                      <w:highlight w:val="none"/>
                      <w:u w:val="none"/>
                      <w:lang w:val="en-US" w:eastAsia="zh-CN" w:bidi="ar-SA"/>
                    </w:rPr>
                    <w:t>声压级/dB(A)</w:t>
                  </w:r>
                </w:p>
              </w:tc>
              <w:tc>
                <w:tcPr>
                  <w:tcW w:w="594" w:type="dxa"/>
                  <w:vAlign w:val="center"/>
                </w:tcPr>
                <w:p w14:paraId="43DA82A4">
                  <w:pPr>
                    <w:widowControl w:val="0"/>
                    <w:bidi w:val="0"/>
                    <w:spacing w:line="240" w:lineRule="auto"/>
                    <w:ind w:firstLine="0" w:firstLineChars="0"/>
                    <w:jc w:val="center"/>
                    <w:rPr>
                      <w:rFonts w:hint="default" w:ascii="Times New Roman" w:hAnsi="Times New Roman" w:cs="Times New Roman"/>
                      <w:b/>
                      <w:bCs/>
                      <w:color w:val="auto"/>
                      <w:kern w:val="0"/>
                      <w:sz w:val="18"/>
                      <w:szCs w:val="18"/>
                      <w:vertAlign w:val="baseline"/>
                      <w:lang w:val="en-US" w:eastAsia="zh-CN"/>
                    </w:rPr>
                  </w:pPr>
                  <w:r>
                    <w:rPr>
                      <w:rFonts w:hint="default" w:ascii="Times New Roman" w:hAnsi="Times New Roman" w:eastAsia="宋体" w:cs="Times New Roman"/>
                      <w:b/>
                      <w:bCs/>
                      <w:color w:val="auto"/>
                      <w:kern w:val="2"/>
                      <w:sz w:val="18"/>
                      <w:szCs w:val="18"/>
                      <w:highlight w:val="none"/>
                      <w:u w:val="none"/>
                      <w:lang w:val="en-US" w:eastAsia="zh-CN" w:bidi="ar-SA"/>
                    </w:rPr>
                    <w:t>建筑物外距离</w:t>
                  </w:r>
                </w:p>
              </w:tc>
            </w:tr>
            <w:tr w14:paraId="2C6F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vAlign w:val="center"/>
                </w:tcPr>
                <w:p w14:paraId="20FF073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c>
                <w:tcPr>
                  <w:tcW w:w="435" w:type="dxa"/>
                  <w:vMerge w:val="restart"/>
                  <w:vAlign w:val="center"/>
                </w:tcPr>
                <w:p w14:paraId="286A7A41">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综合污水处理站</w:t>
                  </w:r>
                </w:p>
              </w:tc>
              <w:tc>
                <w:tcPr>
                  <w:tcW w:w="795" w:type="dxa"/>
                  <w:vMerge w:val="restart"/>
                  <w:vAlign w:val="center"/>
                </w:tcPr>
                <w:p w14:paraId="4DA0AD0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风机</w:t>
                  </w:r>
                </w:p>
              </w:tc>
              <w:tc>
                <w:tcPr>
                  <w:tcW w:w="615" w:type="dxa"/>
                  <w:vMerge w:val="restart"/>
                  <w:vAlign w:val="center"/>
                </w:tcPr>
                <w:p w14:paraId="6D89ED6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80</w:t>
                  </w:r>
                </w:p>
              </w:tc>
              <w:tc>
                <w:tcPr>
                  <w:tcW w:w="615" w:type="dxa"/>
                  <w:vMerge w:val="restart"/>
                  <w:vAlign w:val="center"/>
                </w:tcPr>
                <w:p w14:paraId="4725A87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基础减震、隔音棉</w:t>
                  </w:r>
                </w:p>
              </w:tc>
              <w:tc>
                <w:tcPr>
                  <w:tcW w:w="510" w:type="dxa"/>
                  <w:vMerge w:val="restart"/>
                  <w:vAlign w:val="center"/>
                </w:tcPr>
                <w:p w14:paraId="0FB6D20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3.2</w:t>
                  </w:r>
                </w:p>
              </w:tc>
              <w:tc>
                <w:tcPr>
                  <w:tcW w:w="555" w:type="dxa"/>
                  <w:vMerge w:val="restart"/>
                  <w:vAlign w:val="center"/>
                </w:tcPr>
                <w:p w14:paraId="4D5AEC3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44.2</w:t>
                  </w:r>
                </w:p>
              </w:tc>
              <w:tc>
                <w:tcPr>
                  <w:tcW w:w="525" w:type="dxa"/>
                  <w:vMerge w:val="restart"/>
                  <w:vAlign w:val="center"/>
                </w:tcPr>
                <w:p w14:paraId="1269D181">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1.2</w:t>
                  </w:r>
                </w:p>
              </w:tc>
              <w:tc>
                <w:tcPr>
                  <w:tcW w:w="435" w:type="dxa"/>
                  <w:vAlign w:val="center"/>
                </w:tcPr>
                <w:p w14:paraId="3E2DCA2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东</w:t>
                  </w:r>
                </w:p>
              </w:tc>
              <w:tc>
                <w:tcPr>
                  <w:tcW w:w="664" w:type="dxa"/>
                  <w:vAlign w:val="center"/>
                </w:tcPr>
                <w:p w14:paraId="55220281">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14.6</w:t>
                  </w:r>
                </w:p>
              </w:tc>
              <w:tc>
                <w:tcPr>
                  <w:tcW w:w="731" w:type="dxa"/>
                  <w:vAlign w:val="center"/>
                </w:tcPr>
                <w:p w14:paraId="2DFA61A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76.4</w:t>
                  </w:r>
                </w:p>
              </w:tc>
              <w:tc>
                <w:tcPr>
                  <w:tcW w:w="427" w:type="dxa"/>
                  <w:vMerge w:val="restart"/>
                  <w:vAlign w:val="center"/>
                </w:tcPr>
                <w:p w14:paraId="1039D38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24h</w:t>
                  </w:r>
                </w:p>
              </w:tc>
              <w:tc>
                <w:tcPr>
                  <w:tcW w:w="600" w:type="dxa"/>
                  <w:vMerge w:val="restart"/>
                  <w:vAlign w:val="center"/>
                </w:tcPr>
                <w:p w14:paraId="7F674FE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26.0</w:t>
                  </w:r>
                </w:p>
              </w:tc>
              <w:tc>
                <w:tcPr>
                  <w:tcW w:w="728" w:type="dxa"/>
                  <w:vAlign w:val="center"/>
                </w:tcPr>
                <w:p w14:paraId="364B08C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50.4</w:t>
                  </w:r>
                </w:p>
              </w:tc>
              <w:tc>
                <w:tcPr>
                  <w:tcW w:w="594" w:type="dxa"/>
                  <w:vAlign w:val="center"/>
                </w:tcPr>
                <w:p w14:paraId="1B7CAED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2012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0800C50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2DFED04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621DD3E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13E82F5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3C77C79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26CBB60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55" w:type="dxa"/>
                  <w:vMerge w:val="continue"/>
                  <w:vAlign w:val="center"/>
                </w:tcPr>
                <w:p w14:paraId="26FFC3D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25" w:type="dxa"/>
                  <w:vMerge w:val="continue"/>
                  <w:vAlign w:val="center"/>
                </w:tcPr>
                <w:p w14:paraId="02362E2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435" w:type="dxa"/>
                  <w:vAlign w:val="center"/>
                </w:tcPr>
                <w:p w14:paraId="19BE444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南</w:t>
                  </w:r>
                </w:p>
              </w:tc>
              <w:tc>
                <w:tcPr>
                  <w:tcW w:w="664" w:type="dxa"/>
                  <w:vAlign w:val="center"/>
                </w:tcPr>
                <w:p w14:paraId="5E14193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3.1</w:t>
                  </w:r>
                </w:p>
              </w:tc>
              <w:tc>
                <w:tcPr>
                  <w:tcW w:w="731" w:type="dxa"/>
                  <w:vAlign w:val="center"/>
                </w:tcPr>
                <w:p w14:paraId="3D0B10B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76.5</w:t>
                  </w:r>
                </w:p>
              </w:tc>
              <w:tc>
                <w:tcPr>
                  <w:tcW w:w="427" w:type="dxa"/>
                  <w:vMerge w:val="continue"/>
                  <w:vAlign w:val="center"/>
                </w:tcPr>
                <w:p w14:paraId="25DF851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4C4C997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7CD4604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50.5</w:t>
                  </w:r>
                </w:p>
              </w:tc>
              <w:tc>
                <w:tcPr>
                  <w:tcW w:w="594" w:type="dxa"/>
                  <w:vAlign w:val="center"/>
                </w:tcPr>
                <w:p w14:paraId="64ECB9C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5C4D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2156C1E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433B037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777C6EE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711C4DC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082C3C2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4300682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55" w:type="dxa"/>
                  <w:vMerge w:val="continue"/>
                  <w:vAlign w:val="center"/>
                </w:tcPr>
                <w:p w14:paraId="5EC9CD4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25" w:type="dxa"/>
                  <w:vMerge w:val="continue"/>
                  <w:vAlign w:val="center"/>
                </w:tcPr>
                <w:p w14:paraId="20E1E1B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435" w:type="dxa"/>
                  <w:vAlign w:val="center"/>
                </w:tcPr>
                <w:p w14:paraId="58EC336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西</w:t>
                  </w:r>
                </w:p>
              </w:tc>
              <w:tc>
                <w:tcPr>
                  <w:tcW w:w="664" w:type="dxa"/>
                  <w:vAlign w:val="center"/>
                </w:tcPr>
                <w:p w14:paraId="25F0EFD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3.6</w:t>
                  </w:r>
                </w:p>
              </w:tc>
              <w:tc>
                <w:tcPr>
                  <w:tcW w:w="731" w:type="dxa"/>
                  <w:vAlign w:val="center"/>
                </w:tcPr>
                <w:p w14:paraId="4C1EA65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76.5</w:t>
                  </w:r>
                </w:p>
              </w:tc>
              <w:tc>
                <w:tcPr>
                  <w:tcW w:w="427" w:type="dxa"/>
                  <w:vMerge w:val="continue"/>
                  <w:vAlign w:val="center"/>
                </w:tcPr>
                <w:p w14:paraId="38C3EE2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1A0989D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2EEBFEE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50.5</w:t>
                  </w:r>
                </w:p>
              </w:tc>
              <w:tc>
                <w:tcPr>
                  <w:tcW w:w="594" w:type="dxa"/>
                  <w:vAlign w:val="center"/>
                </w:tcPr>
                <w:p w14:paraId="4EAAF72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5618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786E5C9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455168F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4967F7C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5917A53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6CEACD8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1D81714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55" w:type="dxa"/>
                  <w:vMerge w:val="continue"/>
                  <w:vAlign w:val="center"/>
                </w:tcPr>
                <w:p w14:paraId="0398EB3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25" w:type="dxa"/>
                  <w:vMerge w:val="continue"/>
                  <w:vAlign w:val="center"/>
                </w:tcPr>
                <w:p w14:paraId="44D3BAD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435" w:type="dxa"/>
                  <w:vAlign w:val="center"/>
                </w:tcPr>
                <w:p w14:paraId="0C2BCB3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北</w:t>
                  </w:r>
                </w:p>
              </w:tc>
              <w:tc>
                <w:tcPr>
                  <w:tcW w:w="664" w:type="dxa"/>
                  <w:vAlign w:val="center"/>
                </w:tcPr>
                <w:p w14:paraId="0F2E8D9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2.6</w:t>
                  </w:r>
                </w:p>
              </w:tc>
              <w:tc>
                <w:tcPr>
                  <w:tcW w:w="731" w:type="dxa"/>
                  <w:vAlign w:val="center"/>
                </w:tcPr>
                <w:p w14:paraId="7EFEE7C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76.5</w:t>
                  </w:r>
                </w:p>
              </w:tc>
              <w:tc>
                <w:tcPr>
                  <w:tcW w:w="427" w:type="dxa"/>
                  <w:vMerge w:val="continue"/>
                  <w:vAlign w:val="center"/>
                </w:tcPr>
                <w:p w14:paraId="1AB2FFF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78F4BF5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491034D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50.5</w:t>
                  </w:r>
                </w:p>
              </w:tc>
              <w:tc>
                <w:tcPr>
                  <w:tcW w:w="594" w:type="dxa"/>
                  <w:vAlign w:val="center"/>
                </w:tcPr>
                <w:p w14:paraId="2A8F5C3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680F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vAlign w:val="center"/>
                </w:tcPr>
                <w:p w14:paraId="31892F9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w:t>
                  </w:r>
                </w:p>
              </w:tc>
              <w:tc>
                <w:tcPr>
                  <w:tcW w:w="435" w:type="dxa"/>
                  <w:vMerge w:val="continue"/>
                  <w:vAlign w:val="center"/>
                </w:tcPr>
                <w:p w14:paraId="60D2FC9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restart"/>
                  <w:vAlign w:val="center"/>
                </w:tcPr>
                <w:p w14:paraId="270CE9F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水泵</w:t>
                  </w:r>
                </w:p>
              </w:tc>
              <w:tc>
                <w:tcPr>
                  <w:tcW w:w="615" w:type="dxa"/>
                  <w:vMerge w:val="restart"/>
                  <w:vAlign w:val="center"/>
                </w:tcPr>
                <w:p w14:paraId="43A346C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73</w:t>
                  </w:r>
                </w:p>
              </w:tc>
              <w:tc>
                <w:tcPr>
                  <w:tcW w:w="615" w:type="dxa"/>
                  <w:vMerge w:val="restart"/>
                  <w:vAlign w:val="center"/>
                </w:tcPr>
                <w:p w14:paraId="3D1B61B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基础减震、水下安装</w:t>
                  </w:r>
                </w:p>
              </w:tc>
              <w:tc>
                <w:tcPr>
                  <w:tcW w:w="510" w:type="dxa"/>
                  <w:vMerge w:val="restart"/>
                  <w:vAlign w:val="center"/>
                </w:tcPr>
                <w:p w14:paraId="09C73BB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10.3</w:t>
                  </w:r>
                </w:p>
              </w:tc>
              <w:tc>
                <w:tcPr>
                  <w:tcW w:w="555" w:type="dxa"/>
                  <w:vMerge w:val="restart"/>
                  <w:vAlign w:val="center"/>
                </w:tcPr>
                <w:p w14:paraId="7D44BD2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44.2</w:t>
                  </w:r>
                </w:p>
              </w:tc>
              <w:tc>
                <w:tcPr>
                  <w:tcW w:w="525" w:type="dxa"/>
                  <w:vMerge w:val="restart"/>
                  <w:vAlign w:val="center"/>
                </w:tcPr>
                <w:p w14:paraId="7D8F83E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w:t>
                  </w:r>
                </w:p>
              </w:tc>
              <w:tc>
                <w:tcPr>
                  <w:tcW w:w="435" w:type="dxa"/>
                  <w:vAlign w:val="center"/>
                </w:tcPr>
                <w:p w14:paraId="3C877AC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东</w:t>
                  </w:r>
                </w:p>
              </w:tc>
              <w:tc>
                <w:tcPr>
                  <w:tcW w:w="664" w:type="dxa"/>
                  <w:vAlign w:val="center"/>
                </w:tcPr>
                <w:p w14:paraId="61DC5A4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7.5</w:t>
                  </w:r>
                </w:p>
              </w:tc>
              <w:tc>
                <w:tcPr>
                  <w:tcW w:w="731" w:type="dxa"/>
                  <w:vAlign w:val="center"/>
                </w:tcPr>
                <w:p w14:paraId="3C44B94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69.4</w:t>
                  </w:r>
                </w:p>
              </w:tc>
              <w:tc>
                <w:tcPr>
                  <w:tcW w:w="427" w:type="dxa"/>
                  <w:vMerge w:val="restart"/>
                  <w:vAlign w:val="center"/>
                </w:tcPr>
                <w:p w14:paraId="771FA78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24h</w:t>
                  </w:r>
                </w:p>
              </w:tc>
              <w:tc>
                <w:tcPr>
                  <w:tcW w:w="600" w:type="dxa"/>
                  <w:vMerge w:val="restart"/>
                  <w:vAlign w:val="center"/>
                </w:tcPr>
                <w:p w14:paraId="7F1AE47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26.0</w:t>
                  </w:r>
                </w:p>
              </w:tc>
              <w:tc>
                <w:tcPr>
                  <w:tcW w:w="728" w:type="dxa"/>
                  <w:vAlign w:val="center"/>
                </w:tcPr>
                <w:p w14:paraId="258BA2F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43.4</w:t>
                  </w:r>
                </w:p>
              </w:tc>
              <w:tc>
                <w:tcPr>
                  <w:tcW w:w="594" w:type="dxa"/>
                  <w:vAlign w:val="center"/>
                </w:tcPr>
                <w:p w14:paraId="213226B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2E50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29C8A5C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4325659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32EF781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22DB04A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1EBC64B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2B68BB4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55" w:type="dxa"/>
                  <w:vMerge w:val="continue"/>
                  <w:vAlign w:val="center"/>
                </w:tcPr>
                <w:p w14:paraId="608CB79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25" w:type="dxa"/>
                  <w:vMerge w:val="continue"/>
                  <w:vAlign w:val="center"/>
                </w:tcPr>
                <w:p w14:paraId="5CF29A2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435" w:type="dxa"/>
                  <w:vAlign w:val="center"/>
                </w:tcPr>
                <w:p w14:paraId="00D4B16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南</w:t>
                  </w:r>
                </w:p>
              </w:tc>
              <w:tc>
                <w:tcPr>
                  <w:tcW w:w="664" w:type="dxa"/>
                  <w:vAlign w:val="center"/>
                </w:tcPr>
                <w:p w14:paraId="5B8ECCF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3.1</w:t>
                  </w:r>
                </w:p>
              </w:tc>
              <w:tc>
                <w:tcPr>
                  <w:tcW w:w="731" w:type="dxa"/>
                  <w:vAlign w:val="center"/>
                </w:tcPr>
                <w:p w14:paraId="1C9A4D3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69.5</w:t>
                  </w:r>
                </w:p>
              </w:tc>
              <w:tc>
                <w:tcPr>
                  <w:tcW w:w="427" w:type="dxa"/>
                  <w:vMerge w:val="continue"/>
                  <w:vAlign w:val="center"/>
                </w:tcPr>
                <w:p w14:paraId="344AEA6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6F756AF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60717EA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43.5</w:t>
                  </w:r>
                </w:p>
              </w:tc>
              <w:tc>
                <w:tcPr>
                  <w:tcW w:w="594" w:type="dxa"/>
                  <w:vAlign w:val="center"/>
                </w:tcPr>
                <w:p w14:paraId="7C09B8D1">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2119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66011C5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61ADC87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6F1FD97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094F2A6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51AF054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5DB55A0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55" w:type="dxa"/>
                  <w:vMerge w:val="continue"/>
                  <w:vAlign w:val="center"/>
                </w:tcPr>
                <w:p w14:paraId="01968C9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25" w:type="dxa"/>
                  <w:vMerge w:val="continue"/>
                  <w:vAlign w:val="center"/>
                </w:tcPr>
                <w:p w14:paraId="78CA1A11">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435" w:type="dxa"/>
                  <w:vAlign w:val="center"/>
                </w:tcPr>
                <w:p w14:paraId="33B0713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西</w:t>
                  </w:r>
                </w:p>
              </w:tc>
              <w:tc>
                <w:tcPr>
                  <w:tcW w:w="664" w:type="dxa"/>
                  <w:vAlign w:val="center"/>
                </w:tcPr>
                <w:p w14:paraId="2391BB51">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10.7</w:t>
                  </w:r>
                </w:p>
              </w:tc>
              <w:tc>
                <w:tcPr>
                  <w:tcW w:w="731" w:type="dxa"/>
                  <w:vAlign w:val="center"/>
                </w:tcPr>
                <w:p w14:paraId="05C8485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69.4</w:t>
                  </w:r>
                </w:p>
              </w:tc>
              <w:tc>
                <w:tcPr>
                  <w:tcW w:w="427" w:type="dxa"/>
                  <w:vMerge w:val="continue"/>
                  <w:vAlign w:val="center"/>
                </w:tcPr>
                <w:p w14:paraId="3575894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2F46782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4D55EF3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43.4</w:t>
                  </w:r>
                </w:p>
              </w:tc>
              <w:tc>
                <w:tcPr>
                  <w:tcW w:w="594" w:type="dxa"/>
                  <w:vAlign w:val="center"/>
                </w:tcPr>
                <w:p w14:paraId="4C38041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4C72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71B2126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5FD2FB4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5773C59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4E66767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3238A55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6E34AB3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55" w:type="dxa"/>
                  <w:vMerge w:val="continue"/>
                  <w:vAlign w:val="center"/>
                </w:tcPr>
                <w:p w14:paraId="36F6FB2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525" w:type="dxa"/>
                  <w:vMerge w:val="continue"/>
                  <w:vAlign w:val="center"/>
                </w:tcPr>
                <w:p w14:paraId="454B237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p>
              </w:tc>
              <w:tc>
                <w:tcPr>
                  <w:tcW w:w="435" w:type="dxa"/>
                  <w:vAlign w:val="center"/>
                </w:tcPr>
                <w:p w14:paraId="7675A3F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北</w:t>
                  </w:r>
                </w:p>
              </w:tc>
              <w:tc>
                <w:tcPr>
                  <w:tcW w:w="664" w:type="dxa"/>
                  <w:vAlign w:val="center"/>
                </w:tcPr>
                <w:p w14:paraId="1AA30AA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2.6</w:t>
                  </w:r>
                </w:p>
              </w:tc>
              <w:tc>
                <w:tcPr>
                  <w:tcW w:w="731" w:type="dxa"/>
                  <w:vAlign w:val="center"/>
                </w:tcPr>
                <w:p w14:paraId="1643DD7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69.5</w:t>
                  </w:r>
                </w:p>
              </w:tc>
              <w:tc>
                <w:tcPr>
                  <w:tcW w:w="427" w:type="dxa"/>
                  <w:vMerge w:val="continue"/>
                  <w:vAlign w:val="center"/>
                </w:tcPr>
                <w:p w14:paraId="5DB079B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3DAA0D7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0B80C7D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43.5</w:t>
                  </w:r>
                </w:p>
              </w:tc>
              <w:tc>
                <w:tcPr>
                  <w:tcW w:w="594" w:type="dxa"/>
                  <w:vAlign w:val="center"/>
                </w:tcPr>
                <w:p w14:paraId="47CEE44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6A553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restart"/>
                  <w:vAlign w:val="center"/>
                </w:tcPr>
                <w:p w14:paraId="3C22606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w:t>
                  </w:r>
                </w:p>
              </w:tc>
              <w:tc>
                <w:tcPr>
                  <w:tcW w:w="435" w:type="dxa"/>
                  <w:vMerge w:val="restart"/>
                  <w:vAlign w:val="center"/>
                </w:tcPr>
                <w:p w14:paraId="141FF59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锅炉房</w:t>
                  </w:r>
                </w:p>
              </w:tc>
              <w:tc>
                <w:tcPr>
                  <w:tcW w:w="795" w:type="dxa"/>
                  <w:vMerge w:val="restart"/>
                  <w:vAlign w:val="center"/>
                </w:tcPr>
                <w:p w14:paraId="5CC048C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锅炉</w:t>
                  </w:r>
                </w:p>
              </w:tc>
              <w:tc>
                <w:tcPr>
                  <w:tcW w:w="615" w:type="dxa"/>
                  <w:vMerge w:val="restart"/>
                  <w:vAlign w:val="center"/>
                </w:tcPr>
                <w:p w14:paraId="15C0325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65</w:t>
                  </w:r>
                </w:p>
              </w:tc>
              <w:tc>
                <w:tcPr>
                  <w:tcW w:w="615" w:type="dxa"/>
                  <w:vMerge w:val="restart"/>
                  <w:vAlign w:val="center"/>
                </w:tcPr>
                <w:p w14:paraId="248B113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基础减震</w:t>
                  </w:r>
                </w:p>
              </w:tc>
              <w:tc>
                <w:tcPr>
                  <w:tcW w:w="510" w:type="dxa"/>
                  <w:vMerge w:val="restart"/>
                  <w:vAlign w:val="center"/>
                </w:tcPr>
                <w:p w14:paraId="2A2FAE2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-49.9</w:t>
                  </w:r>
                </w:p>
              </w:tc>
              <w:tc>
                <w:tcPr>
                  <w:tcW w:w="555" w:type="dxa"/>
                  <w:vMerge w:val="restart"/>
                  <w:vAlign w:val="center"/>
                </w:tcPr>
                <w:p w14:paraId="5AD41EA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39.6</w:t>
                  </w:r>
                </w:p>
              </w:tc>
              <w:tc>
                <w:tcPr>
                  <w:tcW w:w="525" w:type="dxa"/>
                  <w:vMerge w:val="restart"/>
                  <w:vAlign w:val="center"/>
                </w:tcPr>
                <w:p w14:paraId="18FD5C3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1.2</w:t>
                  </w:r>
                </w:p>
              </w:tc>
              <w:tc>
                <w:tcPr>
                  <w:tcW w:w="435" w:type="dxa"/>
                  <w:vAlign w:val="center"/>
                </w:tcPr>
                <w:p w14:paraId="268E5BB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东</w:t>
                  </w:r>
                </w:p>
              </w:tc>
              <w:tc>
                <w:tcPr>
                  <w:tcW w:w="664" w:type="dxa"/>
                  <w:vAlign w:val="center"/>
                </w:tcPr>
                <w:p w14:paraId="6B1C3FB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2.1</w:t>
                  </w:r>
                </w:p>
              </w:tc>
              <w:tc>
                <w:tcPr>
                  <w:tcW w:w="731" w:type="dxa"/>
                  <w:vAlign w:val="center"/>
                </w:tcPr>
                <w:p w14:paraId="47C95EF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64.5</w:t>
                  </w:r>
                </w:p>
              </w:tc>
              <w:tc>
                <w:tcPr>
                  <w:tcW w:w="427" w:type="dxa"/>
                  <w:vMerge w:val="restart"/>
                  <w:vAlign w:val="center"/>
                </w:tcPr>
                <w:p w14:paraId="42A0423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昼间4.5h</w:t>
                  </w:r>
                </w:p>
              </w:tc>
              <w:tc>
                <w:tcPr>
                  <w:tcW w:w="600" w:type="dxa"/>
                  <w:vMerge w:val="restart"/>
                  <w:vAlign w:val="center"/>
                </w:tcPr>
                <w:p w14:paraId="3A2E441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26.0</w:t>
                  </w:r>
                </w:p>
              </w:tc>
              <w:tc>
                <w:tcPr>
                  <w:tcW w:w="728" w:type="dxa"/>
                  <w:vAlign w:val="center"/>
                </w:tcPr>
                <w:p w14:paraId="73EA33C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38.5</w:t>
                  </w:r>
                </w:p>
              </w:tc>
              <w:tc>
                <w:tcPr>
                  <w:tcW w:w="594" w:type="dxa"/>
                  <w:vAlign w:val="center"/>
                </w:tcPr>
                <w:p w14:paraId="41CA86E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1976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75875A2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57D8D79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1862F8F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2BF3936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00E690D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2D3869D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55" w:type="dxa"/>
                  <w:vMerge w:val="continue"/>
                  <w:vAlign w:val="center"/>
                </w:tcPr>
                <w:p w14:paraId="17D7E23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25" w:type="dxa"/>
                  <w:vMerge w:val="continue"/>
                  <w:vAlign w:val="center"/>
                </w:tcPr>
                <w:p w14:paraId="5F34EA8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Align w:val="center"/>
                </w:tcPr>
                <w:p w14:paraId="0FF0EFB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南</w:t>
                  </w:r>
                </w:p>
              </w:tc>
              <w:tc>
                <w:tcPr>
                  <w:tcW w:w="664" w:type="dxa"/>
                  <w:vAlign w:val="center"/>
                </w:tcPr>
                <w:p w14:paraId="48BEDCE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3.2</w:t>
                  </w:r>
                </w:p>
              </w:tc>
              <w:tc>
                <w:tcPr>
                  <w:tcW w:w="731" w:type="dxa"/>
                  <w:vAlign w:val="center"/>
                </w:tcPr>
                <w:p w14:paraId="5C5C425B">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64.4</w:t>
                  </w:r>
                </w:p>
              </w:tc>
              <w:tc>
                <w:tcPr>
                  <w:tcW w:w="427" w:type="dxa"/>
                  <w:vMerge w:val="continue"/>
                  <w:vAlign w:val="center"/>
                </w:tcPr>
                <w:p w14:paraId="4C42B8E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4BCACC3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39769ED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38.4</w:t>
                  </w:r>
                </w:p>
              </w:tc>
              <w:tc>
                <w:tcPr>
                  <w:tcW w:w="594" w:type="dxa"/>
                  <w:vAlign w:val="center"/>
                </w:tcPr>
                <w:p w14:paraId="72002E4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30D9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6714320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0E6EFDD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51B0E35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0F9CDDB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1572133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36E22A3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55" w:type="dxa"/>
                  <w:vMerge w:val="continue"/>
                  <w:vAlign w:val="center"/>
                </w:tcPr>
                <w:p w14:paraId="2DD3527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25" w:type="dxa"/>
                  <w:vMerge w:val="continue"/>
                  <w:vAlign w:val="center"/>
                </w:tcPr>
                <w:p w14:paraId="616CAC0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Align w:val="center"/>
                </w:tcPr>
                <w:p w14:paraId="6B2B3B7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西</w:t>
                  </w:r>
                </w:p>
              </w:tc>
              <w:tc>
                <w:tcPr>
                  <w:tcW w:w="664" w:type="dxa"/>
                  <w:vAlign w:val="center"/>
                </w:tcPr>
                <w:p w14:paraId="3BC731F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2.6</w:t>
                  </w:r>
                </w:p>
              </w:tc>
              <w:tc>
                <w:tcPr>
                  <w:tcW w:w="731" w:type="dxa"/>
                  <w:vAlign w:val="center"/>
                </w:tcPr>
                <w:p w14:paraId="233D068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64.5</w:t>
                  </w:r>
                </w:p>
              </w:tc>
              <w:tc>
                <w:tcPr>
                  <w:tcW w:w="427" w:type="dxa"/>
                  <w:vMerge w:val="continue"/>
                  <w:vAlign w:val="center"/>
                </w:tcPr>
                <w:p w14:paraId="26BCC22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5777EE1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4C601252">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38.5</w:t>
                  </w:r>
                </w:p>
              </w:tc>
              <w:tc>
                <w:tcPr>
                  <w:tcW w:w="594" w:type="dxa"/>
                  <w:vAlign w:val="center"/>
                </w:tcPr>
                <w:p w14:paraId="04168FA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r w14:paraId="5FFE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 w:type="dxa"/>
                  <w:vMerge w:val="continue"/>
                  <w:vAlign w:val="center"/>
                </w:tcPr>
                <w:p w14:paraId="339EB32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Merge w:val="continue"/>
                  <w:vAlign w:val="center"/>
                </w:tcPr>
                <w:p w14:paraId="7CAA28C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95" w:type="dxa"/>
                  <w:vMerge w:val="continue"/>
                  <w:vAlign w:val="center"/>
                </w:tcPr>
                <w:p w14:paraId="101B497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78E5265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15" w:type="dxa"/>
                  <w:vMerge w:val="continue"/>
                  <w:vAlign w:val="center"/>
                </w:tcPr>
                <w:p w14:paraId="56FB11F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10" w:type="dxa"/>
                  <w:vMerge w:val="continue"/>
                  <w:vAlign w:val="center"/>
                </w:tcPr>
                <w:p w14:paraId="5584252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55" w:type="dxa"/>
                  <w:vMerge w:val="continue"/>
                  <w:vAlign w:val="center"/>
                </w:tcPr>
                <w:p w14:paraId="7C0E7EA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525" w:type="dxa"/>
                  <w:vMerge w:val="continue"/>
                  <w:vAlign w:val="center"/>
                </w:tcPr>
                <w:p w14:paraId="396AA35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435" w:type="dxa"/>
                  <w:vAlign w:val="center"/>
                </w:tcPr>
                <w:p w14:paraId="0120B55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rightChars="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北</w:t>
                  </w:r>
                </w:p>
              </w:tc>
              <w:tc>
                <w:tcPr>
                  <w:tcW w:w="664" w:type="dxa"/>
                  <w:vAlign w:val="center"/>
                </w:tcPr>
                <w:p w14:paraId="72A1A93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4.1</w:t>
                  </w:r>
                </w:p>
              </w:tc>
              <w:tc>
                <w:tcPr>
                  <w:tcW w:w="731" w:type="dxa"/>
                  <w:vAlign w:val="center"/>
                </w:tcPr>
                <w:p w14:paraId="088C9A4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64.4</w:t>
                  </w:r>
                </w:p>
              </w:tc>
              <w:tc>
                <w:tcPr>
                  <w:tcW w:w="427" w:type="dxa"/>
                  <w:vMerge w:val="continue"/>
                  <w:vAlign w:val="center"/>
                </w:tcPr>
                <w:p w14:paraId="4E89E5D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600" w:type="dxa"/>
                  <w:vMerge w:val="continue"/>
                  <w:vAlign w:val="center"/>
                </w:tcPr>
                <w:p w14:paraId="0F76C6C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p>
              </w:tc>
              <w:tc>
                <w:tcPr>
                  <w:tcW w:w="728" w:type="dxa"/>
                  <w:vAlign w:val="center"/>
                </w:tcPr>
                <w:p w14:paraId="284883F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38.4</w:t>
                  </w:r>
                </w:p>
              </w:tc>
              <w:tc>
                <w:tcPr>
                  <w:tcW w:w="594" w:type="dxa"/>
                  <w:vAlign w:val="center"/>
                </w:tcPr>
                <w:p w14:paraId="14E2CED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ascii="Times New Roman" w:hAnsi="Times New Roman" w:cs="Times New Roman"/>
                      <w:color w:val="auto"/>
                      <w:kern w:val="0"/>
                      <w:sz w:val="18"/>
                      <w:szCs w:val="18"/>
                      <w:vertAlign w:val="baseline"/>
                      <w:lang w:val="en-US" w:eastAsia="zh-CN"/>
                    </w:rPr>
                  </w:pPr>
                  <w:r>
                    <w:rPr>
                      <w:rFonts w:hint="eastAsia" w:cs="Times New Roman"/>
                      <w:color w:val="auto"/>
                      <w:kern w:val="0"/>
                      <w:sz w:val="18"/>
                      <w:szCs w:val="18"/>
                      <w:vertAlign w:val="baseline"/>
                      <w:lang w:val="en-US" w:eastAsia="zh-CN"/>
                    </w:rPr>
                    <w:t>1</w:t>
                  </w:r>
                </w:p>
              </w:tc>
            </w:tr>
          </w:tbl>
          <w:p w14:paraId="3A52368A">
            <w:pPr>
              <w:keepNext w:val="0"/>
              <w:keepLines w:val="0"/>
              <w:suppressLineNumbers w:val="0"/>
              <w:spacing w:before="0" w:beforeAutospacing="0" w:after="0" w:afterAutospacing="0" w:line="360" w:lineRule="auto"/>
              <w:ind w:right="0"/>
              <w:jc w:val="center"/>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lang w:val="en-US" w:eastAsia="zh-CN"/>
              </w:rPr>
              <w:t>表4-21 工业企业噪声源强调查清单（室外声源）</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1065"/>
              <w:gridCol w:w="450"/>
              <w:gridCol w:w="720"/>
              <w:gridCol w:w="765"/>
              <w:gridCol w:w="765"/>
              <w:gridCol w:w="1305"/>
              <w:gridCol w:w="1200"/>
              <w:gridCol w:w="1245"/>
              <w:gridCol w:w="684"/>
            </w:tblGrid>
            <w:tr w14:paraId="7DF1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dxa"/>
                  <w:vMerge w:val="restart"/>
                  <w:vAlign w:val="center"/>
                </w:tcPr>
                <w:p w14:paraId="0372D1F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序号</w:t>
                  </w:r>
                </w:p>
              </w:tc>
              <w:tc>
                <w:tcPr>
                  <w:tcW w:w="1065" w:type="dxa"/>
                  <w:vMerge w:val="restart"/>
                  <w:vAlign w:val="center"/>
                </w:tcPr>
                <w:p w14:paraId="482F06AC">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声源名称</w:t>
                  </w:r>
                </w:p>
              </w:tc>
              <w:tc>
                <w:tcPr>
                  <w:tcW w:w="450" w:type="dxa"/>
                  <w:vMerge w:val="restart"/>
                  <w:vAlign w:val="center"/>
                </w:tcPr>
                <w:p w14:paraId="40E2807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型号</w:t>
                  </w:r>
                </w:p>
              </w:tc>
              <w:tc>
                <w:tcPr>
                  <w:tcW w:w="2250" w:type="dxa"/>
                  <w:gridSpan w:val="3"/>
                  <w:vAlign w:val="center"/>
                </w:tcPr>
                <w:p w14:paraId="6A763DE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空间相对位置/m</w:t>
                  </w:r>
                </w:p>
              </w:tc>
              <w:tc>
                <w:tcPr>
                  <w:tcW w:w="2505" w:type="dxa"/>
                  <w:gridSpan w:val="2"/>
                  <w:vAlign w:val="center"/>
                </w:tcPr>
                <w:p w14:paraId="513B3998">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声源源强</w:t>
                  </w:r>
                </w:p>
              </w:tc>
              <w:tc>
                <w:tcPr>
                  <w:tcW w:w="1245" w:type="dxa"/>
                  <w:vMerge w:val="restart"/>
                  <w:vAlign w:val="center"/>
                </w:tcPr>
                <w:p w14:paraId="6082991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声源控制措施</w:t>
                  </w:r>
                </w:p>
              </w:tc>
              <w:tc>
                <w:tcPr>
                  <w:tcW w:w="684" w:type="dxa"/>
                  <w:vMerge w:val="restart"/>
                  <w:vAlign w:val="center"/>
                </w:tcPr>
                <w:p w14:paraId="5981504A">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运行时段</w:t>
                  </w:r>
                </w:p>
              </w:tc>
            </w:tr>
            <w:tr w14:paraId="0ACC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dxa"/>
                  <w:vMerge w:val="continue"/>
                  <w:vAlign w:val="center"/>
                </w:tcPr>
                <w:p w14:paraId="6D0B0274">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cs="Times New Roman"/>
                      <w:b/>
                      <w:bCs/>
                      <w:color w:val="auto"/>
                      <w:kern w:val="0"/>
                      <w:sz w:val="24"/>
                      <w:szCs w:val="24"/>
                      <w:vertAlign w:val="baseline"/>
                      <w:lang w:val="en-US" w:eastAsia="zh-CN"/>
                    </w:rPr>
                  </w:pPr>
                </w:p>
              </w:tc>
              <w:tc>
                <w:tcPr>
                  <w:tcW w:w="1065" w:type="dxa"/>
                  <w:vMerge w:val="continue"/>
                  <w:vAlign w:val="center"/>
                </w:tcPr>
                <w:p w14:paraId="77CA18F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cs="Times New Roman"/>
                      <w:b/>
                      <w:bCs/>
                      <w:color w:val="auto"/>
                      <w:kern w:val="0"/>
                      <w:sz w:val="24"/>
                      <w:szCs w:val="24"/>
                      <w:vertAlign w:val="baseline"/>
                      <w:lang w:val="en-US" w:eastAsia="zh-CN"/>
                    </w:rPr>
                  </w:pPr>
                </w:p>
              </w:tc>
              <w:tc>
                <w:tcPr>
                  <w:tcW w:w="450" w:type="dxa"/>
                  <w:vMerge w:val="continue"/>
                  <w:vAlign w:val="center"/>
                </w:tcPr>
                <w:p w14:paraId="18D01441">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cs="Times New Roman"/>
                      <w:b/>
                      <w:bCs/>
                      <w:color w:val="auto"/>
                      <w:kern w:val="0"/>
                      <w:sz w:val="24"/>
                      <w:szCs w:val="24"/>
                      <w:vertAlign w:val="baseline"/>
                      <w:lang w:val="en-US" w:eastAsia="zh-CN"/>
                    </w:rPr>
                  </w:pPr>
                </w:p>
              </w:tc>
              <w:tc>
                <w:tcPr>
                  <w:tcW w:w="720" w:type="dxa"/>
                  <w:vAlign w:val="center"/>
                </w:tcPr>
                <w:p w14:paraId="4C121A65">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X</w:t>
                  </w:r>
                </w:p>
              </w:tc>
              <w:tc>
                <w:tcPr>
                  <w:tcW w:w="765" w:type="dxa"/>
                  <w:vAlign w:val="center"/>
                </w:tcPr>
                <w:p w14:paraId="44420A99">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Y</w:t>
                  </w:r>
                </w:p>
              </w:tc>
              <w:tc>
                <w:tcPr>
                  <w:tcW w:w="765" w:type="dxa"/>
                  <w:vAlign w:val="center"/>
                </w:tcPr>
                <w:p w14:paraId="006528E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Z</w:t>
                  </w:r>
                </w:p>
              </w:tc>
              <w:tc>
                <w:tcPr>
                  <w:tcW w:w="1305" w:type="dxa"/>
                  <w:vAlign w:val="center"/>
                </w:tcPr>
                <w:p w14:paraId="0FFACFD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（距声源距离）/（m）</w:t>
                  </w:r>
                </w:p>
              </w:tc>
              <w:tc>
                <w:tcPr>
                  <w:tcW w:w="1200" w:type="dxa"/>
                  <w:vAlign w:val="center"/>
                </w:tcPr>
                <w:p w14:paraId="0FAE0753">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声功率级/dB(A)</w:t>
                  </w:r>
                </w:p>
              </w:tc>
              <w:tc>
                <w:tcPr>
                  <w:tcW w:w="1245" w:type="dxa"/>
                  <w:vMerge w:val="continue"/>
                  <w:vAlign w:val="center"/>
                </w:tcPr>
                <w:p w14:paraId="27D8A70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cs="Times New Roman"/>
                      <w:b/>
                      <w:bCs/>
                      <w:color w:val="auto"/>
                      <w:kern w:val="0"/>
                      <w:sz w:val="24"/>
                      <w:szCs w:val="24"/>
                      <w:vertAlign w:val="baseline"/>
                      <w:lang w:val="en-US" w:eastAsia="zh-CN"/>
                    </w:rPr>
                  </w:pPr>
                </w:p>
              </w:tc>
              <w:tc>
                <w:tcPr>
                  <w:tcW w:w="684" w:type="dxa"/>
                  <w:vMerge w:val="continue"/>
                  <w:vAlign w:val="center"/>
                </w:tcPr>
                <w:p w14:paraId="53073DC7">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eastAsia" w:cs="Times New Roman"/>
                      <w:b/>
                      <w:bCs/>
                      <w:color w:val="auto"/>
                      <w:kern w:val="0"/>
                      <w:sz w:val="24"/>
                      <w:szCs w:val="24"/>
                      <w:vertAlign w:val="baseline"/>
                      <w:lang w:val="en-US" w:eastAsia="zh-CN"/>
                    </w:rPr>
                  </w:pPr>
                </w:p>
              </w:tc>
            </w:tr>
            <w:tr w14:paraId="0642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3" w:type="dxa"/>
                  <w:vAlign w:val="center"/>
                </w:tcPr>
                <w:p w14:paraId="67E42BB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1</w:t>
                  </w:r>
                </w:p>
              </w:tc>
              <w:tc>
                <w:tcPr>
                  <w:tcW w:w="1065" w:type="dxa"/>
                  <w:vAlign w:val="center"/>
                </w:tcPr>
                <w:p w14:paraId="409A2C5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空调机组</w:t>
                  </w:r>
                </w:p>
              </w:tc>
              <w:tc>
                <w:tcPr>
                  <w:tcW w:w="450" w:type="dxa"/>
                  <w:vAlign w:val="center"/>
                </w:tcPr>
                <w:p w14:paraId="213FBAFF">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w:t>
                  </w:r>
                </w:p>
              </w:tc>
              <w:tc>
                <w:tcPr>
                  <w:tcW w:w="720" w:type="dxa"/>
                  <w:vAlign w:val="center"/>
                </w:tcPr>
                <w:p w14:paraId="503CC68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-24.9</w:t>
                  </w:r>
                </w:p>
              </w:tc>
              <w:tc>
                <w:tcPr>
                  <w:tcW w:w="765" w:type="dxa"/>
                  <w:vAlign w:val="center"/>
                </w:tcPr>
                <w:p w14:paraId="3E1A519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21.3</w:t>
                  </w:r>
                </w:p>
              </w:tc>
              <w:tc>
                <w:tcPr>
                  <w:tcW w:w="765" w:type="dxa"/>
                  <w:vAlign w:val="center"/>
                </w:tcPr>
                <w:p w14:paraId="18821CE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64.2</w:t>
                  </w:r>
                </w:p>
              </w:tc>
              <w:tc>
                <w:tcPr>
                  <w:tcW w:w="1305" w:type="dxa"/>
                  <w:vAlign w:val="center"/>
                </w:tcPr>
                <w:p w14:paraId="51F314BE">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1</w:t>
                  </w:r>
                </w:p>
              </w:tc>
              <w:tc>
                <w:tcPr>
                  <w:tcW w:w="1200" w:type="dxa"/>
                  <w:vAlign w:val="center"/>
                </w:tcPr>
                <w:p w14:paraId="670544FD">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65</w:t>
                  </w:r>
                </w:p>
              </w:tc>
              <w:tc>
                <w:tcPr>
                  <w:tcW w:w="1245" w:type="dxa"/>
                  <w:vAlign w:val="center"/>
                </w:tcPr>
                <w:p w14:paraId="32B0F6A6">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基础减震</w:t>
                  </w:r>
                </w:p>
              </w:tc>
              <w:tc>
                <w:tcPr>
                  <w:tcW w:w="684" w:type="dxa"/>
                  <w:vAlign w:val="center"/>
                </w:tcPr>
                <w:p w14:paraId="7A450BC0">
                  <w:pPr>
                    <w:keepNext w:val="0"/>
                    <w:keepLines w:val="0"/>
                    <w:pageBreakBefore w:val="0"/>
                    <w:widowControl w:val="0"/>
                    <w:suppressLineNumbers w:val="0"/>
                    <w:kinsoku/>
                    <w:wordWrap/>
                    <w:overflowPunct/>
                    <w:topLinePunct w:val="0"/>
                    <w:autoSpaceDE/>
                    <w:autoSpaceDN/>
                    <w:bidi w:val="0"/>
                    <w:adjustRightInd/>
                    <w:snapToGrid/>
                    <w:spacing w:before="60" w:beforeAutospacing="0" w:after="60" w:afterAutospacing="0" w:line="240" w:lineRule="auto"/>
                    <w:ind w:right="0"/>
                    <w:jc w:val="center"/>
                    <w:textAlignment w:val="auto"/>
                    <w:rPr>
                      <w:rFonts w:hint="default" w:cs="Times New Roman"/>
                      <w:b w:val="0"/>
                      <w:bCs w:val="0"/>
                      <w:color w:val="auto"/>
                      <w:kern w:val="0"/>
                      <w:sz w:val="21"/>
                      <w:szCs w:val="21"/>
                      <w:vertAlign w:val="baseline"/>
                      <w:lang w:val="en-US" w:eastAsia="zh-CN"/>
                    </w:rPr>
                  </w:pPr>
                  <w:r>
                    <w:rPr>
                      <w:rFonts w:hint="eastAsia" w:cs="Times New Roman"/>
                      <w:b w:val="0"/>
                      <w:bCs w:val="0"/>
                      <w:color w:val="auto"/>
                      <w:kern w:val="0"/>
                      <w:sz w:val="21"/>
                      <w:szCs w:val="21"/>
                      <w:vertAlign w:val="baseline"/>
                      <w:lang w:val="en-US" w:eastAsia="zh-CN"/>
                    </w:rPr>
                    <w:t>24h</w:t>
                  </w:r>
                </w:p>
              </w:tc>
            </w:tr>
          </w:tbl>
          <w:p w14:paraId="02987629">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kern w:val="0"/>
                <w:sz w:val="24"/>
                <w:szCs w:val="24"/>
                <w:lang w:val="zh-CN"/>
              </w:rPr>
            </w:pPr>
            <w:r>
              <w:rPr>
                <w:rFonts w:hint="default" w:ascii="Times New Roman" w:hAnsi="Times New Roman" w:cs="Times New Roman"/>
                <w:color w:val="auto"/>
                <w:kern w:val="0"/>
                <w:sz w:val="24"/>
                <w:szCs w:val="24"/>
                <w:lang w:val="en-US" w:eastAsia="zh-CN"/>
              </w:rPr>
              <w:t>根据</w:t>
            </w:r>
            <w:r>
              <w:rPr>
                <w:rFonts w:hint="default" w:ascii="Times New Roman" w:hAnsi="Times New Roman" w:eastAsia="宋体" w:cs="Times New Roman"/>
                <w:color w:val="auto"/>
                <w:kern w:val="0"/>
                <w:sz w:val="24"/>
                <w:szCs w:val="24"/>
              </w:rPr>
              <w:t>《环境影响评价技术导则（声环境）》（HJ2.4-20</w:t>
            </w:r>
            <w:r>
              <w:rPr>
                <w:rFonts w:hint="default" w:ascii="Times New Roman" w:hAnsi="Times New Roman" w:eastAsia="宋体" w:cs="Times New Roman"/>
                <w:color w:val="auto"/>
                <w:kern w:val="0"/>
                <w:sz w:val="24"/>
                <w:szCs w:val="24"/>
                <w:lang w:val="en-US" w:eastAsia="zh-CN"/>
              </w:rPr>
              <w:t>21</w:t>
            </w:r>
            <w:r>
              <w:rPr>
                <w:rFonts w:hint="default" w:ascii="Times New Roman" w:hAnsi="Times New Roman" w:eastAsia="宋体" w:cs="Times New Roman"/>
                <w:color w:val="auto"/>
                <w:kern w:val="0"/>
                <w:sz w:val="24"/>
                <w:szCs w:val="24"/>
              </w:rPr>
              <w:t>）技术要求，本次评价采取导则上推荐模式。</w:t>
            </w:r>
          </w:p>
          <w:p w14:paraId="75E2FF11">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kern w:val="0"/>
                <w:sz w:val="24"/>
                <w:szCs w:val="24"/>
                <w:highlight w:val="none"/>
                <w:lang w:val="zh-CN"/>
              </w:rPr>
            </w:pPr>
            <w:r>
              <w:rPr>
                <w:rFonts w:hint="default" w:ascii="Times New Roman" w:hAnsi="Times New Roman" w:eastAsia="宋体" w:cs="Times New Roman"/>
                <w:color w:val="auto"/>
                <w:kern w:val="0"/>
                <w:sz w:val="24"/>
                <w:szCs w:val="24"/>
                <w:lang w:val="en-US" w:eastAsia="zh-CN"/>
              </w:rPr>
              <w:t>按</w:t>
            </w:r>
            <w:r>
              <w:rPr>
                <w:rFonts w:hint="default" w:ascii="Times New Roman" w:hAnsi="Times New Roman" w:eastAsia="宋体" w:cs="Times New Roman"/>
                <w:color w:val="auto"/>
                <w:kern w:val="0"/>
                <w:sz w:val="24"/>
                <w:szCs w:val="24"/>
                <w:lang w:val="en-US" w:eastAsia="zh-CN"/>
              </w:rPr>
              <w:fldChar w:fldCharType="begin"/>
            </w:r>
            <w:r>
              <w:rPr>
                <w:rFonts w:hint="default" w:ascii="Times New Roman" w:hAnsi="Times New Roman" w:eastAsia="宋体" w:cs="Times New Roman"/>
                <w:color w:val="auto"/>
                <w:kern w:val="0"/>
                <w:sz w:val="24"/>
                <w:szCs w:val="24"/>
                <w:lang w:val="en-US" w:eastAsia="zh-CN"/>
              </w:rPr>
              <w:instrText xml:space="preserve"> = 1 \* GB3 \* MERGEFORMAT </w:instrText>
            </w:r>
            <w:r>
              <w:rPr>
                <w:rFonts w:hint="default" w:ascii="Times New Roman" w:hAnsi="Times New Roman" w:eastAsia="宋体" w:cs="Times New Roman"/>
                <w:color w:val="auto"/>
                <w:kern w:val="0"/>
                <w:sz w:val="24"/>
                <w:szCs w:val="24"/>
                <w:lang w:val="en-US" w:eastAsia="zh-CN"/>
              </w:rPr>
              <w:fldChar w:fldCharType="separate"/>
            </w:r>
            <w:r>
              <w:rPr>
                <w:rFonts w:hint="default" w:ascii="Times New Roman" w:hAnsi="Times New Roman" w:cs="Times New Roman"/>
                <w:color w:val="auto"/>
                <w:sz w:val="24"/>
                <w:szCs w:val="32"/>
              </w:rPr>
              <w:t>①</w:t>
            </w:r>
            <w:r>
              <w:rPr>
                <w:rFonts w:hint="default" w:ascii="Times New Roman" w:hAnsi="Times New Roman" w:eastAsia="宋体" w:cs="Times New Roman"/>
                <w:color w:val="auto"/>
                <w:kern w:val="0"/>
                <w:sz w:val="24"/>
                <w:szCs w:val="24"/>
                <w:lang w:val="en-US" w:eastAsia="zh-CN"/>
              </w:rPr>
              <w:fldChar w:fldCharType="end"/>
            </w:r>
            <w:r>
              <w:rPr>
                <w:rFonts w:hint="default" w:ascii="Times New Roman" w:hAnsi="Times New Roman" w:eastAsia="宋体" w:cs="Times New Roman"/>
                <w:color w:val="auto"/>
                <w:kern w:val="0"/>
                <w:sz w:val="24"/>
                <w:szCs w:val="24"/>
                <w:lang w:val="en-US" w:eastAsia="zh-CN"/>
              </w:rPr>
              <w:t>室</w:t>
            </w:r>
            <w:r>
              <w:rPr>
                <w:rFonts w:hint="default" w:ascii="Times New Roman" w:hAnsi="Times New Roman" w:eastAsia="宋体" w:cs="Times New Roman"/>
                <w:color w:val="auto"/>
                <w:kern w:val="0"/>
                <w:sz w:val="24"/>
                <w:szCs w:val="24"/>
                <w:lang w:val="zh-CN"/>
              </w:rPr>
              <w:t>内声</w:t>
            </w:r>
            <w:r>
              <w:rPr>
                <w:rFonts w:hint="default" w:ascii="Times New Roman" w:hAnsi="Times New Roman" w:eastAsia="宋体" w:cs="Times New Roman"/>
                <w:color w:val="auto"/>
                <w:kern w:val="0"/>
                <w:sz w:val="24"/>
                <w:szCs w:val="24"/>
                <w:highlight w:val="none"/>
                <w:lang w:val="zh-CN"/>
              </w:rPr>
              <w:t>源等效室外声源声功率级计算方法</w:t>
            </w:r>
          </w:p>
          <w:p w14:paraId="517E231F">
            <w:pPr>
              <w:keepNext w:val="0"/>
              <w:keepLines w:val="0"/>
              <w:suppressLineNumbers w:val="0"/>
              <w:spacing w:before="0" w:beforeAutospacing="0" w:after="0" w:afterAutospacing="0" w:line="360" w:lineRule="auto"/>
              <w:ind w:left="0" w:right="0" w:firstLine="480" w:firstLineChars="200"/>
              <w:rPr>
                <w:rFonts w:hint="eastAsia" w:ascii="Times New Roman" w:hAnsi="Times New Roman" w:eastAsia="宋体" w:cs="Times New Roman"/>
                <w:color w:val="auto"/>
                <w:kern w:val="0"/>
                <w:sz w:val="24"/>
                <w:szCs w:val="24"/>
                <w:highlight w:val="none"/>
                <w:lang w:val="zh-CN" w:eastAsia="zh-CN"/>
              </w:rPr>
            </w:pPr>
            <w:r>
              <w:rPr>
                <w:rFonts w:hint="default" w:ascii="Times New Roman" w:hAnsi="Times New Roman" w:eastAsia="宋体" w:cs="Times New Roman"/>
                <w:color w:val="auto"/>
                <w:kern w:val="0"/>
                <w:sz w:val="24"/>
                <w:szCs w:val="24"/>
                <w:highlight w:val="none"/>
                <w:lang w:val="zh-CN"/>
              </w:rPr>
              <w:t>a.</w:t>
            </w:r>
            <w:r>
              <w:rPr>
                <w:rFonts w:hint="default" w:ascii="Times New Roman" w:hAnsi="Times New Roman" w:eastAsia="宋体" w:cs="Times New Roman"/>
                <w:color w:val="auto"/>
                <w:kern w:val="0"/>
                <w:sz w:val="24"/>
                <w:szCs w:val="24"/>
                <w:highlight w:val="none"/>
              </w:rPr>
              <w:t>某一室内声源靠近围护结构处产生的倍频带声压级的计算</w:t>
            </w:r>
            <w:r>
              <w:rPr>
                <w:rFonts w:hint="eastAsia" w:eastAsia="宋体" w:cs="Times New Roman"/>
                <w:color w:val="auto"/>
                <w:kern w:val="0"/>
                <w:sz w:val="24"/>
                <w:szCs w:val="24"/>
                <w:highlight w:val="none"/>
                <w:lang w:eastAsia="zh-CN"/>
              </w:rPr>
              <w:t>：</w:t>
            </w:r>
          </w:p>
          <w:p w14:paraId="25A3A130">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s-ES"/>
              </w:rPr>
              <w:t>L</w:t>
            </w:r>
            <w:r>
              <w:rPr>
                <w:rFonts w:hint="default" w:ascii="Times New Roman" w:hAnsi="Times New Roman" w:eastAsia="宋体" w:cs="Times New Roman"/>
                <w:color w:val="auto"/>
                <w:kern w:val="0"/>
                <w:sz w:val="21"/>
                <w:szCs w:val="21"/>
                <w:highlight w:val="none"/>
                <w:vertAlign w:val="subscript"/>
                <w:lang w:val="es-ES"/>
              </w:rPr>
              <w:t>p1</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kern w:val="0"/>
                <w:sz w:val="21"/>
                <w:szCs w:val="21"/>
                <w:highlight w:val="none"/>
                <w:lang w:val="es-ES"/>
              </w:rPr>
              <w:t>L</w:t>
            </w:r>
            <w:r>
              <w:rPr>
                <w:rFonts w:hint="default" w:ascii="Times New Roman" w:hAnsi="Times New Roman" w:eastAsia="宋体" w:cs="Times New Roman"/>
                <w:color w:val="auto"/>
                <w:kern w:val="0"/>
                <w:sz w:val="21"/>
                <w:szCs w:val="21"/>
                <w:highlight w:val="none"/>
                <w:vertAlign w:val="subscript"/>
                <w:lang w:val="es-ES"/>
              </w:rPr>
              <w:t>w</w:t>
            </w:r>
            <w:r>
              <w:rPr>
                <w:rFonts w:hint="default" w:ascii="Times New Roman" w:hAnsi="Times New Roman" w:eastAsia="宋体" w:cs="Times New Roman"/>
                <w:color w:val="auto"/>
                <w:kern w:val="0"/>
                <w:sz w:val="21"/>
                <w:szCs w:val="21"/>
                <w:highlight w:val="none"/>
              </w:rPr>
              <w:t>+10log(</w:t>
            </w:r>
            <w:r>
              <w:rPr>
                <w:rFonts w:hint="default" w:ascii="Times New Roman" w:hAnsi="Times New Roman" w:eastAsia="宋体" w:cs="Times New Roman"/>
                <w:color w:val="auto"/>
                <w:kern w:val="0"/>
                <w:position w:val="-24"/>
                <w:sz w:val="21"/>
                <w:szCs w:val="21"/>
                <w:highlight w:val="none"/>
              </w:rPr>
              <w:drawing>
                <wp:inline distT="0" distB="0" distL="114300" distR="114300">
                  <wp:extent cx="628650" cy="381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628650" cy="381000"/>
                          </a:xfrm>
                          <a:prstGeom prst="rect">
                            <a:avLst/>
                          </a:prstGeom>
                          <a:noFill/>
                          <a:ln>
                            <a:noFill/>
                          </a:ln>
                        </pic:spPr>
                      </pic:pic>
                    </a:graphicData>
                  </a:graphic>
                </wp:inline>
              </w:drawing>
            </w:r>
            <w:r>
              <w:rPr>
                <w:rFonts w:hint="default" w:ascii="Times New Roman" w:hAnsi="Times New Roman" w:eastAsia="宋体" w:cs="Times New Roman"/>
                <w:color w:val="auto"/>
                <w:kern w:val="0"/>
                <w:sz w:val="21"/>
                <w:szCs w:val="21"/>
                <w:highlight w:val="none"/>
              </w:rPr>
              <w:t>)</w:t>
            </w:r>
          </w:p>
          <w:p w14:paraId="1315A30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highlight w:val="none"/>
                <w:lang w:val="zh-CN"/>
              </w:rPr>
            </w:pPr>
            <w:r>
              <w:rPr>
                <w:rFonts w:hint="default" w:ascii="Times New Roman" w:hAnsi="Times New Roman" w:eastAsia="宋体" w:cs="Times New Roman"/>
                <w:color w:val="auto"/>
                <w:kern w:val="0"/>
                <w:sz w:val="24"/>
                <w:szCs w:val="24"/>
                <w:highlight w:val="none"/>
                <w:lang w:val="zh-CN"/>
              </w:rPr>
              <w:t>式中：</w:t>
            </w:r>
            <w:r>
              <w:rPr>
                <w:rFonts w:hint="default" w:ascii="Times New Roman" w:hAnsi="Times New Roman" w:eastAsia="宋体" w:cs="Times New Roman"/>
                <w:color w:val="auto"/>
                <w:kern w:val="0"/>
                <w:sz w:val="24"/>
                <w:szCs w:val="24"/>
                <w:highlight w:val="none"/>
                <w:lang w:val="es-ES"/>
              </w:rPr>
              <w:t>Q</w:t>
            </w:r>
            <w:r>
              <w:rPr>
                <w:rFonts w:hint="default" w:ascii="Times New Roman" w:hAnsi="Times New Roman" w:eastAsia="宋体" w:cs="Times New Roman"/>
                <w:color w:val="auto"/>
                <w:kern w:val="0"/>
                <w:sz w:val="24"/>
                <w:szCs w:val="24"/>
                <w:highlight w:val="none"/>
              </w:rPr>
              <w:t>—指向性因素；通常对无指向性声源，当声源放在房间中心时，</w:t>
            </w:r>
            <w:r>
              <w:rPr>
                <w:rFonts w:hint="default" w:ascii="Times New Roman" w:hAnsi="Times New Roman" w:eastAsia="宋体" w:cs="Times New Roman"/>
                <w:i/>
                <w:iCs/>
                <w:color w:val="auto"/>
                <w:kern w:val="0"/>
                <w:sz w:val="24"/>
                <w:szCs w:val="24"/>
                <w:highlight w:val="none"/>
              </w:rPr>
              <w:t>Q</w:t>
            </w:r>
            <w:r>
              <w:rPr>
                <w:rFonts w:hint="default" w:ascii="Times New Roman" w:hAnsi="Times New Roman" w:eastAsia="宋体" w:cs="Times New Roman"/>
                <w:color w:val="auto"/>
                <w:kern w:val="0"/>
                <w:sz w:val="24"/>
                <w:szCs w:val="24"/>
                <w:highlight w:val="none"/>
              </w:rPr>
              <w:t>=1；当放在一面墙的中心时，</w:t>
            </w:r>
            <w:r>
              <w:rPr>
                <w:rFonts w:hint="default" w:ascii="Times New Roman" w:hAnsi="Times New Roman" w:eastAsia="宋体" w:cs="Times New Roman"/>
                <w:i/>
                <w:iCs/>
                <w:color w:val="auto"/>
                <w:kern w:val="0"/>
                <w:sz w:val="24"/>
                <w:szCs w:val="24"/>
                <w:highlight w:val="none"/>
              </w:rPr>
              <w:t>Q</w:t>
            </w:r>
            <w:r>
              <w:rPr>
                <w:rFonts w:hint="default" w:ascii="Times New Roman" w:hAnsi="Times New Roman" w:eastAsia="宋体" w:cs="Times New Roman"/>
                <w:color w:val="auto"/>
                <w:kern w:val="0"/>
                <w:sz w:val="24"/>
                <w:szCs w:val="24"/>
                <w:highlight w:val="none"/>
              </w:rPr>
              <w:t>=2；当放在两面墙夹角处时，</w:t>
            </w:r>
            <w:r>
              <w:rPr>
                <w:rFonts w:hint="default" w:ascii="Times New Roman" w:hAnsi="Times New Roman" w:eastAsia="宋体" w:cs="Times New Roman"/>
                <w:i/>
                <w:iCs/>
                <w:color w:val="auto"/>
                <w:kern w:val="0"/>
                <w:sz w:val="24"/>
                <w:szCs w:val="24"/>
                <w:highlight w:val="none"/>
              </w:rPr>
              <w:t>Q</w:t>
            </w:r>
            <w:r>
              <w:rPr>
                <w:rFonts w:hint="default" w:ascii="Times New Roman" w:hAnsi="Times New Roman" w:eastAsia="宋体" w:cs="Times New Roman"/>
                <w:color w:val="auto"/>
                <w:kern w:val="0"/>
                <w:sz w:val="24"/>
                <w:szCs w:val="24"/>
                <w:highlight w:val="none"/>
              </w:rPr>
              <w:t>=4；当放在三面墙夹角处时，</w:t>
            </w:r>
            <w:r>
              <w:rPr>
                <w:rFonts w:hint="default" w:ascii="Times New Roman" w:hAnsi="Times New Roman" w:eastAsia="宋体" w:cs="Times New Roman"/>
                <w:i/>
                <w:iCs/>
                <w:color w:val="auto"/>
                <w:kern w:val="0"/>
                <w:sz w:val="24"/>
                <w:szCs w:val="24"/>
                <w:highlight w:val="none"/>
              </w:rPr>
              <w:t>Q</w:t>
            </w:r>
            <w:r>
              <w:rPr>
                <w:rFonts w:hint="default" w:ascii="Times New Roman" w:hAnsi="Times New Roman" w:eastAsia="宋体" w:cs="Times New Roman"/>
                <w:color w:val="auto"/>
                <w:kern w:val="0"/>
                <w:sz w:val="24"/>
                <w:szCs w:val="24"/>
                <w:highlight w:val="none"/>
              </w:rPr>
              <w:t>=8。</w:t>
            </w:r>
          </w:p>
          <w:p w14:paraId="5F857150">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i/>
                <w:iCs/>
                <w:color w:val="auto"/>
                <w:kern w:val="0"/>
                <w:sz w:val="24"/>
                <w:szCs w:val="24"/>
                <w:highlight w:val="none"/>
              </w:rPr>
              <w:t>R</w:t>
            </w:r>
            <w:r>
              <w:rPr>
                <w:rFonts w:hint="default" w:ascii="Times New Roman" w:hAnsi="Times New Roman" w:eastAsia="宋体" w:cs="Times New Roman"/>
                <w:color w:val="auto"/>
                <w:kern w:val="0"/>
                <w:sz w:val="24"/>
                <w:szCs w:val="24"/>
                <w:highlight w:val="none"/>
              </w:rPr>
              <w:t>—房间常数；</w:t>
            </w:r>
            <w:r>
              <w:rPr>
                <w:rFonts w:hint="default" w:ascii="Times New Roman" w:hAnsi="Times New Roman" w:eastAsia="宋体" w:cs="Times New Roman"/>
                <w:i/>
                <w:iCs/>
                <w:color w:val="auto"/>
                <w:kern w:val="0"/>
                <w:sz w:val="24"/>
                <w:szCs w:val="24"/>
                <w:highlight w:val="none"/>
              </w:rPr>
              <w:t>R</w:t>
            </w:r>
            <w:r>
              <w:rPr>
                <w:rFonts w:hint="default" w:ascii="Times New Roman" w:hAnsi="Times New Roman" w:eastAsia="宋体" w:cs="Times New Roman"/>
                <w:color w:val="auto"/>
                <w:kern w:val="0"/>
                <w:sz w:val="24"/>
                <w:szCs w:val="24"/>
                <w:highlight w:val="none"/>
              </w:rPr>
              <w:t xml:space="preserve"> =</w:t>
            </w:r>
            <w:r>
              <w:rPr>
                <w:rFonts w:hint="default" w:ascii="Times New Roman" w:hAnsi="Times New Roman" w:eastAsia="宋体" w:cs="Times New Roman"/>
                <w:i/>
                <w:iCs/>
                <w:color w:val="auto"/>
                <w:kern w:val="0"/>
                <w:sz w:val="24"/>
                <w:szCs w:val="24"/>
                <w:highlight w:val="none"/>
              </w:rPr>
              <w:t>S</w:t>
            </w:r>
            <w:r>
              <w:rPr>
                <w:rFonts w:hint="default" w:ascii="Times New Roman" w:hAnsi="Times New Roman" w:eastAsia="宋体" w:cs="Times New Roman"/>
                <w:color w:val="auto"/>
                <w:kern w:val="0"/>
                <w:sz w:val="24"/>
                <w:szCs w:val="24"/>
                <w:highlight w:val="none"/>
              </w:rPr>
              <w:t>α/(1-α)，</w:t>
            </w:r>
            <w:r>
              <w:rPr>
                <w:rFonts w:hint="default" w:ascii="Times New Roman" w:hAnsi="Times New Roman" w:eastAsia="宋体" w:cs="Times New Roman"/>
                <w:i/>
                <w:iCs/>
                <w:color w:val="auto"/>
                <w:kern w:val="0"/>
                <w:sz w:val="24"/>
                <w:szCs w:val="24"/>
                <w:highlight w:val="none"/>
              </w:rPr>
              <w:t>S</w:t>
            </w:r>
            <w:r>
              <w:rPr>
                <w:rFonts w:hint="default" w:ascii="Times New Roman" w:hAnsi="Times New Roman" w:eastAsia="宋体" w:cs="Times New Roman"/>
                <w:color w:val="auto"/>
                <w:kern w:val="0"/>
                <w:sz w:val="24"/>
                <w:szCs w:val="24"/>
                <w:highlight w:val="none"/>
              </w:rPr>
              <w:t>为房间内表面面</w:t>
            </w:r>
            <w:r>
              <w:rPr>
                <w:rFonts w:hint="default" w:ascii="Times New Roman" w:hAnsi="Times New Roman" w:eastAsia="宋体" w:cs="Times New Roman"/>
                <w:color w:val="auto"/>
                <w:kern w:val="0"/>
                <w:sz w:val="24"/>
                <w:szCs w:val="24"/>
              </w:rPr>
              <w:t>积，m</w:t>
            </w:r>
            <w:r>
              <w:rPr>
                <w:rFonts w:hint="default" w:ascii="Times New Roman" w:hAnsi="Times New Roman" w:eastAsia="宋体" w:cs="Times New Roman"/>
                <w:color w:val="auto"/>
                <w:kern w:val="0"/>
                <w:sz w:val="24"/>
                <w:szCs w:val="24"/>
                <w:vertAlign w:val="superscript"/>
              </w:rPr>
              <w:t>2</w:t>
            </w:r>
            <w:r>
              <w:rPr>
                <w:rFonts w:hint="default" w:ascii="Times New Roman" w:hAnsi="Times New Roman" w:eastAsia="宋体" w:cs="Times New Roman"/>
                <w:color w:val="auto"/>
                <w:kern w:val="0"/>
                <w:sz w:val="24"/>
                <w:szCs w:val="24"/>
              </w:rPr>
              <w:t>；α为平均吸声系数。</w:t>
            </w:r>
          </w:p>
          <w:p w14:paraId="200627B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i/>
                <w:iCs/>
                <w:color w:val="auto"/>
                <w:kern w:val="0"/>
                <w:sz w:val="24"/>
                <w:szCs w:val="24"/>
              </w:rPr>
              <w:t>R</w:t>
            </w:r>
            <w:r>
              <w:rPr>
                <w:rFonts w:hint="default" w:ascii="Times New Roman" w:hAnsi="Times New Roman" w:eastAsia="宋体" w:cs="Times New Roman"/>
                <w:color w:val="auto"/>
                <w:kern w:val="0"/>
                <w:sz w:val="24"/>
                <w:szCs w:val="24"/>
              </w:rPr>
              <w:t>—声源到靠近围护结构某点处的距离，m。</w:t>
            </w:r>
          </w:p>
          <w:p w14:paraId="30C7BB69">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b.所有室内声源室内</w:t>
            </w:r>
            <w:r>
              <w:rPr>
                <w:rFonts w:hint="default" w:ascii="Times New Roman" w:hAnsi="Times New Roman" w:eastAsia="宋体" w:cs="Times New Roman"/>
                <w:i/>
                <w:iCs/>
                <w:color w:val="auto"/>
                <w:kern w:val="0"/>
                <w:sz w:val="24"/>
                <w:szCs w:val="24"/>
              </w:rPr>
              <w:t>i</w:t>
            </w:r>
            <w:r>
              <w:rPr>
                <w:rFonts w:hint="default" w:ascii="Times New Roman" w:hAnsi="Times New Roman" w:eastAsia="宋体" w:cs="Times New Roman"/>
                <w:color w:val="auto"/>
                <w:kern w:val="0"/>
                <w:sz w:val="24"/>
                <w:szCs w:val="24"/>
              </w:rPr>
              <w:t>倍频带叠加声压的计算</w:t>
            </w:r>
          </w:p>
          <w:p w14:paraId="5AF893E4">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kern w:val="0"/>
                <w:sz w:val="24"/>
                <w:szCs w:val="21"/>
              </w:rPr>
            </w:pPr>
            <w:r>
              <w:rPr>
                <w:rFonts w:hint="default" w:ascii="Times New Roman" w:hAnsi="Times New Roman" w:eastAsia="宋体" w:cs="Times New Roman"/>
                <w:color w:val="auto"/>
                <w:kern w:val="0"/>
                <w:sz w:val="24"/>
                <w:szCs w:val="21"/>
                <w:lang w:val="zh-CN"/>
              </w:rPr>
              <w:object>
                <v:shape id="_x0000_i1025" o:spt="75" type="#_x0000_t75" style="height:34.5pt;width:129pt;" o:ole="t" filled="f" o:preferrelative="t" stroked="f" coordsize="21600,21600">
                  <v:path/>
                  <v:fill on="f" focussize="0,0"/>
                  <v:stroke on="f" joinstyle="miter"/>
                  <v:imagedata r:id="rId15" o:title=""/>
                  <o:lock v:ext="edit" aspectratio="t"/>
                  <w10:wrap type="none"/>
                  <w10:anchorlock/>
                </v:shape>
                <o:OLEObject Type="Embed" ProgID="Equation.3" ShapeID="_x0000_i1025" DrawAspect="Content" ObjectID="_1468075725" r:id="rId14">
                  <o:LockedField>false</o:LockedField>
                </o:OLEObject>
              </w:object>
            </w:r>
          </w:p>
          <w:p w14:paraId="427B699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zh-CN"/>
              </w:rPr>
              <w:t>式中：</w:t>
            </w:r>
            <w:r>
              <w:rPr>
                <w:rFonts w:hint="default" w:ascii="Times New Roman" w:hAnsi="Times New Roman" w:eastAsia="宋体" w:cs="Times New Roman"/>
                <w:i/>
                <w:iCs/>
                <w:color w:val="auto"/>
                <w:kern w:val="0"/>
                <w:sz w:val="24"/>
                <w:szCs w:val="24"/>
              </w:rPr>
              <w:t>L</w:t>
            </w:r>
            <w:r>
              <w:rPr>
                <w:rFonts w:hint="default" w:ascii="Times New Roman" w:hAnsi="Times New Roman" w:eastAsia="宋体" w:cs="Times New Roman"/>
                <w:i/>
                <w:iCs/>
                <w:color w:val="auto"/>
                <w:kern w:val="0"/>
                <w:sz w:val="24"/>
                <w:szCs w:val="24"/>
                <w:vertAlign w:val="subscript"/>
              </w:rPr>
              <w:t>P1i</w:t>
            </w: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color w:val="auto"/>
                <w:kern w:val="0"/>
                <w:sz w:val="24"/>
                <w:szCs w:val="24"/>
              </w:rPr>
              <w:t>—靠近围护结构处室内N个声源</w:t>
            </w:r>
            <w:r>
              <w:rPr>
                <w:rFonts w:hint="default" w:ascii="Times New Roman" w:hAnsi="Times New Roman" w:eastAsia="宋体" w:cs="Times New Roman"/>
                <w:i/>
                <w:iCs/>
                <w:color w:val="auto"/>
                <w:kern w:val="0"/>
                <w:sz w:val="24"/>
                <w:szCs w:val="24"/>
              </w:rPr>
              <w:t>i</w:t>
            </w:r>
            <w:r>
              <w:rPr>
                <w:rFonts w:hint="default" w:ascii="Times New Roman" w:hAnsi="Times New Roman" w:eastAsia="宋体" w:cs="Times New Roman"/>
                <w:color w:val="auto"/>
                <w:kern w:val="0"/>
                <w:sz w:val="24"/>
                <w:szCs w:val="24"/>
              </w:rPr>
              <w:t>倍频带的叠加声压级，dB；</w:t>
            </w:r>
          </w:p>
          <w:p w14:paraId="48DE00A0">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i/>
                <w:iCs/>
                <w:color w:val="auto"/>
                <w:kern w:val="0"/>
                <w:sz w:val="24"/>
                <w:szCs w:val="24"/>
              </w:rPr>
              <w:t>L</w:t>
            </w:r>
            <w:r>
              <w:rPr>
                <w:rFonts w:hint="default" w:ascii="Times New Roman" w:hAnsi="Times New Roman" w:eastAsia="宋体" w:cs="Times New Roman"/>
                <w:i/>
                <w:iCs/>
                <w:color w:val="auto"/>
                <w:kern w:val="0"/>
                <w:sz w:val="24"/>
                <w:szCs w:val="24"/>
                <w:vertAlign w:val="subscript"/>
              </w:rPr>
              <w:t>P1ij</w:t>
            </w: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color w:val="auto"/>
                <w:kern w:val="0"/>
                <w:sz w:val="24"/>
                <w:szCs w:val="24"/>
              </w:rPr>
              <w:t>—室内</w:t>
            </w:r>
            <w:r>
              <w:rPr>
                <w:rFonts w:hint="default" w:ascii="Times New Roman" w:hAnsi="Times New Roman" w:eastAsia="宋体" w:cs="Times New Roman"/>
                <w:i/>
                <w:iCs/>
                <w:color w:val="auto"/>
                <w:kern w:val="0"/>
                <w:sz w:val="24"/>
                <w:szCs w:val="24"/>
              </w:rPr>
              <w:t>j</w:t>
            </w:r>
            <w:r>
              <w:rPr>
                <w:rFonts w:hint="default" w:ascii="Times New Roman" w:hAnsi="Times New Roman" w:eastAsia="宋体" w:cs="Times New Roman"/>
                <w:color w:val="auto"/>
                <w:kern w:val="0"/>
                <w:sz w:val="24"/>
                <w:szCs w:val="24"/>
              </w:rPr>
              <w:t>声源</w:t>
            </w:r>
            <w:r>
              <w:rPr>
                <w:rFonts w:hint="default" w:ascii="Times New Roman" w:hAnsi="Times New Roman" w:eastAsia="宋体" w:cs="Times New Roman"/>
                <w:i/>
                <w:iCs/>
                <w:color w:val="auto"/>
                <w:kern w:val="0"/>
                <w:sz w:val="24"/>
                <w:szCs w:val="24"/>
              </w:rPr>
              <w:t>i</w:t>
            </w:r>
            <w:r>
              <w:rPr>
                <w:rFonts w:hint="default" w:ascii="Times New Roman" w:hAnsi="Times New Roman" w:eastAsia="宋体" w:cs="Times New Roman"/>
                <w:color w:val="auto"/>
                <w:kern w:val="0"/>
                <w:sz w:val="24"/>
                <w:szCs w:val="24"/>
              </w:rPr>
              <w:t>倍频带的声压级，dB；</w:t>
            </w:r>
          </w:p>
          <w:p w14:paraId="4F98B762">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N—室内声源总数。</w:t>
            </w:r>
          </w:p>
          <w:p w14:paraId="62C37EE0">
            <w:pPr>
              <w:keepNext w:val="0"/>
              <w:keepLines w:val="0"/>
              <w:suppressLineNumbers w:val="0"/>
              <w:spacing w:before="0" w:beforeAutospacing="0" w:after="0" w:afterAutospacing="0" w:line="360" w:lineRule="auto"/>
              <w:ind w:left="0" w:right="0"/>
              <w:jc w:val="both"/>
              <w:rPr>
                <w:rFonts w:hint="default" w:ascii="Times New Roman" w:hAnsi="Times New Roman" w:cs="Times New Roman"/>
                <w:color w:val="auto"/>
                <w:kern w:val="0"/>
                <w:sz w:val="24"/>
                <w:szCs w:val="24"/>
                <w:lang w:val="en-US" w:eastAsia="zh-CN"/>
              </w:rPr>
            </w:pPr>
            <w:r>
              <w:rPr>
                <w:rFonts w:hint="default" w:ascii="Times New Roman" w:hAnsi="Times New Roman" w:eastAsia="宋体" w:cs="Times New Roman"/>
                <w:color w:val="auto"/>
                <w:kern w:val="0"/>
                <w:sz w:val="24"/>
                <w:szCs w:val="24"/>
              </w:rPr>
              <w:t>c.靠近室外围护结构处的声压级的计算</w:t>
            </w:r>
          </w:p>
          <w:p w14:paraId="1CA20D2E">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L</w:t>
            </w:r>
            <w:r>
              <w:rPr>
                <w:rFonts w:hint="default" w:ascii="Times New Roman" w:hAnsi="Times New Roman" w:eastAsia="宋体" w:cs="Times New Roman"/>
                <w:color w:val="auto"/>
                <w:kern w:val="0"/>
                <w:sz w:val="21"/>
                <w:szCs w:val="21"/>
                <w:vertAlign w:val="subscript"/>
              </w:rPr>
              <w:t>P2i</w:t>
            </w:r>
            <w:r>
              <w:rPr>
                <w:rFonts w:hint="default" w:ascii="Times New Roman" w:hAnsi="Times New Roman" w:eastAsia="宋体" w:cs="Times New Roman"/>
                <w:color w:val="auto"/>
                <w:kern w:val="0"/>
                <w:sz w:val="21"/>
                <w:szCs w:val="21"/>
              </w:rPr>
              <w:t>（T）= L</w:t>
            </w:r>
            <w:r>
              <w:rPr>
                <w:rFonts w:hint="default" w:ascii="Times New Roman" w:hAnsi="Times New Roman" w:eastAsia="宋体" w:cs="Times New Roman"/>
                <w:color w:val="auto"/>
                <w:kern w:val="0"/>
                <w:sz w:val="21"/>
                <w:szCs w:val="21"/>
                <w:vertAlign w:val="subscript"/>
              </w:rPr>
              <w:t>P1i</w:t>
            </w:r>
            <w:r>
              <w:rPr>
                <w:rFonts w:hint="default" w:ascii="Times New Roman" w:hAnsi="Times New Roman" w:eastAsia="宋体" w:cs="Times New Roman"/>
                <w:color w:val="auto"/>
                <w:kern w:val="0"/>
                <w:sz w:val="21"/>
                <w:szCs w:val="21"/>
              </w:rPr>
              <w:t>（T）-</w:t>
            </w:r>
            <w:r>
              <w:rPr>
                <w:rFonts w:hint="default" w:ascii="Times New Roman" w:hAnsi="Times New Roman" w:eastAsia="宋体" w:cs="Times New Roman"/>
                <w:color w:val="auto"/>
                <w:kern w:val="0"/>
                <w:sz w:val="21"/>
                <w:szCs w:val="21"/>
                <w:lang w:val="es-ES"/>
              </w:rPr>
              <w:t>（</w:t>
            </w:r>
            <w:r>
              <w:rPr>
                <w:rFonts w:hint="default" w:ascii="Times New Roman" w:hAnsi="Times New Roman" w:eastAsia="宋体" w:cs="Times New Roman"/>
                <w:color w:val="auto"/>
                <w:kern w:val="0"/>
                <w:sz w:val="21"/>
                <w:szCs w:val="21"/>
              </w:rPr>
              <w:t>Tl</w:t>
            </w:r>
            <w:r>
              <w:rPr>
                <w:rFonts w:hint="default" w:ascii="Times New Roman" w:hAnsi="Times New Roman" w:eastAsia="宋体" w:cs="Times New Roman"/>
                <w:color w:val="auto"/>
                <w:kern w:val="0"/>
                <w:sz w:val="21"/>
                <w:szCs w:val="21"/>
                <w:vertAlign w:val="subscript"/>
              </w:rPr>
              <w:t>i</w:t>
            </w:r>
            <w:r>
              <w:rPr>
                <w:rFonts w:hint="default" w:ascii="Times New Roman" w:hAnsi="Times New Roman" w:eastAsia="宋体" w:cs="Times New Roman"/>
                <w:color w:val="auto"/>
                <w:kern w:val="0"/>
                <w:sz w:val="21"/>
                <w:szCs w:val="21"/>
              </w:rPr>
              <w:t>+6</w:t>
            </w:r>
            <w:r>
              <w:rPr>
                <w:rFonts w:hint="default" w:ascii="Times New Roman" w:hAnsi="Times New Roman" w:eastAsia="宋体" w:cs="Times New Roman"/>
                <w:color w:val="auto"/>
                <w:kern w:val="0"/>
                <w:sz w:val="21"/>
                <w:szCs w:val="21"/>
                <w:lang w:val="es-ES"/>
              </w:rPr>
              <w:t>）</w:t>
            </w:r>
          </w:p>
          <w:p w14:paraId="0A733A73">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zh-CN"/>
              </w:rPr>
              <w:t>式中：</w:t>
            </w:r>
            <w:r>
              <w:rPr>
                <w:rFonts w:hint="default" w:ascii="Times New Roman" w:hAnsi="Times New Roman" w:eastAsia="宋体" w:cs="Times New Roman"/>
                <w:i/>
                <w:iCs/>
                <w:color w:val="auto"/>
                <w:kern w:val="0"/>
                <w:sz w:val="24"/>
                <w:szCs w:val="24"/>
              </w:rPr>
              <w:t>L</w:t>
            </w:r>
            <w:r>
              <w:rPr>
                <w:rFonts w:hint="default" w:ascii="Times New Roman" w:hAnsi="Times New Roman" w:eastAsia="宋体" w:cs="Times New Roman"/>
                <w:i/>
                <w:iCs/>
                <w:color w:val="auto"/>
                <w:kern w:val="0"/>
                <w:sz w:val="24"/>
                <w:szCs w:val="24"/>
                <w:vertAlign w:val="subscript"/>
              </w:rPr>
              <w:t>P2i</w:t>
            </w: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color w:val="auto"/>
                <w:kern w:val="0"/>
                <w:sz w:val="24"/>
                <w:szCs w:val="24"/>
              </w:rPr>
              <w:t>—靠近围护结构处室外N个声源</w:t>
            </w:r>
            <w:r>
              <w:rPr>
                <w:rFonts w:hint="default" w:ascii="Times New Roman" w:hAnsi="Times New Roman" w:eastAsia="宋体" w:cs="Times New Roman"/>
                <w:i/>
                <w:iCs/>
                <w:color w:val="auto"/>
                <w:kern w:val="0"/>
                <w:sz w:val="24"/>
                <w:szCs w:val="24"/>
              </w:rPr>
              <w:t>i</w:t>
            </w:r>
            <w:r>
              <w:rPr>
                <w:rFonts w:hint="default" w:ascii="Times New Roman" w:hAnsi="Times New Roman" w:eastAsia="宋体" w:cs="Times New Roman"/>
                <w:color w:val="auto"/>
                <w:kern w:val="0"/>
                <w:sz w:val="24"/>
                <w:szCs w:val="24"/>
              </w:rPr>
              <w:t>倍频带的叠加声压级，dB；</w:t>
            </w:r>
          </w:p>
          <w:p w14:paraId="6946E563">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i/>
                <w:iCs/>
                <w:color w:val="auto"/>
                <w:kern w:val="0"/>
                <w:sz w:val="24"/>
                <w:szCs w:val="24"/>
              </w:rPr>
              <w:t>Tl</w:t>
            </w:r>
            <w:r>
              <w:rPr>
                <w:rFonts w:hint="default" w:ascii="Times New Roman" w:hAnsi="Times New Roman" w:eastAsia="宋体" w:cs="Times New Roman"/>
                <w:i/>
                <w:iCs/>
                <w:color w:val="auto"/>
                <w:kern w:val="0"/>
                <w:sz w:val="24"/>
                <w:szCs w:val="24"/>
                <w:vertAlign w:val="subscript"/>
              </w:rPr>
              <w:t>i</w:t>
            </w:r>
            <w:r>
              <w:rPr>
                <w:rFonts w:hint="default" w:ascii="Times New Roman" w:hAnsi="Times New Roman" w:eastAsia="宋体" w:cs="Times New Roman"/>
                <w:color w:val="auto"/>
                <w:kern w:val="0"/>
                <w:sz w:val="24"/>
                <w:szCs w:val="24"/>
              </w:rPr>
              <w:t>—围护结构</w:t>
            </w:r>
            <w:r>
              <w:rPr>
                <w:rFonts w:hint="default" w:ascii="Times New Roman" w:hAnsi="Times New Roman" w:eastAsia="宋体" w:cs="Times New Roman"/>
                <w:i/>
                <w:iCs/>
                <w:color w:val="auto"/>
                <w:kern w:val="0"/>
                <w:sz w:val="24"/>
                <w:szCs w:val="24"/>
              </w:rPr>
              <w:t>i</w:t>
            </w:r>
            <w:r>
              <w:rPr>
                <w:rFonts w:hint="default" w:ascii="Times New Roman" w:hAnsi="Times New Roman" w:eastAsia="宋体" w:cs="Times New Roman"/>
                <w:color w:val="auto"/>
                <w:kern w:val="0"/>
                <w:sz w:val="24"/>
                <w:szCs w:val="24"/>
              </w:rPr>
              <w:t>倍频带的隔声量，dB。</w:t>
            </w:r>
          </w:p>
          <w:p w14:paraId="3CEE8C8E">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d.等效的室外声源中心位置位于透声面积（S）处的等效声源的倍频带声功率级的计算</w:t>
            </w:r>
          </w:p>
          <w:p w14:paraId="352F441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t>L</w:t>
            </w:r>
            <w:r>
              <w:rPr>
                <w:rFonts w:hint="default" w:ascii="Times New Roman" w:hAnsi="Times New Roman" w:eastAsia="宋体" w:cs="Times New Roman"/>
                <w:color w:val="auto"/>
                <w:kern w:val="0"/>
                <w:sz w:val="21"/>
                <w:szCs w:val="21"/>
                <w:vertAlign w:val="subscript"/>
              </w:rPr>
              <w:t>w</w:t>
            </w:r>
            <w:r>
              <w:rPr>
                <w:rFonts w:hint="default" w:ascii="Times New Roman" w:hAnsi="Times New Roman" w:eastAsia="宋体" w:cs="Times New Roman"/>
                <w:color w:val="auto"/>
                <w:kern w:val="0"/>
                <w:sz w:val="21"/>
                <w:szCs w:val="21"/>
              </w:rPr>
              <w:t>= L</w:t>
            </w:r>
            <w:r>
              <w:rPr>
                <w:rFonts w:hint="default" w:ascii="Times New Roman" w:hAnsi="Times New Roman" w:eastAsia="宋体" w:cs="Times New Roman"/>
                <w:color w:val="auto"/>
                <w:kern w:val="0"/>
                <w:sz w:val="21"/>
                <w:szCs w:val="21"/>
                <w:vertAlign w:val="subscript"/>
              </w:rPr>
              <w:t>P2i</w:t>
            </w:r>
            <w:r>
              <w:rPr>
                <w:rFonts w:hint="default" w:ascii="Times New Roman" w:hAnsi="Times New Roman" w:eastAsia="宋体" w:cs="Times New Roman"/>
                <w:color w:val="auto"/>
                <w:kern w:val="0"/>
                <w:sz w:val="21"/>
                <w:szCs w:val="21"/>
              </w:rPr>
              <w:t>（T）+10lgs</w:t>
            </w:r>
          </w:p>
          <w:p w14:paraId="0070A27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fldChar w:fldCharType="begin"/>
            </w:r>
            <w:r>
              <w:rPr>
                <w:rFonts w:hint="default" w:ascii="Times New Roman" w:hAnsi="Times New Roman" w:eastAsia="宋体" w:cs="Times New Roman"/>
                <w:color w:val="auto"/>
                <w:kern w:val="0"/>
                <w:sz w:val="24"/>
                <w:szCs w:val="24"/>
              </w:rPr>
              <w:instrText xml:space="preserve"> = 2 \* GB3 \* MERGEFORMAT </w:instrText>
            </w:r>
            <w:r>
              <w:rPr>
                <w:rFonts w:hint="default" w:ascii="Times New Roman" w:hAnsi="Times New Roman" w:eastAsia="宋体" w:cs="Times New Roman"/>
                <w:color w:val="auto"/>
                <w:kern w:val="0"/>
                <w:sz w:val="24"/>
                <w:szCs w:val="24"/>
              </w:rPr>
              <w:fldChar w:fldCharType="separate"/>
            </w:r>
            <w:r>
              <w:rPr>
                <w:rFonts w:hint="default" w:ascii="Times New Roman" w:hAnsi="Times New Roman" w:cs="Times New Roman"/>
                <w:color w:val="auto"/>
                <w:sz w:val="24"/>
                <w:szCs w:val="32"/>
              </w:rPr>
              <w:t>②</w:t>
            </w:r>
            <w:r>
              <w:rPr>
                <w:rFonts w:hint="default" w:ascii="Times New Roman" w:hAnsi="Times New Roman" w:eastAsia="宋体" w:cs="Times New Roman"/>
                <w:color w:val="auto"/>
                <w:kern w:val="0"/>
                <w:sz w:val="24"/>
                <w:szCs w:val="24"/>
              </w:rPr>
              <w:fldChar w:fldCharType="end"/>
            </w:r>
            <w:r>
              <w:rPr>
                <w:rFonts w:hint="default" w:ascii="Times New Roman" w:hAnsi="Times New Roman" w:eastAsia="宋体" w:cs="Times New Roman"/>
                <w:color w:val="auto"/>
                <w:kern w:val="0"/>
                <w:sz w:val="24"/>
                <w:szCs w:val="24"/>
              </w:rPr>
              <w:t>预测点A 声级的计算</w:t>
            </w:r>
          </w:p>
          <w:p w14:paraId="69779905">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lang w:val="es-ES"/>
              </w:rPr>
              <w:t>L</w:t>
            </w:r>
            <w:r>
              <w:rPr>
                <w:rFonts w:hint="default" w:ascii="Times New Roman" w:hAnsi="Times New Roman" w:eastAsia="宋体" w:cs="Times New Roman"/>
                <w:i/>
                <w:color w:val="auto"/>
                <w:kern w:val="0"/>
                <w:sz w:val="21"/>
                <w:szCs w:val="21"/>
                <w:vertAlign w:val="subscript"/>
                <w:lang w:val="es-ES"/>
              </w:rPr>
              <w:t>A</w:t>
            </w:r>
            <w:r>
              <w:rPr>
                <w:rFonts w:hint="default" w:ascii="Times New Roman" w:hAnsi="Times New Roman" w:eastAsia="宋体" w:cs="Times New Roman"/>
                <w:i/>
                <w:color w:val="auto"/>
                <w:kern w:val="0"/>
                <w:sz w:val="21"/>
                <w:szCs w:val="21"/>
                <w:lang w:val="es-ES"/>
              </w:rPr>
              <w:t>(r)</w:t>
            </w:r>
            <w:r>
              <w:rPr>
                <w:rFonts w:hint="default" w:ascii="Times New Roman" w:hAnsi="Times New Roman" w:eastAsia="宋体" w:cs="Times New Roman"/>
                <w:color w:val="auto"/>
                <w:kern w:val="0"/>
                <w:sz w:val="21"/>
                <w:szCs w:val="21"/>
                <w:lang w:val="es-ES"/>
              </w:rPr>
              <w:t>=10</w:t>
            </w:r>
            <w:r>
              <w:rPr>
                <w:rFonts w:hint="default" w:ascii="Times New Roman" w:hAnsi="Times New Roman" w:eastAsia="宋体" w:cs="Times New Roman"/>
                <w:color w:val="auto"/>
                <w:kern w:val="0"/>
                <w:sz w:val="21"/>
                <w:szCs w:val="21"/>
              </w:rPr>
              <w:t xml:space="preserve"> lg</w:t>
            </w:r>
            <w:r>
              <w:rPr>
                <w:rFonts w:hint="default" w:ascii="Times New Roman" w:hAnsi="Times New Roman" w:eastAsia="宋体" w:cs="Times New Roman"/>
                <w:color w:val="auto"/>
                <w:kern w:val="0"/>
                <w:position w:val="-30"/>
                <w:sz w:val="21"/>
                <w:szCs w:val="21"/>
              </w:rPr>
              <w:drawing>
                <wp:inline distT="0" distB="0" distL="114300" distR="114300">
                  <wp:extent cx="1123950" cy="43815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6"/>
                          <a:stretch>
                            <a:fillRect/>
                          </a:stretch>
                        </pic:blipFill>
                        <pic:spPr>
                          <a:xfrm>
                            <a:off x="0" y="0"/>
                            <a:ext cx="1123950" cy="438150"/>
                          </a:xfrm>
                          <a:prstGeom prst="rect">
                            <a:avLst/>
                          </a:prstGeom>
                          <a:noFill/>
                          <a:ln>
                            <a:noFill/>
                          </a:ln>
                        </pic:spPr>
                      </pic:pic>
                    </a:graphicData>
                  </a:graphic>
                </wp:inline>
              </w:drawing>
            </w:r>
          </w:p>
          <w:p w14:paraId="2AE6A47D">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zh-CN"/>
              </w:rPr>
              <w:t>式中</w:t>
            </w:r>
            <w:r>
              <w:rPr>
                <w:rFonts w:hint="default" w:ascii="Times New Roman" w:hAnsi="Times New Roman" w:eastAsia="宋体" w:cs="Times New Roman"/>
                <w:color w:val="auto"/>
                <w:kern w:val="0"/>
                <w:sz w:val="24"/>
                <w:szCs w:val="24"/>
              </w:rPr>
              <w:t>：</w:t>
            </w:r>
            <w:r>
              <w:rPr>
                <w:rFonts w:hint="default" w:ascii="Times New Roman" w:hAnsi="Times New Roman" w:eastAsia="宋体" w:cs="Times New Roman"/>
                <w:color w:val="auto"/>
                <w:kern w:val="0"/>
                <w:sz w:val="24"/>
                <w:szCs w:val="24"/>
                <w:lang w:val="es-ES"/>
              </w:rPr>
              <w:t>L</w:t>
            </w:r>
            <w:r>
              <w:rPr>
                <w:rFonts w:hint="default" w:ascii="Times New Roman" w:hAnsi="Times New Roman" w:eastAsia="宋体" w:cs="Times New Roman"/>
                <w:i/>
                <w:color w:val="auto"/>
                <w:kern w:val="0"/>
                <w:sz w:val="24"/>
                <w:szCs w:val="24"/>
                <w:vertAlign w:val="subscript"/>
                <w:lang w:val="es-ES"/>
              </w:rPr>
              <w:t>A</w:t>
            </w:r>
            <w:r>
              <w:rPr>
                <w:rFonts w:hint="default" w:ascii="Times New Roman" w:hAnsi="Times New Roman" w:eastAsia="宋体" w:cs="Times New Roman"/>
                <w:i/>
                <w:color w:val="auto"/>
                <w:kern w:val="0"/>
                <w:sz w:val="24"/>
                <w:szCs w:val="24"/>
                <w:lang w:val="es-ES"/>
              </w:rPr>
              <w:t>(r)</w:t>
            </w:r>
            <w:r>
              <w:rPr>
                <w:rFonts w:hint="default" w:ascii="Times New Roman" w:hAnsi="Times New Roman" w:eastAsia="宋体" w:cs="Times New Roman"/>
                <w:color w:val="auto"/>
                <w:kern w:val="0"/>
                <w:sz w:val="24"/>
                <w:szCs w:val="24"/>
              </w:rPr>
              <w:t>—预测点（r）处A声级，dB（A）；</w:t>
            </w:r>
          </w:p>
          <w:p w14:paraId="6E94D124">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s-ES"/>
              </w:rPr>
              <w:t>L</w:t>
            </w:r>
            <w:r>
              <w:rPr>
                <w:rFonts w:hint="default" w:ascii="Times New Roman" w:hAnsi="Times New Roman" w:eastAsia="宋体" w:cs="Times New Roman"/>
                <w:i/>
                <w:color w:val="auto"/>
                <w:kern w:val="0"/>
                <w:sz w:val="24"/>
                <w:szCs w:val="24"/>
                <w:vertAlign w:val="subscript"/>
                <w:lang w:val="es-ES"/>
              </w:rPr>
              <w:t>Pi</w:t>
            </w:r>
            <w:r>
              <w:rPr>
                <w:rFonts w:hint="default" w:ascii="Times New Roman" w:hAnsi="Times New Roman" w:eastAsia="宋体" w:cs="Times New Roman"/>
                <w:i/>
                <w:color w:val="auto"/>
                <w:kern w:val="0"/>
                <w:sz w:val="24"/>
                <w:szCs w:val="24"/>
                <w:lang w:val="es-ES"/>
              </w:rPr>
              <w:t>(r)</w:t>
            </w:r>
            <w:r>
              <w:rPr>
                <w:rFonts w:hint="default" w:ascii="Times New Roman" w:hAnsi="Times New Roman" w:eastAsia="宋体" w:cs="Times New Roman"/>
                <w:color w:val="auto"/>
                <w:kern w:val="0"/>
                <w:sz w:val="24"/>
                <w:szCs w:val="24"/>
              </w:rPr>
              <w:t>—预测点（r）处，第i倍频带声压级，dB；</w:t>
            </w:r>
          </w:p>
          <w:p w14:paraId="57187BC1">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Δ</w:t>
            </w:r>
            <w:r>
              <w:rPr>
                <w:rFonts w:hint="default" w:ascii="Times New Roman" w:hAnsi="Times New Roman" w:eastAsia="宋体" w:cs="Times New Roman"/>
                <w:i/>
                <w:color w:val="auto"/>
                <w:kern w:val="0"/>
                <w:sz w:val="24"/>
                <w:szCs w:val="24"/>
                <w:lang w:val="es-ES"/>
              </w:rPr>
              <w:t>l</w:t>
            </w:r>
            <w:r>
              <w:rPr>
                <w:rFonts w:hint="default" w:ascii="Times New Roman" w:hAnsi="Times New Roman" w:eastAsia="宋体" w:cs="Times New Roman"/>
                <w:i/>
                <w:color w:val="auto"/>
                <w:kern w:val="0"/>
                <w:sz w:val="24"/>
                <w:szCs w:val="24"/>
                <w:vertAlign w:val="subscript"/>
                <w:lang w:val="es-ES"/>
              </w:rPr>
              <w:t>i</w:t>
            </w:r>
            <w:r>
              <w:rPr>
                <w:rFonts w:hint="default" w:ascii="Times New Roman" w:hAnsi="Times New Roman" w:eastAsia="宋体" w:cs="Times New Roman"/>
                <w:color w:val="auto"/>
                <w:kern w:val="0"/>
                <w:sz w:val="24"/>
                <w:szCs w:val="24"/>
              </w:rPr>
              <w:t>—i倍频带A计权网络修正值，dB。</w:t>
            </w:r>
          </w:p>
          <w:p w14:paraId="4C8DF60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fldChar w:fldCharType="begin"/>
            </w:r>
            <w:r>
              <w:rPr>
                <w:rFonts w:hint="default" w:ascii="Times New Roman" w:hAnsi="Times New Roman" w:eastAsia="宋体" w:cs="Times New Roman"/>
                <w:color w:val="auto"/>
                <w:kern w:val="0"/>
                <w:sz w:val="24"/>
                <w:szCs w:val="24"/>
              </w:rPr>
              <w:instrText xml:space="preserve"> = 3 \* GB3 \* MERGEFORMAT </w:instrText>
            </w:r>
            <w:r>
              <w:rPr>
                <w:rFonts w:hint="default" w:ascii="Times New Roman" w:hAnsi="Times New Roman" w:eastAsia="宋体" w:cs="Times New Roman"/>
                <w:color w:val="auto"/>
                <w:kern w:val="0"/>
                <w:sz w:val="24"/>
                <w:szCs w:val="24"/>
              </w:rPr>
              <w:fldChar w:fldCharType="separate"/>
            </w:r>
            <w:r>
              <w:rPr>
                <w:rFonts w:hint="default" w:ascii="Times New Roman" w:hAnsi="Times New Roman" w:cs="Times New Roman"/>
                <w:color w:val="auto"/>
                <w:sz w:val="24"/>
                <w:szCs w:val="32"/>
              </w:rPr>
              <w:t>③</w:t>
            </w:r>
            <w:r>
              <w:rPr>
                <w:rFonts w:hint="default" w:ascii="Times New Roman" w:hAnsi="Times New Roman" w:eastAsia="宋体" w:cs="Times New Roman"/>
                <w:color w:val="auto"/>
                <w:kern w:val="0"/>
                <w:sz w:val="24"/>
                <w:szCs w:val="24"/>
              </w:rPr>
              <w:fldChar w:fldCharType="end"/>
            </w:r>
            <w:r>
              <w:rPr>
                <w:rFonts w:hint="default" w:ascii="Times New Roman" w:hAnsi="Times New Roman" w:eastAsia="宋体" w:cs="Times New Roman"/>
                <w:color w:val="auto"/>
                <w:kern w:val="0"/>
                <w:sz w:val="24"/>
                <w:szCs w:val="24"/>
              </w:rPr>
              <w:t>预测点总A声压级的计算</w:t>
            </w:r>
          </w:p>
          <w:p w14:paraId="3977BD36">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设第</w:t>
            </w:r>
            <w:r>
              <w:rPr>
                <w:rFonts w:hint="default" w:ascii="Times New Roman" w:hAnsi="Times New Roman" w:eastAsia="宋体" w:cs="Times New Roman"/>
                <w:i/>
                <w:iCs/>
                <w:color w:val="auto"/>
                <w:kern w:val="0"/>
                <w:sz w:val="24"/>
                <w:szCs w:val="24"/>
              </w:rPr>
              <w:t>i</w:t>
            </w:r>
            <w:r>
              <w:rPr>
                <w:rFonts w:hint="default" w:ascii="Times New Roman" w:hAnsi="Times New Roman" w:eastAsia="宋体" w:cs="Times New Roman"/>
                <w:color w:val="auto"/>
                <w:kern w:val="0"/>
                <w:sz w:val="24"/>
                <w:szCs w:val="24"/>
              </w:rPr>
              <w:t>个室外声源在预测点产生的A声级为</w:t>
            </w:r>
            <w:r>
              <w:rPr>
                <w:rFonts w:hint="default" w:ascii="Times New Roman" w:hAnsi="Times New Roman" w:eastAsia="宋体" w:cs="Times New Roman"/>
                <w:i/>
                <w:iCs/>
                <w:color w:val="auto"/>
                <w:kern w:val="0"/>
                <w:sz w:val="24"/>
                <w:szCs w:val="24"/>
              </w:rPr>
              <w:t>L</w:t>
            </w:r>
            <w:r>
              <w:rPr>
                <w:rFonts w:hint="default" w:ascii="Times New Roman" w:hAnsi="Times New Roman" w:eastAsia="宋体" w:cs="Times New Roman"/>
                <w:i/>
                <w:iCs/>
                <w:color w:val="auto"/>
                <w:kern w:val="0"/>
                <w:sz w:val="24"/>
                <w:szCs w:val="24"/>
                <w:vertAlign w:val="subscript"/>
              </w:rPr>
              <w:t>Ai</w:t>
            </w:r>
            <w:r>
              <w:rPr>
                <w:rFonts w:hint="default" w:ascii="Times New Roman" w:hAnsi="Times New Roman" w:eastAsia="宋体" w:cs="Times New Roman"/>
                <w:color w:val="auto"/>
                <w:kern w:val="0"/>
                <w:sz w:val="24"/>
                <w:szCs w:val="24"/>
              </w:rPr>
              <w:t>，在</w:t>
            </w: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color w:val="auto"/>
                <w:kern w:val="0"/>
                <w:sz w:val="24"/>
                <w:szCs w:val="24"/>
              </w:rPr>
              <w:t>时间内该声源工作时间</w:t>
            </w:r>
            <w:r>
              <w:rPr>
                <w:rFonts w:hint="default" w:ascii="Times New Roman" w:hAnsi="Times New Roman" w:eastAsia="宋体" w:cs="Times New Roman"/>
                <w:i/>
                <w:iCs/>
                <w:color w:val="auto"/>
                <w:kern w:val="0"/>
                <w:sz w:val="24"/>
                <w:szCs w:val="24"/>
              </w:rPr>
              <w:t>ti</w:t>
            </w:r>
            <w:r>
              <w:rPr>
                <w:rFonts w:hint="default" w:ascii="Times New Roman" w:hAnsi="Times New Roman" w:eastAsia="宋体" w:cs="Times New Roman"/>
                <w:color w:val="auto"/>
                <w:kern w:val="0"/>
                <w:sz w:val="24"/>
                <w:szCs w:val="24"/>
              </w:rPr>
              <w:t>；第</w:t>
            </w:r>
            <w:r>
              <w:rPr>
                <w:rFonts w:hint="default" w:ascii="Times New Roman" w:hAnsi="Times New Roman" w:eastAsia="宋体" w:cs="Times New Roman"/>
                <w:i/>
                <w:iCs/>
                <w:color w:val="auto"/>
                <w:kern w:val="0"/>
                <w:sz w:val="24"/>
                <w:szCs w:val="24"/>
              </w:rPr>
              <w:t>j</w:t>
            </w:r>
            <w:r>
              <w:rPr>
                <w:rFonts w:hint="default" w:ascii="Times New Roman" w:hAnsi="Times New Roman" w:eastAsia="宋体" w:cs="Times New Roman"/>
                <w:color w:val="auto"/>
                <w:kern w:val="0"/>
                <w:sz w:val="24"/>
                <w:szCs w:val="24"/>
              </w:rPr>
              <w:t>个等效室外声源在预测点产生的A声级为</w:t>
            </w:r>
            <w:r>
              <w:rPr>
                <w:rFonts w:hint="default" w:ascii="Times New Roman" w:hAnsi="Times New Roman" w:eastAsia="宋体" w:cs="Times New Roman"/>
                <w:i/>
                <w:iCs/>
                <w:color w:val="auto"/>
                <w:kern w:val="0"/>
                <w:sz w:val="24"/>
                <w:szCs w:val="24"/>
              </w:rPr>
              <w:t>L</w:t>
            </w:r>
            <w:r>
              <w:rPr>
                <w:rFonts w:hint="default" w:ascii="Times New Roman" w:hAnsi="Times New Roman" w:eastAsia="宋体" w:cs="Times New Roman"/>
                <w:i/>
                <w:iCs/>
                <w:color w:val="auto"/>
                <w:kern w:val="0"/>
                <w:sz w:val="24"/>
                <w:szCs w:val="24"/>
                <w:vertAlign w:val="subscript"/>
              </w:rPr>
              <w:t>Aj</w:t>
            </w:r>
            <w:r>
              <w:rPr>
                <w:rFonts w:hint="default" w:ascii="Times New Roman" w:hAnsi="Times New Roman" w:eastAsia="宋体" w:cs="Times New Roman"/>
                <w:color w:val="auto"/>
                <w:kern w:val="0"/>
                <w:sz w:val="24"/>
                <w:szCs w:val="24"/>
              </w:rPr>
              <w:t>，在</w:t>
            </w: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color w:val="auto"/>
                <w:kern w:val="0"/>
                <w:sz w:val="24"/>
                <w:szCs w:val="24"/>
              </w:rPr>
              <w:t>时间内该声源工作时间为</w:t>
            </w: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i/>
                <w:iCs/>
                <w:color w:val="auto"/>
                <w:kern w:val="0"/>
                <w:sz w:val="24"/>
                <w:szCs w:val="24"/>
                <w:vertAlign w:val="subscript"/>
              </w:rPr>
              <w:t>j</w:t>
            </w:r>
            <w:r>
              <w:rPr>
                <w:rFonts w:hint="default" w:ascii="Times New Roman" w:hAnsi="Times New Roman" w:eastAsia="宋体" w:cs="Times New Roman"/>
                <w:color w:val="auto"/>
                <w:kern w:val="0"/>
                <w:sz w:val="24"/>
                <w:szCs w:val="24"/>
              </w:rPr>
              <w:t>，则拟建工程声源对预测点产生的贡献值（</w:t>
            </w:r>
            <w:r>
              <w:rPr>
                <w:rFonts w:hint="default" w:ascii="Times New Roman" w:hAnsi="Times New Roman" w:eastAsia="宋体" w:cs="Times New Roman"/>
                <w:i/>
                <w:iCs/>
                <w:color w:val="auto"/>
                <w:kern w:val="0"/>
                <w:sz w:val="24"/>
                <w:szCs w:val="24"/>
              </w:rPr>
              <w:t>L</w:t>
            </w:r>
            <w:r>
              <w:rPr>
                <w:rFonts w:hint="default" w:ascii="Times New Roman" w:hAnsi="Times New Roman" w:eastAsia="宋体" w:cs="Times New Roman"/>
                <w:i/>
                <w:iCs/>
                <w:color w:val="auto"/>
                <w:kern w:val="0"/>
                <w:sz w:val="24"/>
                <w:szCs w:val="24"/>
                <w:vertAlign w:val="subscript"/>
              </w:rPr>
              <w:t>eqg</w:t>
            </w:r>
            <w:r>
              <w:rPr>
                <w:rFonts w:hint="default" w:ascii="Times New Roman" w:hAnsi="Times New Roman" w:eastAsia="宋体" w:cs="Times New Roman"/>
                <w:color w:val="auto"/>
                <w:kern w:val="0"/>
                <w:sz w:val="24"/>
                <w:szCs w:val="24"/>
              </w:rPr>
              <w:t>）为：</w:t>
            </w:r>
          </w:p>
          <w:p w14:paraId="480DC6B3">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auto"/>
                <w:kern w:val="0"/>
                <w:sz w:val="21"/>
                <w:szCs w:val="21"/>
              </w:rPr>
            </w:pPr>
            <w:r>
              <w:rPr>
                <w:rFonts w:hint="default" w:ascii="Times New Roman" w:hAnsi="Times New Roman" w:eastAsia="宋体" w:cs="Times New Roman"/>
                <w:color w:val="auto"/>
                <w:kern w:val="0"/>
                <w:sz w:val="21"/>
                <w:szCs w:val="21"/>
              </w:rPr>
              <w:drawing>
                <wp:inline distT="0" distB="0" distL="114300" distR="114300">
                  <wp:extent cx="2524125" cy="466725"/>
                  <wp:effectExtent l="0" t="0" r="9525" b="889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7"/>
                          <a:stretch>
                            <a:fillRect/>
                          </a:stretch>
                        </pic:blipFill>
                        <pic:spPr>
                          <a:xfrm>
                            <a:off x="0" y="0"/>
                            <a:ext cx="2524125" cy="466725"/>
                          </a:xfrm>
                          <a:prstGeom prst="rect">
                            <a:avLst/>
                          </a:prstGeom>
                          <a:noFill/>
                          <a:ln>
                            <a:noFill/>
                          </a:ln>
                        </pic:spPr>
                      </pic:pic>
                    </a:graphicData>
                  </a:graphic>
                </wp:inline>
              </w:drawing>
            </w:r>
          </w:p>
          <w:p w14:paraId="657DB072">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式中：</w:t>
            </w: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i/>
                <w:iCs/>
                <w:color w:val="auto"/>
                <w:kern w:val="0"/>
                <w:sz w:val="24"/>
                <w:szCs w:val="24"/>
                <w:vertAlign w:val="subscript"/>
              </w:rPr>
              <w:t>j</w:t>
            </w:r>
            <w:r>
              <w:rPr>
                <w:rFonts w:hint="default" w:ascii="Times New Roman" w:hAnsi="Times New Roman" w:eastAsia="宋体" w:cs="Times New Roman"/>
                <w:color w:val="auto"/>
                <w:kern w:val="0"/>
                <w:sz w:val="24"/>
                <w:szCs w:val="24"/>
              </w:rPr>
              <w:t>—在T时间内 j声源工作时间，s；</w:t>
            </w:r>
          </w:p>
          <w:p w14:paraId="46E0A21A">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i/>
                <w:iCs/>
                <w:color w:val="auto"/>
                <w:kern w:val="0"/>
                <w:sz w:val="24"/>
                <w:szCs w:val="24"/>
              </w:rPr>
              <w:t>t</w:t>
            </w:r>
            <w:r>
              <w:rPr>
                <w:rFonts w:hint="default" w:ascii="Times New Roman" w:hAnsi="Times New Roman" w:eastAsia="宋体" w:cs="Times New Roman"/>
                <w:i/>
                <w:iCs/>
                <w:color w:val="auto"/>
                <w:kern w:val="0"/>
                <w:sz w:val="24"/>
                <w:szCs w:val="24"/>
                <w:vertAlign w:val="subscript"/>
              </w:rPr>
              <w:t>i</w:t>
            </w:r>
            <w:r>
              <w:rPr>
                <w:rFonts w:hint="default" w:ascii="Times New Roman" w:hAnsi="Times New Roman" w:eastAsia="宋体" w:cs="Times New Roman"/>
                <w:color w:val="auto"/>
                <w:kern w:val="0"/>
                <w:sz w:val="24"/>
                <w:szCs w:val="24"/>
              </w:rPr>
              <w:t>—在T时间内 i声源工作时间，s；</w:t>
            </w:r>
          </w:p>
          <w:p w14:paraId="2C28DD36">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T—用于计算等效声级的时间，s；</w:t>
            </w:r>
          </w:p>
          <w:p w14:paraId="0700F60C">
            <w:pPr>
              <w:keepNext w:val="0"/>
              <w:keepLines w:val="0"/>
              <w:suppressLineNumbers w:val="0"/>
              <w:spacing w:before="0" w:beforeAutospacing="0" w:after="0" w:afterAutospacing="0" w:line="360" w:lineRule="auto"/>
              <w:ind w:left="0" w:right="0" w:firstLine="1200" w:firstLineChars="5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N—室外声源个数；</w:t>
            </w:r>
          </w:p>
          <w:p w14:paraId="3288D32E">
            <w:pPr>
              <w:keepNext w:val="0"/>
              <w:keepLines w:val="0"/>
              <w:suppressLineNumbers w:val="0"/>
              <w:spacing w:before="0" w:beforeAutospacing="0" w:after="0" w:afterAutospacing="0" w:line="360" w:lineRule="auto"/>
              <w:ind w:left="0" w:right="0" w:firstLine="1200" w:firstLineChars="500"/>
              <w:rPr>
                <w:rFonts w:hint="default" w:ascii="Times New Roman" w:hAnsi="Times New Roman" w:cs="Times New Roman"/>
                <w:color w:val="auto"/>
                <w:kern w:val="0"/>
                <w:sz w:val="24"/>
                <w:szCs w:val="24"/>
                <w:lang w:val="en-US" w:eastAsia="zh-CN"/>
              </w:rPr>
            </w:pPr>
            <w:r>
              <w:rPr>
                <w:rFonts w:hint="default" w:ascii="Times New Roman" w:hAnsi="Times New Roman" w:eastAsia="宋体" w:cs="Times New Roman"/>
                <w:color w:val="auto"/>
                <w:kern w:val="0"/>
                <w:sz w:val="24"/>
                <w:szCs w:val="24"/>
              </w:rPr>
              <w:t>M—等效室外声源个数。</w:t>
            </w:r>
          </w:p>
          <w:p w14:paraId="749EB431">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Cs/>
                <w:color w:val="auto"/>
                <w:kern w:val="0"/>
                <w:sz w:val="24"/>
                <w:szCs w:val="24"/>
                <w:u w:val="none"/>
              </w:rPr>
            </w:pPr>
            <w:r>
              <w:rPr>
                <w:rFonts w:hint="default" w:ascii="Times New Roman" w:hAnsi="Times New Roman" w:eastAsia="宋体" w:cs="Times New Roman"/>
                <w:bCs/>
                <w:color w:val="auto"/>
                <w:kern w:val="0"/>
                <w:sz w:val="24"/>
                <w:szCs w:val="24"/>
                <w:u w:val="none"/>
              </w:rPr>
              <w:t>噪声</w:t>
            </w:r>
            <w:r>
              <w:rPr>
                <w:rFonts w:hint="default" w:ascii="Times New Roman" w:hAnsi="Times New Roman" w:cs="Times New Roman"/>
                <w:bCs/>
                <w:color w:val="auto"/>
                <w:kern w:val="0"/>
                <w:sz w:val="24"/>
                <w:szCs w:val="24"/>
                <w:u w:val="none"/>
                <w:lang w:val="en-US" w:eastAsia="zh-CN"/>
              </w:rPr>
              <w:t>预测</w:t>
            </w:r>
            <w:r>
              <w:rPr>
                <w:rFonts w:hint="default" w:ascii="Times New Roman" w:hAnsi="Times New Roman" w:eastAsia="宋体" w:cs="Times New Roman"/>
                <w:bCs/>
                <w:color w:val="auto"/>
                <w:kern w:val="0"/>
                <w:sz w:val="24"/>
                <w:szCs w:val="24"/>
                <w:u w:val="none"/>
              </w:rPr>
              <w:t>结果见</w:t>
            </w:r>
            <w:r>
              <w:rPr>
                <w:rFonts w:hint="default" w:ascii="Times New Roman" w:hAnsi="Times New Roman" w:eastAsia="宋体" w:cs="Times New Roman"/>
                <w:bCs/>
                <w:color w:val="auto"/>
                <w:kern w:val="0"/>
                <w:sz w:val="24"/>
                <w:szCs w:val="24"/>
                <w:u w:val="none"/>
                <w:lang w:val="en-US" w:eastAsia="zh-CN"/>
              </w:rPr>
              <w:t>下表</w:t>
            </w:r>
            <w:r>
              <w:rPr>
                <w:rFonts w:hint="default" w:ascii="Times New Roman" w:hAnsi="Times New Roman" w:eastAsia="宋体" w:cs="Times New Roman"/>
                <w:bCs/>
                <w:color w:val="auto"/>
                <w:kern w:val="0"/>
                <w:sz w:val="24"/>
                <w:szCs w:val="24"/>
                <w:u w:val="none"/>
              </w:rPr>
              <w:t>。</w:t>
            </w:r>
          </w:p>
          <w:p w14:paraId="24BD9496">
            <w:pPr>
              <w:spacing w:line="360" w:lineRule="auto"/>
              <w:jc w:val="center"/>
              <w:rPr>
                <w:rFonts w:hint="default" w:ascii="Times New Roman" w:hAnsi="Times New Roman" w:eastAsia="宋体" w:cs="Times New Roman"/>
                <w:b/>
                <w:bCs/>
                <w:color w:val="auto"/>
                <w:u w:val="none"/>
                <w:lang w:val="en-US" w:eastAsia="zh-CN"/>
              </w:rPr>
            </w:pPr>
            <w:r>
              <w:rPr>
                <w:rFonts w:hint="eastAsia" w:cs="Times New Roman"/>
                <w:b/>
                <w:bCs/>
                <w:color w:val="auto"/>
                <w:u w:val="none"/>
                <w:lang w:val="en-US" w:eastAsia="zh-CN"/>
              </w:rPr>
              <w:t>表4-22 厂界噪声预测结果与达标分析表</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1724"/>
              <w:gridCol w:w="1724"/>
              <w:gridCol w:w="2196"/>
              <w:gridCol w:w="1254"/>
            </w:tblGrid>
            <w:tr w14:paraId="58F66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Align w:val="center"/>
                </w:tcPr>
                <w:p w14:paraId="673AC9D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vertAlign w:val="baseline"/>
                      <w:lang w:val="en-US" w:eastAsia="zh-CN"/>
                    </w:rPr>
                    <w:t>预测方位</w:t>
                  </w:r>
                </w:p>
              </w:tc>
              <w:tc>
                <w:tcPr>
                  <w:tcW w:w="1724" w:type="dxa"/>
                  <w:vAlign w:val="center"/>
                </w:tcPr>
                <w:p w14:paraId="27835E0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vertAlign w:val="baseline"/>
                      <w:lang w:val="en-US" w:eastAsia="zh-CN"/>
                    </w:rPr>
                    <w:t>时段</w:t>
                  </w:r>
                </w:p>
              </w:tc>
              <w:tc>
                <w:tcPr>
                  <w:tcW w:w="1724" w:type="dxa"/>
                  <w:vAlign w:val="center"/>
                </w:tcPr>
                <w:p w14:paraId="10345BC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eastAsia" w:ascii="Times New Roman" w:hAnsi="Times New Roman" w:eastAsia="宋体" w:cs="Times New Roman"/>
                      <w:b/>
                      <w:bCs/>
                      <w:color w:val="auto"/>
                      <w:kern w:val="0"/>
                      <w:sz w:val="21"/>
                      <w:szCs w:val="21"/>
                      <w:highlight w:val="none"/>
                      <w:vertAlign w:val="baseline"/>
                      <w:lang w:val="en-US" w:eastAsia="zh-CN"/>
                    </w:rPr>
                    <w:t>贡献值</w:t>
                  </w:r>
                  <w:r>
                    <w:rPr>
                      <w:rFonts w:hint="default" w:ascii="Times New Roman" w:hAnsi="Times New Roman" w:eastAsia="宋体" w:cs="Times New Roman"/>
                      <w:b/>
                      <w:bCs/>
                      <w:color w:val="auto"/>
                      <w:kern w:val="0"/>
                      <w:sz w:val="21"/>
                      <w:szCs w:val="21"/>
                      <w:highlight w:val="none"/>
                      <w:vertAlign w:val="baseline"/>
                      <w:lang w:val="en-US" w:eastAsia="zh-CN"/>
                    </w:rPr>
                    <w:t>（dB(A)）</w:t>
                  </w:r>
                </w:p>
              </w:tc>
              <w:tc>
                <w:tcPr>
                  <w:tcW w:w="2196" w:type="dxa"/>
                  <w:vAlign w:val="center"/>
                </w:tcPr>
                <w:p w14:paraId="70BC7E7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vertAlign w:val="baseline"/>
                      <w:lang w:val="en-US" w:eastAsia="zh-CN"/>
                    </w:rPr>
                    <w:t>标准限值（dB(A)）</w:t>
                  </w:r>
                </w:p>
              </w:tc>
              <w:tc>
                <w:tcPr>
                  <w:tcW w:w="1254" w:type="dxa"/>
                  <w:vAlign w:val="center"/>
                </w:tcPr>
                <w:p w14:paraId="21A0667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b/>
                      <w:bCs/>
                      <w:color w:val="auto"/>
                      <w:kern w:val="0"/>
                      <w:sz w:val="21"/>
                      <w:szCs w:val="21"/>
                      <w:highlight w:val="none"/>
                      <w:vertAlign w:val="baseline"/>
                      <w:lang w:val="en-US" w:eastAsia="zh-CN"/>
                    </w:rPr>
                  </w:pPr>
                  <w:r>
                    <w:rPr>
                      <w:rFonts w:hint="default" w:ascii="Times New Roman" w:hAnsi="Times New Roman" w:eastAsia="宋体" w:cs="Times New Roman"/>
                      <w:b/>
                      <w:bCs/>
                      <w:color w:val="auto"/>
                      <w:kern w:val="0"/>
                      <w:sz w:val="21"/>
                      <w:szCs w:val="21"/>
                      <w:highlight w:val="none"/>
                      <w:vertAlign w:val="baseline"/>
                      <w:lang w:val="en-US" w:eastAsia="zh-CN"/>
                    </w:rPr>
                    <w:t>达标情况</w:t>
                  </w:r>
                </w:p>
              </w:tc>
            </w:tr>
            <w:tr w14:paraId="5B98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restart"/>
                  <w:vAlign w:val="center"/>
                </w:tcPr>
                <w:p w14:paraId="1B450A3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东侧</w:t>
                  </w:r>
                </w:p>
              </w:tc>
              <w:tc>
                <w:tcPr>
                  <w:tcW w:w="1724" w:type="dxa"/>
                  <w:vAlign w:val="center"/>
                </w:tcPr>
                <w:p w14:paraId="4D02D3B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昼间</w:t>
                  </w:r>
                </w:p>
              </w:tc>
              <w:tc>
                <w:tcPr>
                  <w:tcW w:w="1724" w:type="dxa"/>
                  <w:vAlign w:val="center"/>
                </w:tcPr>
                <w:p w14:paraId="20B3E94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25.1</w:t>
                  </w:r>
                </w:p>
              </w:tc>
              <w:tc>
                <w:tcPr>
                  <w:tcW w:w="2196" w:type="dxa"/>
                  <w:vAlign w:val="center"/>
                </w:tcPr>
                <w:p w14:paraId="59A4903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60</w:t>
                  </w:r>
                </w:p>
              </w:tc>
              <w:tc>
                <w:tcPr>
                  <w:tcW w:w="1254" w:type="dxa"/>
                  <w:vAlign w:val="center"/>
                </w:tcPr>
                <w:p w14:paraId="2CA8E2B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r w14:paraId="04C3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continue"/>
                  <w:vAlign w:val="center"/>
                </w:tcPr>
                <w:p w14:paraId="5E483DF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p>
              </w:tc>
              <w:tc>
                <w:tcPr>
                  <w:tcW w:w="1724" w:type="dxa"/>
                  <w:vAlign w:val="center"/>
                </w:tcPr>
                <w:p w14:paraId="01DF853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夜间</w:t>
                  </w:r>
                </w:p>
              </w:tc>
              <w:tc>
                <w:tcPr>
                  <w:tcW w:w="1724" w:type="dxa"/>
                  <w:vAlign w:val="center"/>
                </w:tcPr>
                <w:p w14:paraId="24CAACA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25.1</w:t>
                  </w:r>
                </w:p>
              </w:tc>
              <w:tc>
                <w:tcPr>
                  <w:tcW w:w="2196" w:type="dxa"/>
                  <w:vAlign w:val="center"/>
                </w:tcPr>
                <w:p w14:paraId="4F8C89A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50</w:t>
                  </w:r>
                </w:p>
              </w:tc>
              <w:tc>
                <w:tcPr>
                  <w:tcW w:w="1254" w:type="dxa"/>
                  <w:vAlign w:val="center"/>
                </w:tcPr>
                <w:p w14:paraId="022CB43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r w14:paraId="5758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restart"/>
                  <w:vAlign w:val="center"/>
                </w:tcPr>
                <w:p w14:paraId="2141C12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南侧</w:t>
                  </w:r>
                </w:p>
              </w:tc>
              <w:tc>
                <w:tcPr>
                  <w:tcW w:w="1724" w:type="dxa"/>
                  <w:vAlign w:val="center"/>
                </w:tcPr>
                <w:p w14:paraId="4855307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昼间</w:t>
                  </w:r>
                </w:p>
              </w:tc>
              <w:tc>
                <w:tcPr>
                  <w:tcW w:w="1724" w:type="dxa"/>
                  <w:vAlign w:val="center"/>
                </w:tcPr>
                <w:p w14:paraId="48906CD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28.8</w:t>
                  </w:r>
                </w:p>
              </w:tc>
              <w:tc>
                <w:tcPr>
                  <w:tcW w:w="2196" w:type="dxa"/>
                  <w:vAlign w:val="center"/>
                </w:tcPr>
                <w:p w14:paraId="63D6C2A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60</w:t>
                  </w:r>
                </w:p>
              </w:tc>
              <w:tc>
                <w:tcPr>
                  <w:tcW w:w="1254" w:type="dxa"/>
                  <w:vAlign w:val="center"/>
                </w:tcPr>
                <w:p w14:paraId="1CA928E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r w14:paraId="29328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continue"/>
                  <w:vAlign w:val="center"/>
                </w:tcPr>
                <w:p w14:paraId="2740EB1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p>
              </w:tc>
              <w:tc>
                <w:tcPr>
                  <w:tcW w:w="1724" w:type="dxa"/>
                  <w:vAlign w:val="center"/>
                </w:tcPr>
                <w:p w14:paraId="2B566E2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夜间</w:t>
                  </w:r>
                </w:p>
              </w:tc>
              <w:tc>
                <w:tcPr>
                  <w:tcW w:w="1724" w:type="dxa"/>
                  <w:vAlign w:val="center"/>
                </w:tcPr>
                <w:p w14:paraId="041739B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28.8</w:t>
                  </w:r>
                </w:p>
              </w:tc>
              <w:tc>
                <w:tcPr>
                  <w:tcW w:w="2196" w:type="dxa"/>
                  <w:vAlign w:val="center"/>
                </w:tcPr>
                <w:p w14:paraId="5B8F990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50</w:t>
                  </w:r>
                </w:p>
              </w:tc>
              <w:tc>
                <w:tcPr>
                  <w:tcW w:w="1254" w:type="dxa"/>
                  <w:vAlign w:val="center"/>
                </w:tcPr>
                <w:p w14:paraId="2383A78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r w14:paraId="4555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restart"/>
                  <w:vAlign w:val="center"/>
                </w:tcPr>
                <w:p w14:paraId="4D8554E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西侧</w:t>
                  </w:r>
                </w:p>
              </w:tc>
              <w:tc>
                <w:tcPr>
                  <w:tcW w:w="1724" w:type="dxa"/>
                  <w:vAlign w:val="center"/>
                </w:tcPr>
                <w:p w14:paraId="5B77912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昼间</w:t>
                  </w:r>
                </w:p>
              </w:tc>
              <w:tc>
                <w:tcPr>
                  <w:tcW w:w="1724" w:type="dxa"/>
                  <w:vAlign w:val="center"/>
                </w:tcPr>
                <w:p w14:paraId="48C0BE4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29.1</w:t>
                  </w:r>
                </w:p>
              </w:tc>
              <w:tc>
                <w:tcPr>
                  <w:tcW w:w="2196" w:type="dxa"/>
                  <w:vAlign w:val="center"/>
                </w:tcPr>
                <w:p w14:paraId="0024E7B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60</w:t>
                  </w:r>
                </w:p>
              </w:tc>
              <w:tc>
                <w:tcPr>
                  <w:tcW w:w="1254" w:type="dxa"/>
                  <w:vAlign w:val="center"/>
                </w:tcPr>
                <w:p w14:paraId="6FAA4E9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r w14:paraId="510A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continue"/>
                  <w:vAlign w:val="center"/>
                </w:tcPr>
                <w:p w14:paraId="38BE87D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p>
              </w:tc>
              <w:tc>
                <w:tcPr>
                  <w:tcW w:w="1724" w:type="dxa"/>
                  <w:vAlign w:val="center"/>
                </w:tcPr>
                <w:p w14:paraId="1AB8567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夜间</w:t>
                  </w:r>
                </w:p>
              </w:tc>
              <w:tc>
                <w:tcPr>
                  <w:tcW w:w="1724" w:type="dxa"/>
                  <w:vAlign w:val="center"/>
                </w:tcPr>
                <w:p w14:paraId="1823804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29.1</w:t>
                  </w:r>
                </w:p>
              </w:tc>
              <w:tc>
                <w:tcPr>
                  <w:tcW w:w="2196" w:type="dxa"/>
                  <w:vAlign w:val="center"/>
                </w:tcPr>
                <w:p w14:paraId="52F03AE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50</w:t>
                  </w:r>
                </w:p>
              </w:tc>
              <w:tc>
                <w:tcPr>
                  <w:tcW w:w="1254" w:type="dxa"/>
                  <w:vAlign w:val="center"/>
                </w:tcPr>
                <w:p w14:paraId="50B531B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r w14:paraId="057C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restart"/>
                  <w:vAlign w:val="center"/>
                </w:tcPr>
                <w:p w14:paraId="40A83A0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北侧</w:t>
                  </w:r>
                </w:p>
              </w:tc>
              <w:tc>
                <w:tcPr>
                  <w:tcW w:w="1724" w:type="dxa"/>
                  <w:vAlign w:val="center"/>
                </w:tcPr>
                <w:p w14:paraId="39F5DA1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昼间</w:t>
                  </w:r>
                </w:p>
              </w:tc>
              <w:tc>
                <w:tcPr>
                  <w:tcW w:w="1724" w:type="dxa"/>
                  <w:vAlign w:val="center"/>
                </w:tcPr>
                <w:p w14:paraId="4847A64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39.3</w:t>
                  </w:r>
                </w:p>
              </w:tc>
              <w:tc>
                <w:tcPr>
                  <w:tcW w:w="2196" w:type="dxa"/>
                  <w:vAlign w:val="center"/>
                </w:tcPr>
                <w:p w14:paraId="030FDC2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60</w:t>
                  </w:r>
                </w:p>
              </w:tc>
              <w:tc>
                <w:tcPr>
                  <w:tcW w:w="1254" w:type="dxa"/>
                  <w:vAlign w:val="center"/>
                </w:tcPr>
                <w:p w14:paraId="29DD92D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r w14:paraId="6AD9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4" w:type="dxa"/>
                  <w:vMerge w:val="continue"/>
                  <w:vAlign w:val="center"/>
                </w:tcPr>
                <w:p w14:paraId="0302E69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p>
              </w:tc>
              <w:tc>
                <w:tcPr>
                  <w:tcW w:w="1724" w:type="dxa"/>
                  <w:vAlign w:val="center"/>
                </w:tcPr>
                <w:p w14:paraId="6D30FB3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夜间</w:t>
                  </w:r>
                </w:p>
              </w:tc>
              <w:tc>
                <w:tcPr>
                  <w:tcW w:w="1724" w:type="dxa"/>
                  <w:vAlign w:val="center"/>
                </w:tcPr>
                <w:p w14:paraId="193C1A9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39.3</w:t>
                  </w:r>
                </w:p>
              </w:tc>
              <w:tc>
                <w:tcPr>
                  <w:tcW w:w="2196" w:type="dxa"/>
                  <w:vAlign w:val="center"/>
                </w:tcPr>
                <w:p w14:paraId="1F1ACD5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50</w:t>
                  </w:r>
                </w:p>
              </w:tc>
              <w:tc>
                <w:tcPr>
                  <w:tcW w:w="1254" w:type="dxa"/>
                  <w:vAlign w:val="center"/>
                </w:tcPr>
                <w:p w14:paraId="7D8A326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vertAlign w:val="baseline"/>
                      <w:lang w:val="en-US" w:eastAsia="zh-CN"/>
                    </w:rPr>
                    <w:t>达标</w:t>
                  </w:r>
                </w:p>
              </w:tc>
            </w:tr>
          </w:tbl>
          <w:p w14:paraId="4C86E6A5">
            <w:pPr>
              <w:spacing w:line="360" w:lineRule="auto"/>
              <w:jc w:val="center"/>
              <w:rPr>
                <w:rFonts w:hint="default" w:ascii="Times New Roman" w:hAnsi="Times New Roman" w:eastAsia="宋体" w:cs="Times New Roman"/>
                <w:color w:val="auto"/>
                <w:u w:val="single"/>
              </w:rPr>
            </w:pPr>
            <w:r>
              <w:rPr>
                <w:rFonts w:hint="default" w:ascii="Times New Roman" w:hAnsi="Times New Roman" w:eastAsia="宋体" w:cs="Times New Roman"/>
                <w:b/>
                <w:bCs/>
                <w:color w:val="auto"/>
                <w:u w:val="none"/>
              </w:rPr>
              <w:t>表</w:t>
            </w:r>
            <w:r>
              <w:rPr>
                <w:rFonts w:hint="default" w:ascii="Times New Roman" w:hAnsi="Times New Roman" w:eastAsia="宋体" w:cs="Times New Roman"/>
                <w:b/>
                <w:bCs/>
                <w:color w:val="auto"/>
                <w:u w:val="none"/>
                <w:lang w:val="en-US" w:eastAsia="zh-CN"/>
              </w:rPr>
              <w:t>4-</w:t>
            </w:r>
            <w:r>
              <w:rPr>
                <w:rFonts w:hint="eastAsia" w:cs="Times New Roman"/>
                <w:b/>
                <w:bCs/>
                <w:color w:val="auto"/>
                <w:u w:val="none"/>
                <w:lang w:val="en-US" w:eastAsia="zh-CN"/>
              </w:rPr>
              <w:t>23</w:t>
            </w:r>
            <w:r>
              <w:rPr>
                <w:rFonts w:hint="default" w:ascii="Times New Roman" w:hAnsi="Times New Roman" w:cs="Times New Roman"/>
                <w:b/>
                <w:bCs/>
                <w:color w:val="auto"/>
                <w:u w:val="none"/>
                <w:lang w:val="en-US" w:eastAsia="zh-CN"/>
              </w:rPr>
              <w:t xml:space="preserve"> </w:t>
            </w:r>
            <w:r>
              <w:rPr>
                <w:rFonts w:hint="default" w:ascii="Times New Roman" w:hAnsi="Times New Roman" w:eastAsia="宋体" w:cs="Times New Roman"/>
                <w:b/>
                <w:bCs/>
                <w:color w:val="auto"/>
                <w:u w:val="none"/>
              </w:rPr>
              <w:t>工业企业声环境保护目标噪声预测结果与达标分析表</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56"/>
              <w:gridCol w:w="694"/>
              <w:gridCol w:w="694"/>
              <w:gridCol w:w="694"/>
              <w:gridCol w:w="694"/>
              <w:gridCol w:w="694"/>
              <w:gridCol w:w="694"/>
              <w:gridCol w:w="694"/>
              <w:gridCol w:w="694"/>
              <w:gridCol w:w="694"/>
              <w:gridCol w:w="701"/>
            </w:tblGrid>
            <w:tr w14:paraId="72D8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Merge w:val="restart"/>
                  <w:vAlign w:val="center"/>
                </w:tcPr>
                <w:p w14:paraId="59518B2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b/>
                      <w:color w:val="auto"/>
                      <w:sz w:val="21"/>
                      <w:szCs w:val="21"/>
                    </w:rPr>
                    <w:t>序号</w:t>
                  </w:r>
                </w:p>
              </w:tc>
              <w:tc>
                <w:tcPr>
                  <w:tcW w:w="1256" w:type="dxa"/>
                  <w:vMerge w:val="restart"/>
                  <w:vAlign w:val="center"/>
                </w:tcPr>
                <w:p w14:paraId="370A31D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b/>
                      <w:color w:val="auto"/>
                      <w:sz w:val="21"/>
                      <w:szCs w:val="21"/>
                    </w:rPr>
                    <w:t>声环境保护目标名称</w:t>
                  </w:r>
                </w:p>
              </w:tc>
              <w:tc>
                <w:tcPr>
                  <w:tcW w:w="1388" w:type="dxa"/>
                  <w:gridSpan w:val="2"/>
                  <w:vAlign w:val="center"/>
                </w:tcPr>
                <w:p w14:paraId="5A4D15B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b/>
                      <w:color w:val="auto"/>
                      <w:sz w:val="21"/>
                      <w:szCs w:val="21"/>
                    </w:rPr>
                    <w:t>噪声现状值/dB(A)</w:t>
                  </w:r>
                </w:p>
              </w:tc>
              <w:tc>
                <w:tcPr>
                  <w:tcW w:w="1388" w:type="dxa"/>
                  <w:gridSpan w:val="2"/>
                  <w:vAlign w:val="center"/>
                </w:tcPr>
                <w:p w14:paraId="4973149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b/>
                      <w:color w:val="auto"/>
                      <w:sz w:val="21"/>
                      <w:szCs w:val="21"/>
                    </w:rPr>
                    <w:t>噪声标准/dB(A)</w:t>
                  </w:r>
                </w:p>
              </w:tc>
              <w:tc>
                <w:tcPr>
                  <w:tcW w:w="1388" w:type="dxa"/>
                  <w:gridSpan w:val="2"/>
                  <w:vAlign w:val="center"/>
                </w:tcPr>
                <w:p w14:paraId="7EB54DA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b/>
                      <w:color w:val="auto"/>
                      <w:sz w:val="21"/>
                      <w:szCs w:val="21"/>
                    </w:rPr>
                    <w:t>噪声贡献值/dB(A)</w:t>
                  </w:r>
                </w:p>
              </w:tc>
              <w:tc>
                <w:tcPr>
                  <w:tcW w:w="1388" w:type="dxa"/>
                  <w:gridSpan w:val="2"/>
                  <w:vAlign w:val="center"/>
                </w:tcPr>
                <w:p w14:paraId="0FFA8D4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b/>
                      <w:color w:val="auto"/>
                      <w:sz w:val="21"/>
                      <w:szCs w:val="21"/>
                    </w:rPr>
                    <w:t>噪声预测值/dB(A)</w:t>
                  </w:r>
                </w:p>
              </w:tc>
              <w:tc>
                <w:tcPr>
                  <w:tcW w:w="1395" w:type="dxa"/>
                  <w:gridSpan w:val="2"/>
                  <w:vAlign w:val="center"/>
                </w:tcPr>
                <w:p w14:paraId="5A254CA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r>
                    <w:rPr>
                      <w:rFonts w:hint="default" w:ascii="Times New Roman" w:hAnsi="Times New Roman" w:eastAsia="宋体" w:cs="Times New Roman"/>
                      <w:b/>
                      <w:color w:val="auto"/>
                      <w:sz w:val="21"/>
                      <w:szCs w:val="21"/>
                    </w:rPr>
                    <w:t>超标和达标情况</w:t>
                  </w:r>
                </w:p>
              </w:tc>
            </w:tr>
            <w:tr w14:paraId="76F84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9" w:type="dxa"/>
                  <w:vMerge w:val="continue"/>
                  <w:vAlign w:val="center"/>
                </w:tcPr>
                <w:p w14:paraId="4BBDCDA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p>
              </w:tc>
              <w:tc>
                <w:tcPr>
                  <w:tcW w:w="1256" w:type="dxa"/>
                  <w:vMerge w:val="continue"/>
                  <w:vAlign w:val="center"/>
                </w:tcPr>
                <w:p w14:paraId="35F9AE1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rPr>
                  </w:pPr>
                </w:p>
              </w:tc>
              <w:tc>
                <w:tcPr>
                  <w:tcW w:w="694" w:type="dxa"/>
                  <w:vAlign w:val="center"/>
                </w:tcPr>
                <w:p w14:paraId="13E8E84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昼间</w:t>
                  </w:r>
                </w:p>
              </w:tc>
              <w:tc>
                <w:tcPr>
                  <w:tcW w:w="694" w:type="dxa"/>
                  <w:vAlign w:val="center"/>
                </w:tcPr>
                <w:p w14:paraId="682A90A4">
                  <w:pPr>
                    <w:keepNext w:val="0"/>
                    <w:keepLines w:val="0"/>
                    <w:pageBreakBefore w:val="0"/>
                    <w:widowControl w:val="0"/>
                    <w:kinsoku/>
                    <w:wordWrap/>
                    <w:overflowPunct/>
                    <w:topLinePunct w:val="0"/>
                    <w:autoSpaceDE/>
                    <w:autoSpaceDN/>
                    <w:bidi w:val="0"/>
                    <w:adjustRightInd/>
                    <w:snapToGrid/>
                    <w:spacing w:before="60" w:after="60"/>
                    <w:jc w:val="both"/>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夜间</w:t>
                  </w:r>
                </w:p>
              </w:tc>
              <w:tc>
                <w:tcPr>
                  <w:tcW w:w="694" w:type="dxa"/>
                  <w:vAlign w:val="center"/>
                </w:tcPr>
                <w:p w14:paraId="3620669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昼间</w:t>
                  </w:r>
                </w:p>
              </w:tc>
              <w:tc>
                <w:tcPr>
                  <w:tcW w:w="694" w:type="dxa"/>
                  <w:vAlign w:val="center"/>
                </w:tcPr>
                <w:p w14:paraId="4B99CF5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夜间</w:t>
                  </w:r>
                </w:p>
              </w:tc>
              <w:tc>
                <w:tcPr>
                  <w:tcW w:w="694" w:type="dxa"/>
                  <w:vAlign w:val="center"/>
                </w:tcPr>
                <w:p w14:paraId="69D460D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昼间</w:t>
                  </w:r>
                </w:p>
              </w:tc>
              <w:tc>
                <w:tcPr>
                  <w:tcW w:w="694" w:type="dxa"/>
                  <w:vAlign w:val="center"/>
                </w:tcPr>
                <w:p w14:paraId="21A761B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夜间</w:t>
                  </w:r>
                </w:p>
              </w:tc>
              <w:tc>
                <w:tcPr>
                  <w:tcW w:w="694" w:type="dxa"/>
                  <w:vAlign w:val="center"/>
                </w:tcPr>
                <w:p w14:paraId="42DAF4B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昼间</w:t>
                  </w:r>
                </w:p>
              </w:tc>
              <w:tc>
                <w:tcPr>
                  <w:tcW w:w="694" w:type="dxa"/>
                  <w:vAlign w:val="center"/>
                </w:tcPr>
                <w:p w14:paraId="25BC471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夜间</w:t>
                  </w:r>
                </w:p>
              </w:tc>
              <w:tc>
                <w:tcPr>
                  <w:tcW w:w="694" w:type="dxa"/>
                  <w:vAlign w:val="center"/>
                </w:tcPr>
                <w:p w14:paraId="27E8D80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昼间</w:t>
                  </w:r>
                </w:p>
              </w:tc>
              <w:tc>
                <w:tcPr>
                  <w:tcW w:w="701" w:type="dxa"/>
                  <w:vAlign w:val="center"/>
                </w:tcPr>
                <w:p w14:paraId="51D1E05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夜间</w:t>
                  </w:r>
                </w:p>
              </w:tc>
            </w:tr>
            <w:tr w14:paraId="5DBA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5B746C3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p>
              </w:tc>
              <w:tc>
                <w:tcPr>
                  <w:tcW w:w="1256" w:type="dxa"/>
                  <w:vAlign w:val="center"/>
                </w:tcPr>
                <w:p w14:paraId="26AF9DC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N1华盛国际</w:t>
                  </w:r>
                  <w:r>
                    <w:rPr>
                      <w:rFonts w:hint="eastAsia" w:ascii="Times New Roman" w:hAnsi="Times New Roman" w:cs="Times New Roman"/>
                      <w:color w:val="auto"/>
                      <w:sz w:val="21"/>
                      <w:szCs w:val="21"/>
                      <w:highlight w:val="none"/>
                      <w:lang w:val="en-US" w:eastAsia="zh-CN"/>
                    </w:rPr>
                    <w:t>1层</w:t>
                  </w:r>
                </w:p>
              </w:tc>
              <w:tc>
                <w:tcPr>
                  <w:tcW w:w="694" w:type="dxa"/>
                  <w:vAlign w:val="center"/>
                </w:tcPr>
                <w:p w14:paraId="1F0BC30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55.6</w:t>
                  </w:r>
                </w:p>
              </w:tc>
              <w:tc>
                <w:tcPr>
                  <w:tcW w:w="694" w:type="dxa"/>
                  <w:vAlign w:val="center"/>
                </w:tcPr>
                <w:p w14:paraId="3A7D368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48.4</w:t>
                  </w:r>
                </w:p>
              </w:tc>
              <w:tc>
                <w:tcPr>
                  <w:tcW w:w="694" w:type="dxa"/>
                  <w:vAlign w:val="center"/>
                </w:tcPr>
                <w:p w14:paraId="3188659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694" w:type="dxa"/>
                  <w:vAlign w:val="center"/>
                </w:tcPr>
                <w:p w14:paraId="1E67695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694" w:type="dxa"/>
                  <w:vAlign w:val="center"/>
                </w:tcPr>
                <w:p w14:paraId="33B0F7F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10.1</w:t>
                  </w:r>
                </w:p>
              </w:tc>
              <w:tc>
                <w:tcPr>
                  <w:tcW w:w="694" w:type="dxa"/>
                  <w:vAlign w:val="center"/>
                </w:tcPr>
                <w:p w14:paraId="5E539EA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10.1</w:t>
                  </w:r>
                </w:p>
              </w:tc>
              <w:tc>
                <w:tcPr>
                  <w:tcW w:w="694" w:type="dxa"/>
                  <w:vAlign w:val="center"/>
                </w:tcPr>
                <w:p w14:paraId="0B68F8D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55.6</w:t>
                  </w:r>
                </w:p>
              </w:tc>
              <w:tc>
                <w:tcPr>
                  <w:tcW w:w="694" w:type="dxa"/>
                  <w:vAlign w:val="center"/>
                </w:tcPr>
                <w:p w14:paraId="04ED1F6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48.4</w:t>
                  </w:r>
                </w:p>
              </w:tc>
              <w:tc>
                <w:tcPr>
                  <w:tcW w:w="694" w:type="dxa"/>
                  <w:vAlign w:val="center"/>
                </w:tcPr>
                <w:p w14:paraId="2A8E032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701" w:type="dxa"/>
                  <w:vAlign w:val="center"/>
                </w:tcPr>
                <w:p w14:paraId="0B7465C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506C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326DC1C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2</w:t>
                  </w:r>
                </w:p>
              </w:tc>
              <w:tc>
                <w:tcPr>
                  <w:tcW w:w="1256" w:type="dxa"/>
                  <w:vAlign w:val="center"/>
                </w:tcPr>
                <w:p w14:paraId="26F8043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华盛国际</w:t>
                  </w:r>
                  <w:r>
                    <w:rPr>
                      <w:rFonts w:hint="eastAsia" w:ascii="Times New Roman" w:hAnsi="Times New Roman" w:cs="Times New Roman"/>
                      <w:color w:val="auto"/>
                      <w:sz w:val="21"/>
                      <w:szCs w:val="21"/>
                      <w:highlight w:val="none"/>
                      <w:lang w:val="en-US" w:eastAsia="zh-CN"/>
                    </w:rPr>
                    <w:t>3层</w:t>
                  </w:r>
                </w:p>
              </w:tc>
              <w:tc>
                <w:tcPr>
                  <w:tcW w:w="694" w:type="dxa"/>
                  <w:vAlign w:val="center"/>
                </w:tcPr>
                <w:p w14:paraId="46FAA92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51.3</w:t>
                  </w:r>
                </w:p>
              </w:tc>
              <w:tc>
                <w:tcPr>
                  <w:tcW w:w="694" w:type="dxa"/>
                  <w:vAlign w:val="center"/>
                </w:tcPr>
                <w:p w14:paraId="55AC736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48.5</w:t>
                  </w:r>
                </w:p>
              </w:tc>
              <w:tc>
                <w:tcPr>
                  <w:tcW w:w="694" w:type="dxa"/>
                  <w:vAlign w:val="center"/>
                </w:tcPr>
                <w:p w14:paraId="3167A56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694" w:type="dxa"/>
                  <w:vAlign w:val="center"/>
                </w:tcPr>
                <w:p w14:paraId="50DB970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694" w:type="dxa"/>
                  <w:vAlign w:val="center"/>
                </w:tcPr>
                <w:p w14:paraId="5768344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10.3</w:t>
                  </w:r>
                </w:p>
              </w:tc>
              <w:tc>
                <w:tcPr>
                  <w:tcW w:w="694" w:type="dxa"/>
                  <w:vAlign w:val="center"/>
                </w:tcPr>
                <w:p w14:paraId="0D0818B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10.3</w:t>
                  </w:r>
                </w:p>
              </w:tc>
              <w:tc>
                <w:tcPr>
                  <w:tcW w:w="694" w:type="dxa"/>
                  <w:vAlign w:val="center"/>
                </w:tcPr>
                <w:p w14:paraId="5476DD6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51.3</w:t>
                  </w:r>
                </w:p>
              </w:tc>
              <w:tc>
                <w:tcPr>
                  <w:tcW w:w="694" w:type="dxa"/>
                  <w:vAlign w:val="center"/>
                </w:tcPr>
                <w:p w14:paraId="1B775D3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48.5</w:t>
                  </w:r>
                </w:p>
              </w:tc>
              <w:tc>
                <w:tcPr>
                  <w:tcW w:w="694" w:type="dxa"/>
                  <w:vAlign w:val="center"/>
                </w:tcPr>
                <w:p w14:paraId="557F7A6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701" w:type="dxa"/>
                  <w:vAlign w:val="center"/>
                </w:tcPr>
                <w:p w14:paraId="7311A0D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1FB2A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31055D2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3</w:t>
                  </w:r>
                </w:p>
              </w:tc>
              <w:tc>
                <w:tcPr>
                  <w:tcW w:w="1256" w:type="dxa"/>
                  <w:vAlign w:val="center"/>
                </w:tcPr>
                <w:p w14:paraId="209D4BE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华盛国际</w:t>
                  </w:r>
                  <w:r>
                    <w:rPr>
                      <w:rFonts w:hint="eastAsia" w:ascii="Times New Roman" w:hAnsi="Times New Roman" w:cs="Times New Roman"/>
                      <w:color w:val="auto"/>
                      <w:sz w:val="21"/>
                      <w:szCs w:val="21"/>
                      <w:highlight w:val="none"/>
                      <w:lang w:val="en-US" w:eastAsia="zh-CN"/>
                    </w:rPr>
                    <w:t>5层</w:t>
                  </w:r>
                </w:p>
              </w:tc>
              <w:tc>
                <w:tcPr>
                  <w:tcW w:w="694" w:type="dxa"/>
                  <w:vAlign w:val="center"/>
                </w:tcPr>
                <w:p w14:paraId="1EF5AC7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48.8</w:t>
                  </w:r>
                </w:p>
              </w:tc>
              <w:tc>
                <w:tcPr>
                  <w:tcW w:w="694" w:type="dxa"/>
                  <w:vAlign w:val="center"/>
                </w:tcPr>
                <w:p w14:paraId="6CA5732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48.2</w:t>
                  </w:r>
                </w:p>
              </w:tc>
              <w:tc>
                <w:tcPr>
                  <w:tcW w:w="694" w:type="dxa"/>
                  <w:vAlign w:val="center"/>
                </w:tcPr>
                <w:p w14:paraId="5CB331D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694" w:type="dxa"/>
                  <w:vAlign w:val="center"/>
                </w:tcPr>
                <w:p w14:paraId="33B1200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694" w:type="dxa"/>
                  <w:vAlign w:val="center"/>
                </w:tcPr>
                <w:p w14:paraId="0AFB713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10.5</w:t>
                  </w:r>
                </w:p>
              </w:tc>
              <w:tc>
                <w:tcPr>
                  <w:tcW w:w="694" w:type="dxa"/>
                  <w:vAlign w:val="center"/>
                </w:tcPr>
                <w:p w14:paraId="72BFC59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10.5</w:t>
                  </w:r>
                </w:p>
              </w:tc>
              <w:tc>
                <w:tcPr>
                  <w:tcW w:w="694" w:type="dxa"/>
                  <w:vAlign w:val="center"/>
                </w:tcPr>
                <w:p w14:paraId="545EC97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48.8</w:t>
                  </w:r>
                </w:p>
              </w:tc>
              <w:tc>
                <w:tcPr>
                  <w:tcW w:w="694" w:type="dxa"/>
                  <w:vAlign w:val="center"/>
                </w:tcPr>
                <w:p w14:paraId="41FAE78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48.2</w:t>
                  </w:r>
                </w:p>
              </w:tc>
              <w:tc>
                <w:tcPr>
                  <w:tcW w:w="694" w:type="dxa"/>
                  <w:vAlign w:val="center"/>
                </w:tcPr>
                <w:p w14:paraId="3F701CC1">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701" w:type="dxa"/>
                  <w:vAlign w:val="center"/>
                </w:tcPr>
                <w:p w14:paraId="3749438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58078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27F07D0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4</w:t>
                  </w:r>
                </w:p>
              </w:tc>
              <w:tc>
                <w:tcPr>
                  <w:tcW w:w="1256" w:type="dxa"/>
                  <w:vAlign w:val="center"/>
                </w:tcPr>
                <w:p w14:paraId="7869920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华盛国际</w:t>
                  </w:r>
                  <w:r>
                    <w:rPr>
                      <w:rFonts w:hint="eastAsia" w:ascii="Times New Roman" w:hAnsi="Times New Roman" w:cs="Times New Roman"/>
                      <w:color w:val="auto"/>
                      <w:sz w:val="21"/>
                      <w:szCs w:val="21"/>
                      <w:highlight w:val="none"/>
                      <w:lang w:val="en-US" w:eastAsia="zh-CN"/>
                    </w:rPr>
                    <w:t>7层</w:t>
                  </w:r>
                </w:p>
              </w:tc>
              <w:tc>
                <w:tcPr>
                  <w:tcW w:w="694" w:type="dxa"/>
                  <w:vAlign w:val="center"/>
                </w:tcPr>
                <w:p w14:paraId="70BA2B4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49.8</w:t>
                  </w:r>
                </w:p>
              </w:tc>
              <w:tc>
                <w:tcPr>
                  <w:tcW w:w="694" w:type="dxa"/>
                  <w:vAlign w:val="center"/>
                </w:tcPr>
                <w:p w14:paraId="23175BA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48.1</w:t>
                  </w:r>
                </w:p>
              </w:tc>
              <w:tc>
                <w:tcPr>
                  <w:tcW w:w="694" w:type="dxa"/>
                  <w:vAlign w:val="center"/>
                </w:tcPr>
                <w:p w14:paraId="2A301A6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694" w:type="dxa"/>
                  <w:vAlign w:val="center"/>
                </w:tcPr>
                <w:p w14:paraId="7B9C70A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694" w:type="dxa"/>
                  <w:vAlign w:val="center"/>
                </w:tcPr>
                <w:p w14:paraId="4DE9660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10.5</w:t>
                  </w:r>
                </w:p>
              </w:tc>
              <w:tc>
                <w:tcPr>
                  <w:tcW w:w="694" w:type="dxa"/>
                  <w:vAlign w:val="center"/>
                </w:tcPr>
                <w:p w14:paraId="482ED3D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10.5</w:t>
                  </w:r>
                </w:p>
              </w:tc>
              <w:tc>
                <w:tcPr>
                  <w:tcW w:w="694" w:type="dxa"/>
                  <w:vAlign w:val="center"/>
                </w:tcPr>
                <w:p w14:paraId="55FA753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49.8</w:t>
                  </w:r>
                </w:p>
              </w:tc>
              <w:tc>
                <w:tcPr>
                  <w:tcW w:w="694" w:type="dxa"/>
                  <w:vAlign w:val="center"/>
                </w:tcPr>
                <w:p w14:paraId="5036627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48.1</w:t>
                  </w:r>
                </w:p>
              </w:tc>
              <w:tc>
                <w:tcPr>
                  <w:tcW w:w="694" w:type="dxa"/>
                  <w:vAlign w:val="center"/>
                </w:tcPr>
                <w:p w14:paraId="20FF769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701" w:type="dxa"/>
                  <w:vAlign w:val="center"/>
                </w:tcPr>
                <w:p w14:paraId="286D914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5387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1BDD98B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5</w:t>
                  </w:r>
                </w:p>
              </w:tc>
              <w:tc>
                <w:tcPr>
                  <w:tcW w:w="1256" w:type="dxa"/>
                  <w:vAlign w:val="center"/>
                </w:tcPr>
                <w:p w14:paraId="4ABDDF1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华盛国际</w:t>
                  </w:r>
                  <w:r>
                    <w:rPr>
                      <w:rFonts w:hint="eastAsia" w:ascii="Times New Roman" w:hAnsi="Times New Roman" w:cs="Times New Roman"/>
                      <w:color w:val="auto"/>
                      <w:sz w:val="21"/>
                      <w:szCs w:val="21"/>
                      <w:highlight w:val="none"/>
                      <w:lang w:val="en-US" w:eastAsia="zh-CN"/>
                    </w:rPr>
                    <w:t>12层</w:t>
                  </w:r>
                </w:p>
              </w:tc>
              <w:tc>
                <w:tcPr>
                  <w:tcW w:w="694" w:type="dxa"/>
                  <w:vAlign w:val="center"/>
                </w:tcPr>
                <w:p w14:paraId="13E7680B">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48.9</w:t>
                  </w:r>
                </w:p>
              </w:tc>
              <w:tc>
                <w:tcPr>
                  <w:tcW w:w="694" w:type="dxa"/>
                  <w:vAlign w:val="center"/>
                </w:tcPr>
                <w:p w14:paraId="6544ECB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48.8</w:t>
                  </w:r>
                </w:p>
              </w:tc>
              <w:tc>
                <w:tcPr>
                  <w:tcW w:w="694" w:type="dxa"/>
                  <w:vAlign w:val="center"/>
                </w:tcPr>
                <w:p w14:paraId="1515952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694" w:type="dxa"/>
                  <w:vAlign w:val="center"/>
                </w:tcPr>
                <w:p w14:paraId="2A5FDFD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694" w:type="dxa"/>
                  <w:vAlign w:val="center"/>
                </w:tcPr>
                <w:p w14:paraId="664146D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694" w:type="dxa"/>
                  <w:vAlign w:val="center"/>
                </w:tcPr>
                <w:p w14:paraId="740AE0E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10.0</w:t>
                  </w:r>
                </w:p>
              </w:tc>
              <w:tc>
                <w:tcPr>
                  <w:tcW w:w="694" w:type="dxa"/>
                  <w:vAlign w:val="center"/>
                </w:tcPr>
                <w:p w14:paraId="7588101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48.9</w:t>
                  </w:r>
                </w:p>
              </w:tc>
              <w:tc>
                <w:tcPr>
                  <w:tcW w:w="694" w:type="dxa"/>
                  <w:vAlign w:val="center"/>
                </w:tcPr>
                <w:p w14:paraId="3178874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48.8</w:t>
                  </w:r>
                </w:p>
              </w:tc>
              <w:tc>
                <w:tcPr>
                  <w:tcW w:w="694" w:type="dxa"/>
                  <w:vAlign w:val="center"/>
                </w:tcPr>
                <w:p w14:paraId="70331EB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701" w:type="dxa"/>
                  <w:vAlign w:val="center"/>
                </w:tcPr>
                <w:p w14:paraId="5280A23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74DE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6D41354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6</w:t>
                  </w:r>
                </w:p>
              </w:tc>
              <w:tc>
                <w:tcPr>
                  <w:tcW w:w="1256" w:type="dxa"/>
                  <w:vAlign w:val="center"/>
                </w:tcPr>
                <w:p w14:paraId="4FC89AC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华盛国际</w:t>
                  </w:r>
                  <w:r>
                    <w:rPr>
                      <w:rFonts w:hint="eastAsia" w:ascii="Times New Roman" w:hAnsi="Times New Roman" w:cs="Times New Roman"/>
                      <w:color w:val="auto"/>
                      <w:sz w:val="21"/>
                      <w:szCs w:val="21"/>
                      <w:highlight w:val="none"/>
                      <w:lang w:val="en-US" w:eastAsia="zh-CN"/>
                    </w:rPr>
                    <w:t>20层</w:t>
                  </w:r>
                </w:p>
              </w:tc>
              <w:tc>
                <w:tcPr>
                  <w:tcW w:w="694" w:type="dxa"/>
                  <w:vAlign w:val="center"/>
                </w:tcPr>
                <w:p w14:paraId="4A6D971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48.5</w:t>
                  </w:r>
                </w:p>
              </w:tc>
              <w:tc>
                <w:tcPr>
                  <w:tcW w:w="694" w:type="dxa"/>
                  <w:vAlign w:val="center"/>
                </w:tcPr>
                <w:p w14:paraId="712A0E6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48.5</w:t>
                  </w:r>
                </w:p>
              </w:tc>
              <w:tc>
                <w:tcPr>
                  <w:tcW w:w="694" w:type="dxa"/>
                  <w:vAlign w:val="center"/>
                </w:tcPr>
                <w:p w14:paraId="1435787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60</w:t>
                  </w:r>
                </w:p>
              </w:tc>
              <w:tc>
                <w:tcPr>
                  <w:tcW w:w="694" w:type="dxa"/>
                  <w:vAlign w:val="center"/>
                </w:tcPr>
                <w:p w14:paraId="6DF86D2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50</w:t>
                  </w:r>
                </w:p>
              </w:tc>
              <w:tc>
                <w:tcPr>
                  <w:tcW w:w="694" w:type="dxa"/>
                  <w:vAlign w:val="center"/>
                </w:tcPr>
                <w:p w14:paraId="5280FDB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8.9</w:t>
                  </w:r>
                </w:p>
              </w:tc>
              <w:tc>
                <w:tcPr>
                  <w:tcW w:w="694" w:type="dxa"/>
                  <w:vAlign w:val="center"/>
                </w:tcPr>
                <w:p w14:paraId="4E3580E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8.9</w:t>
                  </w:r>
                </w:p>
              </w:tc>
              <w:tc>
                <w:tcPr>
                  <w:tcW w:w="694" w:type="dxa"/>
                  <w:vAlign w:val="center"/>
                </w:tcPr>
                <w:p w14:paraId="0A880BA3">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48.5</w:t>
                  </w:r>
                </w:p>
              </w:tc>
              <w:tc>
                <w:tcPr>
                  <w:tcW w:w="694" w:type="dxa"/>
                  <w:vAlign w:val="center"/>
                </w:tcPr>
                <w:p w14:paraId="2FB6BDE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48.5</w:t>
                  </w:r>
                </w:p>
              </w:tc>
              <w:tc>
                <w:tcPr>
                  <w:tcW w:w="694" w:type="dxa"/>
                  <w:vAlign w:val="center"/>
                </w:tcPr>
                <w:p w14:paraId="0DC6D96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701" w:type="dxa"/>
                  <w:vAlign w:val="center"/>
                </w:tcPr>
                <w:p w14:paraId="51B4DFA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4549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1D80FB4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7</w:t>
                  </w:r>
                </w:p>
              </w:tc>
              <w:tc>
                <w:tcPr>
                  <w:tcW w:w="1256" w:type="dxa"/>
                  <w:vAlign w:val="center"/>
                </w:tcPr>
                <w:p w14:paraId="3C21B9D8">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lang w:val="en-US" w:eastAsia="zh-CN"/>
                    </w:rPr>
                    <w:t>7</w:t>
                  </w:r>
                  <w:r>
                    <w:rPr>
                      <w:rFonts w:hint="default" w:ascii="Times New Roman" w:hAnsi="Times New Roman" w:cs="Times New Roman"/>
                      <w:color w:val="auto"/>
                      <w:sz w:val="21"/>
                      <w:szCs w:val="21"/>
                      <w:highlight w:val="none"/>
                      <w:lang w:val="en-US" w:eastAsia="zh-CN"/>
                    </w:rPr>
                    <w:t>岳阳市第四中学</w:t>
                  </w:r>
                  <w:r>
                    <w:rPr>
                      <w:rFonts w:hint="eastAsia" w:ascii="Times New Roman" w:hAnsi="Times New Roman" w:cs="Times New Roman"/>
                      <w:color w:val="auto"/>
                      <w:sz w:val="21"/>
                      <w:szCs w:val="21"/>
                      <w:highlight w:val="none"/>
                      <w:lang w:val="en-US" w:eastAsia="zh-CN"/>
                    </w:rPr>
                    <w:t>教学楼1层</w:t>
                  </w:r>
                </w:p>
              </w:tc>
              <w:tc>
                <w:tcPr>
                  <w:tcW w:w="694" w:type="dxa"/>
                  <w:vAlign w:val="center"/>
                </w:tcPr>
                <w:p w14:paraId="76C1FD36">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50.0</w:t>
                  </w:r>
                </w:p>
              </w:tc>
              <w:tc>
                <w:tcPr>
                  <w:tcW w:w="694" w:type="dxa"/>
                  <w:vAlign w:val="center"/>
                </w:tcPr>
                <w:p w14:paraId="1C2F689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40.6</w:t>
                  </w:r>
                </w:p>
              </w:tc>
              <w:tc>
                <w:tcPr>
                  <w:tcW w:w="694" w:type="dxa"/>
                  <w:vAlign w:val="center"/>
                </w:tcPr>
                <w:p w14:paraId="665481C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55</w:t>
                  </w:r>
                </w:p>
              </w:tc>
              <w:tc>
                <w:tcPr>
                  <w:tcW w:w="694" w:type="dxa"/>
                  <w:vAlign w:val="center"/>
                </w:tcPr>
                <w:p w14:paraId="56FF51C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45</w:t>
                  </w:r>
                </w:p>
              </w:tc>
              <w:tc>
                <w:tcPr>
                  <w:tcW w:w="694" w:type="dxa"/>
                  <w:vAlign w:val="center"/>
                </w:tcPr>
                <w:p w14:paraId="7B243D0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18.2</w:t>
                  </w:r>
                </w:p>
              </w:tc>
              <w:tc>
                <w:tcPr>
                  <w:tcW w:w="694" w:type="dxa"/>
                  <w:vAlign w:val="center"/>
                </w:tcPr>
                <w:p w14:paraId="2389C47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18.2</w:t>
                  </w:r>
                </w:p>
              </w:tc>
              <w:tc>
                <w:tcPr>
                  <w:tcW w:w="694" w:type="dxa"/>
                  <w:vAlign w:val="center"/>
                </w:tcPr>
                <w:p w14:paraId="0186576D">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50.0</w:t>
                  </w:r>
                </w:p>
              </w:tc>
              <w:tc>
                <w:tcPr>
                  <w:tcW w:w="694" w:type="dxa"/>
                  <w:vAlign w:val="center"/>
                </w:tcPr>
                <w:p w14:paraId="5541D66C">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40.6</w:t>
                  </w:r>
                </w:p>
              </w:tc>
              <w:tc>
                <w:tcPr>
                  <w:tcW w:w="694" w:type="dxa"/>
                  <w:vAlign w:val="center"/>
                </w:tcPr>
                <w:p w14:paraId="6924BAF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c>
                <w:tcPr>
                  <w:tcW w:w="701" w:type="dxa"/>
                  <w:vAlign w:val="center"/>
                </w:tcPr>
                <w:p w14:paraId="51E2F0D9">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r w14:paraId="190B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 w:type="dxa"/>
                  <w:vAlign w:val="center"/>
                </w:tcPr>
                <w:p w14:paraId="105602E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w:t>
                  </w:r>
                </w:p>
              </w:tc>
              <w:tc>
                <w:tcPr>
                  <w:tcW w:w="1256" w:type="dxa"/>
                  <w:vAlign w:val="center"/>
                </w:tcPr>
                <w:p w14:paraId="31634925">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w:t>
                  </w:r>
                  <w:r>
                    <w:rPr>
                      <w:rFonts w:hint="eastAsia" w:ascii="Times New Roman" w:hAnsi="Times New Roman" w:cs="Times New Roman"/>
                      <w:color w:val="auto"/>
                      <w:sz w:val="21"/>
                      <w:szCs w:val="21"/>
                      <w:highlight w:val="none"/>
                      <w:lang w:val="en-US" w:eastAsia="zh-CN"/>
                    </w:rPr>
                    <w:t>8</w:t>
                  </w:r>
                  <w:r>
                    <w:rPr>
                      <w:rFonts w:hint="default" w:ascii="Times New Roman" w:hAnsi="Times New Roman" w:cs="Times New Roman"/>
                      <w:color w:val="auto"/>
                      <w:sz w:val="21"/>
                      <w:szCs w:val="21"/>
                      <w:highlight w:val="none"/>
                      <w:lang w:val="en-US" w:eastAsia="zh-CN"/>
                    </w:rPr>
                    <w:t>岳阳市第四中学</w:t>
                  </w:r>
                  <w:r>
                    <w:rPr>
                      <w:rFonts w:hint="eastAsia" w:ascii="Times New Roman" w:hAnsi="Times New Roman" w:cs="Times New Roman"/>
                      <w:color w:val="auto"/>
                      <w:sz w:val="21"/>
                      <w:szCs w:val="21"/>
                      <w:highlight w:val="none"/>
                      <w:lang w:val="en-US" w:eastAsia="zh-CN"/>
                    </w:rPr>
                    <w:t>教学楼3层</w:t>
                  </w:r>
                </w:p>
              </w:tc>
              <w:tc>
                <w:tcPr>
                  <w:tcW w:w="694" w:type="dxa"/>
                  <w:vAlign w:val="center"/>
                </w:tcPr>
                <w:p w14:paraId="3A03A797">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52.6</w:t>
                  </w:r>
                </w:p>
              </w:tc>
              <w:tc>
                <w:tcPr>
                  <w:tcW w:w="694" w:type="dxa"/>
                  <w:vAlign w:val="center"/>
                </w:tcPr>
                <w:p w14:paraId="3638839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42.4</w:t>
                  </w:r>
                </w:p>
              </w:tc>
              <w:tc>
                <w:tcPr>
                  <w:tcW w:w="694" w:type="dxa"/>
                  <w:vAlign w:val="center"/>
                </w:tcPr>
                <w:p w14:paraId="2E5C718F">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rPr>
                  </w:pPr>
                  <w:r>
                    <w:rPr>
                      <w:rFonts w:hint="eastAsia" w:cs="Times New Roman"/>
                      <w:color w:val="auto"/>
                      <w:sz w:val="21"/>
                      <w:szCs w:val="21"/>
                      <w:highlight w:val="none"/>
                      <w:lang w:val="en-US" w:eastAsia="zh-CN"/>
                    </w:rPr>
                    <w:t>55</w:t>
                  </w:r>
                </w:p>
              </w:tc>
              <w:tc>
                <w:tcPr>
                  <w:tcW w:w="694" w:type="dxa"/>
                  <w:vAlign w:val="center"/>
                </w:tcPr>
                <w:p w14:paraId="30AC482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rPr>
                  </w:pPr>
                  <w:r>
                    <w:rPr>
                      <w:rFonts w:hint="eastAsia" w:cs="Times New Roman"/>
                      <w:color w:val="auto"/>
                      <w:sz w:val="21"/>
                      <w:szCs w:val="21"/>
                      <w:highlight w:val="none"/>
                      <w:lang w:val="en-US" w:eastAsia="zh-CN"/>
                    </w:rPr>
                    <w:t>45</w:t>
                  </w:r>
                </w:p>
              </w:tc>
              <w:tc>
                <w:tcPr>
                  <w:tcW w:w="694" w:type="dxa"/>
                  <w:vAlign w:val="center"/>
                </w:tcPr>
                <w:p w14:paraId="525F838E">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18.2</w:t>
                  </w:r>
                </w:p>
              </w:tc>
              <w:tc>
                <w:tcPr>
                  <w:tcW w:w="694" w:type="dxa"/>
                  <w:vAlign w:val="center"/>
                </w:tcPr>
                <w:p w14:paraId="3013E5B2">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lang w:val="en-US" w:eastAsia="zh-CN"/>
                    </w:rPr>
                  </w:pPr>
                  <w:r>
                    <w:rPr>
                      <w:rFonts w:hint="eastAsia" w:cs="Times New Roman"/>
                      <w:color w:val="auto"/>
                      <w:kern w:val="0"/>
                      <w:sz w:val="21"/>
                      <w:szCs w:val="21"/>
                      <w:highlight w:val="none"/>
                      <w:vertAlign w:val="baseline"/>
                      <w:lang w:val="en-US" w:eastAsia="zh-CN"/>
                    </w:rPr>
                    <w:t>18.2</w:t>
                  </w:r>
                </w:p>
              </w:tc>
              <w:tc>
                <w:tcPr>
                  <w:tcW w:w="694" w:type="dxa"/>
                  <w:vAlign w:val="center"/>
                </w:tcPr>
                <w:p w14:paraId="19291664">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eastAsia" w:ascii="Times New Roman" w:hAnsi="Times New Roman" w:eastAsia="宋体" w:cs="Times New Roman"/>
                      <w:color w:val="auto"/>
                      <w:sz w:val="21"/>
                      <w:szCs w:val="21"/>
                      <w:highlight w:val="none"/>
                      <w:lang w:val="en-US" w:eastAsia="zh-CN"/>
                    </w:rPr>
                    <w:t>52.6</w:t>
                  </w:r>
                </w:p>
              </w:tc>
              <w:tc>
                <w:tcPr>
                  <w:tcW w:w="694" w:type="dxa"/>
                  <w:vAlign w:val="center"/>
                </w:tcPr>
                <w:p w14:paraId="050142A0">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eastAsia" w:ascii="Times New Roman" w:hAnsi="Times New Roman" w:eastAsia="宋体" w:cs="Times New Roman"/>
                      <w:color w:val="auto"/>
                      <w:sz w:val="21"/>
                      <w:szCs w:val="21"/>
                      <w:highlight w:val="none"/>
                      <w:lang w:val="en-US" w:eastAsia="zh-CN"/>
                    </w:rPr>
                    <w:t>42.4</w:t>
                  </w:r>
                </w:p>
              </w:tc>
              <w:tc>
                <w:tcPr>
                  <w:tcW w:w="694" w:type="dxa"/>
                  <w:vAlign w:val="center"/>
                </w:tcPr>
                <w:p w14:paraId="55CEEF6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达标</w:t>
                  </w:r>
                </w:p>
              </w:tc>
              <w:tc>
                <w:tcPr>
                  <w:tcW w:w="701" w:type="dxa"/>
                  <w:vAlign w:val="center"/>
                </w:tcPr>
                <w:p w14:paraId="70C6228A">
                  <w:pPr>
                    <w:keepNext w:val="0"/>
                    <w:keepLines w:val="0"/>
                    <w:pageBreakBefore w:val="0"/>
                    <w:widowControl w:val="0"/>
                    <w:kinsoku/>
                    <w:wordWrap/>
                    <w:overflowPunct/>
                    <w:topLinePunct w:val="0"/>
                    <w:autoSpaceDE/>
                    <w:autoSpaceDN/>
                    <w:bidi w:val="0"/>
                    <w:adjustRightInd/>
                    <w:snapToGrid/>
                    <w:spacing w:before="60" w:after="60"/>
                    <w:jc w:val="center"/>
                    <w:textAlignment w:val="auto"/>
                    <w:rPr>
                      <w:rFonts w:hint="default" w:ascii="Times New Roman" w:hAnsi="Times New Roman" w:eastAsia="宋体" w:cs="Times New Roman"/>
                      <w:color w:val="auto"/>
                      <w:kern w:val="0"/>
                      <w:sz w:val="21"/>
                      <w:szCs w:val="21"/>
                      <w:highlight w:val="none"/>
                      <w:vertAlign w:val="baseline"/>
                    </w:rPr>
                  </w:pPr>
                  <w:r>
                    <w:rPr>
                      <w:rFonts w:hint="default" w:ascii="Times New Roman" w:hAnsi="Times New Roman" w:eastAsia="宋体" w:cs="Times New Roman"/>
                      <w:color w:val="auto"/>
                      <w:sz w:val="21"/>
                      <w:szCs w:val="21"/>
                      <w:highlight w:val="none"/>
                    </w:rPr>
                    <w:t>达标</w:t>
                  </w:r>
                </w:p>
              </w:tc>
            </w:tr>
          </w:tbl>
          <w:p w14:paraId="23455D72">
            <w:pPr>
              <w:keepNext w:val="0"/>
              <w:keepLines w:val="0"/>
              <w:suppressLineNumbers w:val="0"/>
              <w:spacing w:before="0" w:beforeAutospacing="0" w:after="0" w:afterAutospacing="0" w:line="360" w:lineRule="auto"/>
              <w:ind w:right="0" w:firstLine="480" w:firstLineChars="200"/>
              <w:rPr>
                <w:rFonts w:hint="default" w:ascii="Times New Roman" w:hAnsi="Times New Roman" w:cs="Times New Roman"/>
                <w:color w:val="auto"/>
                <w:kern w:val="0"/>
                <w:sz w:val="24"/>
                <w:szCs w:val="24"/>
                <w:u w:val="none"/>
                <w:lang w:eastAsia="zh-CN"/>
              </w:rPr>
            </w:pPr>
            <w:r>
              <w:rPr>
                <w:rFonts w:hint="default" w:ascii="Times New Roman" w:hAnsi="Times New Roman" w:eastAsia="宋体" w:cs="Times New Roman"/>
                <w:color w:val="auto"/>
                <w:kern w:val="0"/>
                <w:sz w:val="24"/>
                <w:szCs w:val="24"/>
                <w:u w:val="none"/>
              </w:rPr>
              <w:t>由</w:t>
            </w:r>
            <w:r>
              <w:rPr>
                <w:rFonts w:hint="default" w:ascii="Times New Roman" w:hAnsi="Times New Roman" w:cs="Times New Roman"/>
                <w:color w:val="auto"/>
                <w:kern w:val="0"/>
                <w:sz w:val="24"/>
                <w:szCs w:val="24"/>
                <w:u w:val="none"/>
                <w:lang w:val="en-US" w:eastAsia="zh-CN"/>
              </w:rPr>
              <w:t>上述</w:t>
            </w:r>
            <w:r>
              <w:rPr>
                <w:rFonts w:hint="default" w:ascii="Times New Roman" w:hAnsi="Times New Roman" w:eastAsia="宋体" w:cs="Times New Roman"/>
                <w:color w:val="auto"/>
                <w:kern w:val="0"/>
                <w:sz w:val="24"/>
                <w:szCs w:val="24"/>
                <w:u w:val="none"/>
              </w:rPr>
              <w:t>预测结果可知，建设项目正常营运时，在采取隔声、减震等措施处理后，噪声贡献值较小，</w:t>
            </w:r>
            <w:r>
              <w:rPr>
                <w:rFonts w:hint="eastAsia" w:cs="Times New Roman"/>
                <w:color w:val="auto"/>
                <w:kern w:val="0"/>
                <w:sz w:val="24"/>
                <w:szCs w:val="24"/>
                <w:u w:val="none"/>
                <w:lang w:val="en-US" w:eastAsia="zh-CN"/>
              </w:rPr>
              <w:t>东、</w:t>
            </w:r>
            <w:r>
              <w:rPr>
                <w:rFonts w:hint="default" w:ascii="Times New Roman" w:hAnsi="Times New Roman" w:eastAsia="宋体" w:cs="Times New Roman"/>
                <w:color w:val="auto"/>
                <w:kern w:val="0"/>
                <w:sz w:val="24"/>
                <w:szCs w:val="24"/>
                <w:u w:val="none"/>
              </w:rPr>
              <w:t>南、</w:t>
            </w:r>
            <w:r>
              <w:rPr>
                <w:rFonts w:hint="default" w:ascii="Times New Roman" w:hAnsi="Times New Roman" w:cs="Times New Roman"/>
                <w:color w:val="auto"/>
                <w:kern w:val="0"/>
                <w:sz w:val="24"/>
                <w:szCs w:val="24"/>
                <w:u w:val="none"/>
                <w:lang w:val="en-US" w:eastAsia="zh-CN"/>
              </w:rPr>
              <w:t>西、</w:t>
            </w:r>
            <w:r>
              <w:rPr>
                <w:rFonts w:hint="default" w:ascii="Times New Roman" w:hAnsi="Times New Roman" w:eastAsia="宋体" w:cs="Times New Roman"/>
                <w:color w:val="auto"/>
                <w:kern w:val="0"/>
                <w:sz w:val="24"/>
                <w:szCs w:val="24"/>
                <w:u w:val="none"/>
              </w:rPr>
              <w:t>北厂界</w:t>
            </w:r>
            <w:r>
              <w:rPr>
                <w:rFonts w:hint="eastAsia" w:cs="Times New Roman"/>
                <w:color w:val="auto"/>
                <w:kern w:val="0"/>
                <w:sz w:val="24"/>
                <w:szCs w:val="24"/>
                <w:u w:val="none"/>
                <w:lang w:val="en-US" w:eastAsia="zh-CN"/>
              </w:rPr>
              <w:t>均</w:t>
            </w:r>
            <w:r>
              <w:rPr>
                <w:rFonts w:hint="default" w:ascii="Times New Roman" w:hAnsi="Times New Roman" w:eastAsia="宋体" w:cs="Times New Roman"/>
                <w:color w:val="auto"/>
                <w:kern w:val="0"/>
                <w:sz w:val="24"/>
                <w:szCs w:val="24"/>
                <w:u w:val="none"/>
              </w:rPr>
              <w:t>满足《工业企业厂界环境噪声排放标准》（GB12348-2008）中</w:t>
            </w:r>
            <w:r>
              <w:rPr>
                <w:rFonts w:hint="default" w:ascii="Times New Roman" w:hAnsi="Times New Roman" w:cs="Times New Roman"/>
                <w:color w:val="auto"/>
                <w:kern w:val="0"/>
                <w:sz w:val="24"/>
                <w:szCs w:val="24"/>
                <w:u w:val="none"/>
                <w:lang w:val="en-US" w:eastAsia="zh-CN"/>
              </w:rPr>
              <w:t>2</w:t>
            </w:r>
            <w:r>
              <w:rPr>
                <w:rFonts w:hint="default" w:ascii="Times New Roman" w:hAnsi="Times New Roman" w:eastAsia="宋体" w:cs="Times New Roman"/>
                <w:color w:val="auto"/>
                <w:kern w:val="0"/>
                <w:sz w:val="24"/>
                <w:szCs w:val="24"/>
                <w:u w:val="none"/>
              </w:rPr>
              <w:t>类标准</w:t>
            </w:r>
            <w:r>
              <w:rPr>
                <w:rFonts w:hint="default" w:ascii="Times New Roman" w:hAnsi="Times New Roman" w:cs="Times New Roman"/>
                <w:color w:val="auto"/>
                <w:kern w:val="0"/>
                <w:sz w:val="24"/>
                <w:szCs w:val="24"/>
                <w:u w:val="none"/>
                <w:lang w:eastAsia="zh-CN"/>
              </w:rPr>
              <w:t>；</w:t>
            </w:r>
          </w:p>
          <w:p w14:paraId="39E70303">
            <w:pPr>
              <w:keepNext w:val="0"/>
              <w:keepLines w:val="0"/>
              <w:suppressLineNumbers w:val="0"/>
              <w:spacing w:before="0" w:beforeAutospacing="0" w:after="0" w:afterAutospacing="0" w:line="360" w:lineRule="auto"/>
              <w:ind w:right="0" w:firstLine="480" w:firstLineChars="200"/>
              <w:rPr>
                <w:rFonts w:hint="default" w:ascii="Times New Roman" w:hAnsi="Times New Roman" w:cs="Times New Roman"/>
                <w:color w:val="auto"/>
                <w:sz w:val="24"/>
                <w:szCs w:val="32"/>
                <w:u w:val="none"/>
                <w:lang w:eastAsia="zh-CN"/>
              </w:rPr>
            </w:pPr>
            <w:r>
              <w:rPr>
                <w:rFonts w:hint="default" w:ascii="Times New Roman" w:hAnsi="Times New Roman" w:cs="Times New Roman"/>
                <w:color w:val="auto"/>
                <w:kern w:val="0"/>
                <w:sz w:val="24"/>
                <w:szCs w:val="24"/>
                <w:u w:val="none"/>
                <w:lang w:val="en-US" w:eastAsia="zh-CN"/>
              </w:rPr>
              <w:t>本</w:t>
            </w:r>
            <w:r>
              <w:rPr>
                <w:rFonts w:hint="default" w:ascii="Times New Roman" w:hAnsi="Times New Roman" w:eastAsia="宋体" w:cs="Times New Roman"/>
                <w:color w:val="auto"/>
                <w:kern w:val="0"/>
                <w:sz w:val="24"/>
                <w:szCs w:val="24"/>
                <w:u w:val="none"/>
              </w:rPr>
              <w:t>项目营运后噪声对</w:t>
            </w:r>
            <w:r>
              <w:rPr>
                <w:rFonts w:hint="default" w:ascii="Times New Roman" w:hAnsi="Times New Roman" w:eastAsia="宋体" w:cs="Times New Roman"/>
                <w:color w:val="auto"/>
                <w:kern w:val="0"/>
                <w:sz w:val="24"/>
                <w:szCs w:val="24"/>
                <w:u w:val="none"/>
                <w:lang w:val="en-US" w:eastAsia="zh-CN"/>
              </w:rPr>
              <w:t>敏感目标</w:t>
            </w:r>
            <w:r>
              <w:rPr>
                <w:rFonts w:hint="default" w:ascii="Times New Roman" w:hAnsi="Times New Roman" w:eastAsia="宋体" w:cs="Times New Roman"/>
                <w:color w:val="auto"/>
                <w:kern w:val="0"/>
                <w:sz w:val="24"/>
                <w:szCs w:val="24"/>
                <w:u w:val="none"/>
              </w:rPr>
              <w:t>的</w:t>
            </w:r>
            <w:r>
              <w:rPr>
                <w:rFonts w:hint="default" w:ascii="Times New Roman" w:hAnsi="Times New Roman" w:eastAsia="宋体" w:cs="Times New Roman"/>
                <w:color w:val="auto"/>
                <w:kern w:val="0"/>
                <w:sz w:val="24"/>
                <w:szCs w:val="24"/>
                <w:u w:val="none"/>
                <w:lang w:val="en-US" w:eastAsia="zh-CN"/>
              </w:rPr>
              <w:t>影响</w:t>
            </w:r>
            <w:r>
              <w:rPr>
                <w:rFonts w:hint="default" w:ascii="Times New Roman" w:hAnsi="Times New Roman" w:eastAsia="宋体" w:cs="Times New Roman"/>
                <w:color w:val="auto"/>
                <w:kern w:val="0"/>
                <w:sz w:val="24"/>
                <w:szCs w:val="24"/>
                <w:u w:val="none"/>
              </w:rPr>
              <w:t>较小，</w:t>
            </w:r>
            <w:r>
              <w:rPr>
                <w:rFonts w:hint="default" w:ascii="Times New Roman" w:hAnsi="Times New Roman" w:cs="Times New Roman"/>
                <w:color w:val="auto"/>
                <w:sz w:val="24"/>
                <w:szCs w:val="24"/>
                <w:u w:val="none"/>
                <w:lang w:val="en-US" w:eastAsia="zh-CN"/>
              </w:rPr>
              <w:t>敏感目标</w:t>
            </w:r>
            <w:r>
              <w:rPr>
                <w:rFonts w:hint="default" w:ascii="Times New Roman" w:hAnsi="Times New Roman" w:eastAsia="宋体" w:cs="Times New Roman"/>
                <w:color w:val="auto"/>
                <w:sz w:val="24"/>
                <w:szCs w:val="24"/>
                <w:u w:val="none"/>
              </w:rPr>
              <w:t>噪声值可以满足</w:t>
            </w:r>
            <w:r>
              <w:rPr>
                <w:rFonts w:hint="default" w:ascii="Times New Roman" w:hAnsi="Times New Roman" w:cs="Times New Roman"/>
                <w:color w:val="auto"/>
                <w:sz w:val="24"/>
                <w:szCs w:val="32"/>
                <w:u w:val="none"/>
              </w:rPr>
              <w:t>《声环境质量标准》(GB3096-2008)中的</w:t>
            </w:r>
            <w:r>
              <w:rPr>
                <w:rFonts w:hint="default" w:ascii="Times New Roman" w:hAnsi="Times New Roman" w:cs="Times New Roman"/>
                <w:color w:val="auto"/>
                <w:sz w:val="24"/>
                <w:szCs w:val="32"/>
                <w:u w:val="none"/>
                <w:lang w:val="en-US" w:eastAsia="zh-CN"/>
              </w:rPr>
              <w:t>1、2</w:t>
            </w:r>
            <w:r>
              <w:rPr>
                <w:rFonts w:hint="default" w:ascii="Times New Roman" w:hAnsi="Times New Roman" w:cs="Times New Roman"/>
                <w:color w:val="auto"/>
                <w:sz w:val="24"/>
                <w:szCs w:val="32"/>
                <w:u w:val="none"/>
              </w:rPr>
              <w:t>类区标准</w:t>
            </w:r>
            <w:r>
              <w:rPr>
                <w:rFonts w:hint="default" w:ascii="Times New Roman" w:hAnsi="Times New Roman" w:cs="Times New Roman"/>
                <w:color w:val="auto"/>
                <w:sz w:val="24"/>
                <w:szCs w:val="32"/>
                <w:u w:val="none"/>
                <w:lang w:eastAsia="zh-CN"/>
              </w:rPr>
              <w:t>。</w:t>
            </w:r>
          </w:p>
          <w:p w14:paraId="06F0BA2C">
            <w:pPr>
              <w:pStyle w:val="11"/>
              <w:rPr>
                <w:rFonts w:hint="default" w:ascii="Times New Roman" w:hAnsi="Times New Roman" w:eastAsia="宋体" w:cs="Times New Roman"/>
                <w:b/>
                <w:bCs/>
                <w:sz w:val="24"/>
                <w:szCs w:val="24"/>
                <w:highlight w:val="none"/>
                <w:u w:val="none"/>
                <w:lang w:val="en-US" w:eastAsia="zh-CN"/>
              </w:rPr>
            </w:pPr>
            <w:r>
              <w:rPr>
                <w:rFonts w:hint="default" w:ascii="Times New Roman" w:hAnsi="Times New Roman" w:eastAsia="宋体" w:cs="Times New Roman"/>
                <w:b/>
                <w:bCs/>
                <w:sz w:val="24"/>
                <w:szCs w:val="24"/>
                <w:highlight w:val="none"/>
                <w:u w:val="none"/>
                <w:lang w:val="en-US" w:eastAsia="zh-CN"/>
              </w:rPr>
              <w:t>3.2防治措施</w:t>
            </w:r>
          </w:p>
          <w:p w14:paraId="72C9A6EC">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本项目利用现有噪声防治措施，根据</w:t>
            </w:r>
            <w:r>
              <w:rPr>
                <w:rFonts w:hint="default" w:ascii="Times New Roman" w:hAnsi="Times New Roman" w:cs="Times New Roman"/>
                <w:bCs/>
                <w:color w:val="auto"/>
                <w:kern w:val="0"/>
                <w:sz w:val="24"/>
                <w:szCs w:val="24"/>
                <w:highlight w:val="none"/>
                <w:lang w:val="en-US" w:eastAsia="zh-CN"/>
              </w:rPr>
              <w:t>表2-12的检测结果，项目噪声排放满足《工业企业厂界环境噪声排放标准》（GB12348-2008）中2类标准要求。项目现有的噪声防治措施</w:t>
            </w:r>
            <w:r>
              <w:rPr>
                <w:rFonts w:hint="default" w:ascii="Times New Roman" w:hAnsi="Times New Roman" w:cs="Times New Roman"/>
                <w:color w:val="auto"/>
                <w:sz w:val="24"/>
                <w:szCs w:val="24"/>
                <w:u w:val="none"/>
                <w:lang w:val="en-US" w:eastAsia="zh-CN"/>
              </w:rPr>
              <w:t>主要包括：</w:t>
            </w:r>
          </w:p>
          <w:p w14:paraId="44FB0C4A">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①风机安装在设备间内，设备间加装了隔音棉；</w:t>
            </w:r>
          </w:p>
          <w:p w14:paraId="5E72208E">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②泵房布置在地下层；</w:t>
            </w:r>
          </w:p>
          <w:p w14:paraId="01FE9223">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③主要噪声设备均设置在室内，通过墙体隔声；</w:t>
            </w:r>
          </w:p>
          <w:p w14:paraId="0E90B7C1">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④院内道路限速并设有禁止鸣笛标志；</w:t>
            </w:r>
          </w:p>
          <w:p w14:paraId="0E36BB4C">
            <w:pPr>
              <w:keepNext w:val="0"/>
              <w:keepLines w:val="0"/>
              <w:suppressLineNumbers w:val="0"/>
              <w:spacing w:before="0" w:beforeAutospacing="0" w:after="0" w:afterAutospacing="0" w:line="360" w:lineRule="auto"/>
              <w:ind w:right="0" w:firstLine="480" w:firstLineChars="200"/>
              <w:rPr>
                <w:rFonts w:hint="eastAsia" w:ascii="Times New Roman" w:hAnsi="Times New Roman" w:eastAsia="宋体" w:cs="Times New Roman"/>
                <w:color w:val="auto"/>
                <w:sz w:val="24"/>
                <w:szCs w:val="24"/>
                <w:u w:val="none"/>
                <w:lang w:eastAsia="zh-CN"/>
              </w:rPr>
            </w:pPr>
            <w:r>
              <w:rPr>
                <w:rFonts w:hint="default" w:ascii="Times New Roman" w:hAnsi="Times New Roman" w:cs="Times New Roman"/>
                <w:color w:val="auto"/>
                <w:sz w:val="24"/>
                <w:szCs w:val="24"/>
                <w:u w:val="none"/>
                <w:lang w:val="en-US" w:eastAsia="zh-CN"/>
              </w:rPr>
              <w:t>⑤</w:t>
            </w:r>
            <w:r>
              <w:rPr>
                <w:rFonts w:hint="default" w:ascii="Times New Roman" w:hAnsi="Times New Roman" w:eastAsia="宋体" w:cs="Times New Roman"/>
                <w:color w:val="auto"/>
                <w:sz w:val="24"/>
                <w:szCs w:val="24"/>
                <w:u w:val="none"/>
              </w:rPr>
              <w:t>对进入医院就诊人员进行提醒，设置禁止喧哗标识</w:t>
            </w:r>
            <w:r>
              <w:rPr>
                <w:rFonts w:hint="eastAsia" w:eastAsia="宋体" w:cs="Times New Roman"/>
                <w:color w:val="auto"/>
                <w:sz w:val="24"/>
                <w:szCs w:val="24"/>
                <w:u w:val="none"/>
                <w:lang w:eastAsia="zh-CN"/>
              </w:rPr>
              <w:t>。</w:t>
            </w:r>
          </w:p>
          <w:p w14:paraId="312E612D">
            <w:pPr>
              <w:keepNext w:val="0"/>
              <w:keepLines w:val="0"/>
              <w:suppressLineNumbers w:val="0"/>
              <w:spacing w:before="0" w:beforeAutospacing="0" w:after="0" w:afterAutospacing="0" w:line="360" w:lineRule="auto"/>
              <w:ind w:right="0" w:firstLine="480" w:firstLineChars="200"/>
              <w:rPr>
                <w:rFonts w:hint="eastAsia" w:cs="Times New Roman"/>
                <w:color w:val="auto"/>
                <w:sz w:val="24"/>
                <w:szCs w:val="24"/>
                <w:u w:val="none"/>
                <w:lang w:val="en-US" w:eastAsia="zh-CN"/>
              </w:rPr>
            </w:pPr>
            <w:r>
              <w:rPr>
                <w:rFonts w:hint="eastAsia" w:cs="Times New Roman"/>
                <w:color w:val="auto"/>
                <w:sz w:val="24"/>
                <w:szCs w:val="24"/>
                <w:u w:val="none"/>
                <w:lang w:val="en-US" w:eastAsia="zh-CN"/>
              </w:rPr>
              <w:t>本项目迁建完成后建议采取的防治措施：</w:t>
            </w:r>
          </w:p>
          <w:p w14:paraId="7DE0ABF9">
            <w:pPr>
              <w:keepNext w:val="0"/>
              <w:keepLines w:val="0"/>
              <w:suppressLineNumbers w:val="0"/>
              <w:spacing w:before="0" w:beforeAutospacing="0" w:after="0" w:afterAutospacing="0" w:line="360" w:lineRule="auto"/>
              <w:ind w:right="0" w:firstLine="480" w:firstLineChars="200"/>
              <w:rPr>
                <w:rFonts w:hint="default" w:ascii="Times New Roman" w:hAnsi="Times New Roman" w:eastAsia="宋体" w:cs="Times New Roman"/>
                <w:color w:val="auto"/>
                <w:sz w:val="24"/>
                <w:szCs w:val="24"/>
                <w:u w:val="none"/>
                <w:lang w:val="en-US" w:eastAsia="zh-CN"/>
              </w:rPr>
            </w:pPr>
            <w:r>
              <w:rPr>
                <w:rFonts w:hint="default" w:ascii="Times New Roman" w:hAnsi="Times New Roman" w:cs="Times New Roman"/>
                <w:color w:val="auto"/>
                <w:sz w:val="24"/>
                <w:szCs w:val="24"/>
                <w:u w:val="none"/>
                <w:lang w:val="en-US" w:eastAsia="zh-CN"/>
              </w:rPr>
              <w:t>①在院区内设置多处减速</w:t>
            </w:r>
            <w:r>
              <w:rPr>
                <w:rFonts w:hint="eastAsia" w:ascii="Times New Roman" w:hAnsi="Times New Roman" w:cs="Times New Roman"/>
                <w:color w:val="auto"/>
                <w:sz w:val="24"/>
                <w:szCs w:val="24"/>
                <w:u w:val="none"/>
                <w:lang w:val="en-US" w:eastAsia="zh-CN"/>
              </w:rPr>
              <w:t>带</w:t>
            </w:r>
            <w:r>
              <w:rPr>
                <w:rFonts w:hint="default" w:ascii="Times New Roman" w:hAnsi="Times New Roman" w:cs="Times New Roman"/>
                <w:color w:val="auto"/>
                <w:sz w:val="24"/>
                <w:szCs w:val="24"/>
                <w:u w:val="none"/>
                <w:lang w:val="en-US" w:eastAsia="zh-CN"/>
              </w:rPr>
              <w:t>；</w:t>
            </w:r>
          </w:p>
          <w:p w14:paraId="717F271F">
            <w:pPr>
              <w:adjustRightInd w:val="0"/>
              <w:snapToGrid w:val="0"/>
              <w:spacing w:line="360" w:lineRule="auto"/>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cs="Times New Roman"/>
                <w:color w:val="auto"/>
                <w:sz w:val="24"/>
                <w:szCs w:val="24"/>
                <w:u w:val="none"/>
                <w:lang w:val="en-US" w:eastAsia="zh-CN"/>
              </w:rPr>
              <w:t>②</w:t>
            </w:r>
            <w:r>
              <w:rPr>
                <w:rFonts w:hint="default" w:ascii="Times New Roman" w:hAnsi="Times New Roman" w:eastAsia="宋体" w:cs="Times New Roman"/>
                <w:b w:val="0"/>
                <w:bCs w:val="0"/>
                <w:color w:val="auto"/>
                <w:sz w:val="24"/>
                <w:szCs w:val="24"/>
              </w:rPr>
              <w:t>安排专人负责</w:t>
            </w:r>
            <w:r>
              <w:rPr>
                <w:rFonts w:hint="eastAsia" w:ascii="Times New Roman" w:hAnsi="Times New Roman" w:eastAsia="宋体" w:cs="Times New Roman"/>
                <w:b w:val="0"/>
                <w:bCs w:val="0"/>
                <w:color w:val="auto"/>
                <w:sz w:val="24"/>
                <w:szCs w:val="24"/>
                <w:lang w:val="en-US" w:eastAsia="zh-CN"/>
              </w:rPr>
              <w:t>声源设备和隔音设施的</w:t>
            </w:r>
            <w:r>
              <w:rPr>
                <w:rFonts w:hint="default" w:ascii="Times New Roman" w:hAnsi="Times New Roman" w:eastAsia="宋体" w:cs="Times New Roman"/>
                <w:b w:val="0"/>
                <w:bCs w:val="0"/>
                <w:color w:val="auto"/>
                <w:sz w:val="24"/>
                <w:szCs w:val="24"/>
              </w:rPr>
              <w:t>日常维护和管理，每隔固定时间</w:t>
            </w:r>
            <w:r>
              <w:rPr>
                <w:rFonts w:hint="eastAsia" w:ascii="Times New Roman" w:hAnsi="Times New Roman" w:eastAsia="宋体" w:cs="Times New Roman"/>
                <w:b w:val="0"/>
                <w:bCs w:val="0"/>
                <w:color w:val="auto"/>
                <w:sz w:val="24"/>
                <w:szCs w:val="24"/>
                <w:lang w:val="en-US" w:eastAsia="zh-CN"/>
              </w:rPr>
              <w:t>维护、</w:t>
            </w:r>
            <w:r>
              <w:rPr>
                <w:rFonts w:hint="default" w:ascii="Times New Roman" w:hAnsi="Times New Roman" w:eastAsia="宋体" w:cs="Times New Roman"/>
                <w:b w:val="0"/>
                <w:bCs w:val="0"/>
                <w:color w:val="auto"/>
                <w:sz w:val="24"/>
                <w:szCs w:val="24"/>
              </w:rPr>
              <w:t>检查、汇报情况，及时发现设施的隐患，确保设施正常运行；</w:t>
            </w:r>
          </w:p>
          <w:p w14:paraId="3BF85C10">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000000" w:themeColor="text1"/>
                <w:sz w:val="24"/>
                <w:szCs w:val="24"/>
                <w:u w:val="none"/>
              </w:rPr>
            </w:pPr>
            <w:r>
              <w:rPr>
                <w:rFonts w:hint="default" w:ascii="Times New Roman" w:hAnsi="Times New Roman" w:eastAsia="宋体" w:cs="Times New Roman"/>
                <w:b/>
                <w:bCs/>
                <w:color w:val="000000" w:themeColor="text1"/>
                <w:sz w:val="24"/>
                <w:szCs w:val="24"/>
                <w:u w:val="none"/>
                <w:lang w:val="en-US" w:eastAsia="zh-CN"/>
              </w:rPr>
              <w:t>3.3、</w:t>
            </w:r>
            <w:r>
              <w:rPr>
                <w:rFonts w:hint="default" w:ascii="Times New Roman" w:hAnsi="Times New Roman" w:eastAsia="宋体" w:cs="Times New Roman"/>
                <w:b/>
                <w:bCs/>
                <w:color w:val="000000" w:themeColor="text1"/>
                <w:sz w:val="24"/>
                <w:szCs w:val="24"/>
                <w:u w:val="none"/>
              </w:rPr>
              <w:t>自行监测计划</w:t>
            </w:r>
          </w:p>
          <w:p w14:paraId="18A3AE7E">
            <w:pPr>
              <w:keepNext w:val="0"/>
              <w:keepLines w:val="0"/>
              <w:suppressLineNumbers w:val="0"/>
              <w:spacing w:before="0" w:beforeAutospacing="0" w:after="0" w:afterAutospacing="0" w:line="360" w:lineRule="auto"/>
              <w:ind w:right="0" w:firstLine="480" w:firstLineChars="200"/>
              <w:rPr>
                <w:rFonts w:hint="eastAsia" w:ascii="Times New Roman" w:hAnsi="Times New Roman" w:eastAsia="宋体" w:cs="Times New Roman"/>
                <w:color w:val="auto"/>
                <w:sz w:val="24"/>
                <w:szCs w:val="32"/>
                <w:u w:val="none"/>
                <w:lang w:eastAsia="zh-CN"/>
              </w:rPr>
            </w:pPr>
            <w:r>
              <w:rPr>
                <w:rFonts w:hint="default" w:ascii="Times New Roman" w:hAnsi="Times New Roman" w:eastAsia="宋体" w:cs="Times New Roman"/>
                <w:sz w:val="24"/>
                <w:szCs w:val="24"/>
                <w:u w:val="none"/>
              </w:rPr>
              <w:t xml:space="preserve">项目运营期污染源监测可根据实际情况参照《排污单位自行监测技术指南 </w:t>
            </w:r>
            <w:r>
              <w:rPr>
                <w:rFonts w:hint="default" w:ascii="Times New Roman" w:hAnsi="Times New Roman" w:eastAsia="宋体" w:cs="Times New Roman"/>
                <w:sz w:val="24"/>
                <w:szCs w:val="24"/>
                <w:u w:val="none"/>
                <w:lang w:val="en-US" w:eastAsia="zh-CN"/>
              </w:rPr>
              <w:t>总</w:t>
            </w:r>
            <w:r>
              <w:rPr>
                <w:rFonts w:hint="default" w:ascii="Times New Roman" w:hAnsi="Times New Roman" w:eastAsia="宋体" w:cs="Times New Roman"/>
                <w:sz w:val="24"/>
                <w:szCs w:val="24"/>
                <w:u w:val="none"/>
              </w:rPr>
              <w:t>则》（HJ 819-2017）</w:t>
            </w:r>
            <w:r>
              <w:rPr>
                <w:rFonts w:hint="default" w:ascii="Times New Roman" w:hAnsi="Times New Roman" w:eastAsia="宋体" w:cs="Times New Roman"/>
                <w:sz w:val="24"/>
                <w:szCs w:val="24"/>
                <w:u w:val="none"/>
                <w:lang w:val="en-US" w:eastAsia="zh-CN"/>
              </w:rPr>
              <w:t>、</w:t>
            </w:r>
            <w:r>
              <w:rPr>
                <w:rFonts w:hint="default" w:ascii="Times New Roman" w:hAnsi="Times New Roman" w:eastAsia="宋体" w:cs="Times New Roman"/>
                <w:sz w:val="24"/>
                <w:szCs w:val="24"/>
                <w:u w:val="none"/>
              </w:rPr>
              <w:t>《排污许可证申请与核发技术规范 总则》（HJ 942-2018）、《排污许可证申请与核发技术规</w:t>
            </w:r>
            <w:r>
              <w:rPr>
                <w:rFonts w:hint="default" w:ascii="Times New Roman" w:hAnsi="Times New Roman" w:eastAsia="宋体" w:cs="Times New Roman"/>
                <w:color w:val="auto"/>
                <w:sz w:val="24"/>
                <w:szCs w:val="24"/>
                <w:u w:val="none"/>
              </w:rPr>
              <w:t>范 医疗机构》（HJ 1105-2020）</w:t>
            </w:r>
            <w:r>
              <w:rPr>
                <w:rFonts w:hint="eastAsia" w:eastAsia="宋体" w:cs="Times New Roman"/>
                <w:color w:val="auto"/>
                <w:sz w:val="24"/>
                <w:szCs w:val="24"/>
                <w:u w:val="none"/>
                <w:lang w:eastAsia="zh-CN"/>
              </w:rPr>
              <w:t>、《排污许可证申请与核发技术规范 工业噪声》（HJ1301-2023）</w:t>
            </w:r>
            <w:r>
              <w:rPr>
                <w:rFonts w:hint="default" w:ascii="Times New Roman" w:hAnsi="Times New Roman" w:eastAsia="宋体" w:cs="Times New Roman"/>
                <w:color w:val="auto"/>
                <w:sz w:val="24"/>
                <w:szCs w:val="24"/>
                <w:u w:val="none"/>
              </w:rPr>
              <w:t>，建议项目运营期</w:t>
            </w:r>
            <w:r>
              <w:rPr>
                <w:rFonts w:hint="default" w:ascii="Times New Roman" w:hAnsi="Times New Roman" w:eastAsia="宋体" w:cs="Times New Roman"/>
                <w:color w:val="auto"/>
                <w:sz w:val="24"/>
                <w:szCs w:val="24"/>
                <w:u w:val="none"/>
                <w:lang w:val="en-US" w:eastAsia="zh-CN"/>
              </w:rPr>
              <w:t>噪声</w:t>
            </w:r>
            <w:r>
              <w:rPr>
                <w:rFonts w:hint="default" w:ascii="Times New Roman" w:hAnsi="Times New Roman" w:eastAsia="宋体" w:cs="Times New Roman"/>
                <w:color w:val="auto"/>
                <w:sz w:val="24"/>
                <w:szCs w:val="24"/>
                <w:u w:val="none"/>
              </w:rPr>
              <w:t>污染源监测计划如下表</w:t>
            </w:r>
            <w:r>
              <w:rPr>
                <w:rFonts w:hint="eastAsia" w:eastAsia="宋体" w:cs="Times New Roman"/>
                <w:color w:val="auto"/>
                <w:sz w:val="24"/>
                <w:szCs w:val="24"/>
                <w:u w:val="none"/>
                <w:lang w:eastAsia="zh-CN"/>
              </w:rPr>
              <w:t>。</w:t>
            </w:r>
          </w:p>
          <w:p w14:paraId="040F9A8D">
            <w:pPr>
              <w:keepNext w:val="0"/>
              <w:keepLines w:val="0"/>
              <w:suppressLineNumbers w:val="0"/>
              <w:spacing w:before="0" w:beforeAutospacing="0" w:after="0" w:afterAutospacing="0" w:line="360" w:lineRule="auto"/>
              <w:ind w:right="0"/>
              <w:jc w:val="center"/>
              <w:rPr>
                <w:rFonts w:hint="default" w:ascii="Times New Roman" w:hAnsi="Times New Roman" w:cs="Times New Roman"/>
                <w:b/>
                <w:bCs/>
                <w:color w:val="auto"/>
                <w:u w:val="none"/>
                <w:lang w:val="en-US" w:eastAsia="zh-CN"/>
              </w:rPr>
            </w:pPr>
            <w:r>
              <w:rPr>
                <w:rFonts w:hint="default" w:ascii="Times New Roman" w:hAnsi="Times New Roman" w:cs="Times New Roman"/>
                <w:b/>
                <w:bCs/>
                <w:color w:val="auto"/>
                <w:u w:val="none"/>
                <w:lang w:val="en-US" w:eastAsia="zh-CN"/>
              </w:rPr>
              <w:t>表4-</w:t>
            </w:r>
            <w:r>
              <w:rPr>
                <w:rFonts w:hint="eastAsia" w:cs="Times New Roman"/>
                <w:b/>
                <w:bCs/>
                <w:color w:val="auto"/>
                <w:u w:val="none"/>
                <w:lang w:val="en-US" w:eastAsia="zh-CN"/>
              </w:rPr>
              <w:t>24</w:t>
            </w:r>
            <w:r>
              <w:rPr>
                <w:rFonts w:hint="default" w:ascii="Times New Roman" w:hAnsi="Times New Roman" w:cs="Times New Roman"/>
                <w:b/>
                <w:bCs/>
                <w:color w:val="auto"/>
                <w:u w:val="none"/>
                <w:lang w:val="en-US" w:eastAsia="zh-CN"/>
              </w:rPr>
              <w:t xml:space="preserve"> 运营期噪声检测计划一览表</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1875"/>
              <w:gridCol w:w="1575"/>
              <w:gridCol w:w="1245"/>
              <w:gridCol w:w="3197"/>
            </w:tblGrid>
            <w:tr w14:paraId="661F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0" w:type="dxa"/>
                  <w:vAlign w:val="center"/>
                </w:tcPr>
                <w:p w14:paraId="042CD5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b/>
                      <w:color w:val="auto"/>
                      <w:sz w:val="21"/>
                      <w:szCs w:val="21"/>
                      <w:u w:val="none" w:color="auto"/>
                      <w:lang w:val="en-US" w:eastAsia="zh-CN"/>
                    </w:rPr>
                    <w:t>类别</w:t>
                  </w:r>
                </w:p>
              </w:tc>
              <w:tc>
                <w:tcPr>
                  <w:tcW w:w="1875" w:type="dxa"/>
                  <w:vAlign w:val="center"/>
                </w:tcPr>
                <w:p w14:paraId="611A8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b/>
                      <w:color w:val="auto"/>
                      <w:sz w:val="21"/>
                      <w:szCs w:val="21"/>
                      <w:u w:val="none" w:color="auto"/>
                    </w:rPr>
                    <w:t>监测点位</w:t>
                  </w:r>
                </w:p>
              </w:tc>
              <w:tc>
                <w:tcPr>
                  <w:tcW w:w="1575" w:type="dxa"/>
                  <w:vAlign w:val="center"/>
                </w:tcPr>
                <w:p w14:paraId="6DAA48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b/>
                      <w:color w:val="auto"/>
                      <w:sz w:val="21"/>
                      <w:szCs w:val="21"/>
                      <w:u w:val="none" w:color="auto"/>
                    </w:rPr>
                    <w:t>监测项目</w:t>
                  </w:r>
                </w:p>
              </w:tc>
              <w:tc>
                <w:tcPr>
                  <w:tcW w:w="1245" w:type="dxa"/>
                  <w:vAlign w:val="center"/>
                </w:tcPr>
                <w:p w14:paraId="506D46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b/>
                      <w:color w:val="auto"/>
                      <w:sz w:val="21"/>
                      <w:szCs w:val="21"/>
                      <w:u w:val="none" w:color="auto"/>
                    </w:rPr>
                    <w:t>监测频率</w:t>
                  </w:r>
                </w:p>
              </w:tc>
              <w:tc>
                <w:tcPr>
                  <w:tcW w:w="3197" w:type="dxa"/>
                  <w:vAlign w:val="center"/>
                </w:tcPr>
                <w:p w14:paraId="3EF4F9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b/>
                      <w:color w:val="auto"/>
                      <w:sz w:val="21"/>
                      <w:szCs w:val="21"/>
                      <w:u w:val="none" w:color="auto"/>
                      <w:lang w:eastAsia="zh-CN"/>
                    </w:rPr>
                    <w:t>执行标准</w:t>
                  </w:r>
                </w:p>
              </w:tc>
            </w:tr>
            <w:tr w14:paraId="34FE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0" w:type="dxa"/>
                  <w:vAlign w:val="center"/>
                </w:tcPr>
                <w:p w14:paraId="46B329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color w:val="auto"/>
                      <w:sz w:val="21"/>
                      <w:szCs w:val="21"/>
                      <w:u w:val="none" w:color="auto"/>
                      <w:lang w:eastAsia="zh-CN"/>
                    </w:rPr>
                    <w:t>噪声</w:t>
                  </w:r>
                </w:p>
              </w:tc>
              <w:tc>
                <w:tcPr>
                  <w:tcW w:w="1875" w:type="dxa"/>
                  <w:vAlign w:val="center"/>
                </w:tcPr>
                <w:p w14:paraId="178BCF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color w:val="auto"/>
                      <w:sz w:val="21"/>
                      <w:szCs w:val="21"/>
                      <w:u w:val="none" w:color="auto"/>
                      <w:lang w:eastAsia="zh-CN"/>
                    </w:rPr>
                    <w:t>厂界（东、南、西、北）外</w:t>
                  </w:r>
                  <w:r>
                    <w:rPr>
                      <w:rFonts w:hint="default" w:ascii="Times New Roman" w:hAnsi="Times New Roman" w:eastAsia="宋体" w:cs="Times New Roman"/>
                      <w:color w:val="auto"/>
                      <w:sz w:val="21"/>
                      <w:szCs w:val="21"/>
                      <w:u w:val="none" w:color="auto"/>
                      <w:lang w:val="en-US" w:eastAsia="zh-CN"/>
                    </w:rPr>
                    <w:t>1m</w:t>
                  </w:r>
                </w:p>
              </w:tc>
              <w:tc>
                <w:tcPr>
                  <w:tcW w:w="1575" w:type="dxa"/>
                  <w:vAlign w:val="center"/>
                </w:tcPr>
                <w:p w14:paraId="5A59AF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color w:val="auto"/>
                      <w:sz w:val="21"/>
                      <w:szCs w:val="21"/>
                      <w:u w:val="none" w:color="auto"/>
                      <w:lang w:val="en-US" w:eastAsia="zh-CN"/>
                    </w:rPr>
                    <w:t xml:space="preserve"> Leq（A）（昼间、夜间）</w:t>
                  </w:r>
                </w:p>
              </w:tc>
              <w:tc>
                <w:tcPr>
                  <w:tcW w:w="1245" w:type="dxa"/>
                  <w:vAlign w:val="center"/>
                </w:tcPr>
                <w:p w14:paraId="08C98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val="en-US" w:eastAsia="zh-CN"/>
                    </w:rPr>
                  </w:pPr>
                  <w:r>
                    <w:rPr>
                      <w:rFonts w:hint="default" w:ascii="Times New Roman" w:hAnsi="Times New Roman" w:eastAsia="宋体" w:cs="Times New Roman"/>
                      <w:color w:val="auto"/>
                      <w:sz w:val="21"/>
                      <w:szCs w:val="21"/>
                      <w:u w:val="none" w:color="auto"/>
                      <w:lang w:eastAsia="zh-CN"/>
                    </w:rPr>
                    <w:t>季度</w:t>
                  </w:r>
                  <w:r>
                    <w:rPr>
                      <w:rFonts w:hint="default" w:ascii="Times New Roman" w:hAnsi="Times New Roman" w:eastAsia="宋体" w:cs="Times New Roman"/>
                      <w:color w:val="auto"/>
                      <w:sz w:val="21"/>
                      <w:szCs w:val="21"/>
                      <w:u w:val="none" w:color="auto"/>
                      <w:lang w:val="en-US" w:eastAsia="zh-CN"/>
                    </w:rPr>
                    <w:t>/次</w:t>
                  </w:r>
                </w:p>
              </w:tc>
              <w:tc>
                <w:tcPr>
                  <w:tcW w:w="3197" w:type="dxa"/>
                  <w:vAlign w:val="center"/>
                </w:tcPr>
                <w:p w14:paraId="6BC16C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《工业企业厂界环境噪声排</w:t>
                  </w:r>
                </w:p>
                <w:p w14:paraId="718D1F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none" w:color="auto"/>
                      <w:lang w:val="en-US" w:eastAsia="zh-CN"/>
                    </w:rPr>
                  </w:pPr>
                  <w:r>
                    <w:rPr>
                      <w:rFonts w:hint="default" w:ascii="Times New Roman" w:hAnsi="Times New Roman" w:eastAsia="宋体" w:cs="Times New Roman"/>
                      <w:color w:val="auto"/>
                      <w:sz w:val="21"/>
                      <w:szCs w:val="21"/>
                      <w:u w:val="none" w:color="auto"/>
                      <w:lang w:val="en-US" w:eastAsia="zh-CN"/>
                    </w:rPr>
                    <w:t>放标准》 （GB12348-2008）</w:t>
                  </w:r>
                </w:p>
                <w:p w14:paraId="0836B1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u w:val="none" w:color="auto"/>
                      <w:vertAlign w:val="baseline"/>
                      <w:lang w:eastAsia="zh-CN"/>
                    </w:rPr>
                  </w:pPr>
                  <w:r>
                    <w:rPr>
                      <w:rFonts w:hint="default" w:ascii="Times New Roman" w:hAnsi="Times New Roman" w:eastAsia="宋体" w:cs="Times New Roman"/>
                      <w:color w:val="auto"/>
                      <w:sz w:val="21"/>
                      <w:szCs w:val="21"/>
                      <w:u w:val="none" w:color="auto"/>
                      <w:lang w:val="en-US" w:eastAsia="zh-CN"/>
                    </w:rPr>
                    <w:t>2类标准</w:t>
                  </w:r>
                </w:p>
              </w:tc>
            </w:tr>
          </w:tbl>
          <w:p w14:paraId="1385EF41">
            <w:pPr>
              <w:spacing w:line="360" w:lineRule="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4、固体废物</w:t>
            </w:r>
          </w:p>
          <w:p w14:paraId="39ADBE55">
            <w:pPr>
              <w:pStyle w:val="11"/>
              <w:keepNext w:val="0"/>
              <w:keepLines w:val="0"/>
              <w:pageBreakBefore w:val="0"/>
              <w:widowControl/>
              <w:kinsoku/>
              <w:wordWrap/>
              <w:overflowPunct/>
              <w:topLinePunct w:val="0"/>
              <w:autoSpaceDE/>
              <w:autoSpaceDN/>
              <w:bidi w:val="0"/>
              <w:adjustRightInd/>
              <w:snapToGrid w:val="0"/>
              <w:spacing w:before="0" w:after="0" w:line="360" w:lineRule="auto"/>
              <w:ind w:right="0"/>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4.1固体废物产生情况</w:t>
            </w:r>
          </w:p>
          <w:p w14:paraId="1BDECEFC">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本项目产生的固体废物包</w:t>
            </w:r>
            <w:r>
              <w:rPr>
                <w:rFonts w:hint="default" w:ascii="Times New Roman" w:hAnsi="Times New Roman" w:eastAsia="宋体" w:cs="Times New Roman"/>
                <w:sz w:val="24"/>
                <w:szCs w:val="24"/>
                <w:highlight w:val="none"/>
              </w:rPr>
              <w:t>括生活垃圾</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污水</w:t>
            </w:r>
            <w:r>
              <w:rPr>
                <w:rFonts w:hint="default" w:ascii="Times New Roman" w:hAnsi="Times New Roman" w:eastAsia="宋体" w:cs="Times New Roman"/>
                <w:color w:val="000000" w:themeColor="text1"/>
                <w:sz w:val="24"/>
                <w:szCs w:val="24"/>
                <w:highlight w:val="none"/>
              </w:rPr>
              <w:t>处理站污泥</w:t>
            </w:r>
            <w:r>
              <w:rPr>
                <w:rFonts w:hint="eastAsia" w:cs="Times New Roman"/>
                <w:color w:val="000000" w:themeColor="text1"/>
                <w:sz w:val="24"/>
                <w:szCs w:val="24"/>
                <w:highlight w:val="none"/>
                <w:lang w:eastAsia="zh-CN"/>
              </w:rPr>
              <w:t>、</w:t>
            </w:r>
            <w:r>
              <w:rPr>
                <w:rFonts w:hint="eastAsia" w:cs="Times New Roman"/>
                <w:color w:val="000000" w:themeColor="text1"/>
                <w:sz w:val="24"/>
                <w:szCs w:val="24"/>
                <w:highlight w:val="none"/>
                <w:lang w:val="en-US" w:eastAsia="zh-CN"/>
              </w:rPr>
              <w:t>栅渣</w:t>
            </w:r>
            <w:r>
              <w:rPr>
                <w:rFonts w:hint="default" w:ascii="Times New Roman" w:hAnsi="Times New Roman" w:eastAsia="宋体" w:cs="Times New Roman"/>
                <w:color w:val="000000" w:themeColor="text1"/>
                <w:sz w:val="24"/>
                <w:szCs w:val="24"/>
                <w:highlight w:val="none"/>
              </w:rPr>
              <w:t>、医疗废物</w:t>
            </w:r>
            <w:r>
              <w:rPr>
                <w:rFonts w:hint="default" w:ascii="Times New Roman" w:hAnsi="Times New Roman" w:cs="Times New Roman"/>
                <w:color w:val="000000" w:themeColor="text1"/>
                <w:sz w:val="24"/>
                <w:szCs w:val="24"/>
                <w:highlight w:val="none"/>
                <w:lang w:eastAsia="zh-CN"/>
              </w:rPr>
              <w:t>、未污染的一次性塑料输液瓶（袋）、</w:t>
            </w:r>
            <w:r>
              <w:rPr>
                <w:rFonts w:hint="eastAsia" w:cs="Times New Roman"/>
                <w:color w:val="000000" w:themeColor="text1"/>
                <w:sz w:val="24"/>
                <w:szCs w:val="24"/>
                <w:highlight w:val="none"/>
                <w:lang w:val="en-US" w:eastAsia="zh-CN"/>
              </w:rPr>
              <w:t>废紫外灯管、</w:t>
            </w:r>
            <w:r>
              <w:rPr>
                <w:rFonts w:hint="default" w:ascii="Times New Roman" w:hAnsi="Times New Roman" w:cs="Times New Roman"/>
                <w:color w:val="000000" w:themeColor="text1"/>
                <w:sz w:val="24"/>
                <w:szCs w:val="24"/>
                <w:highlight w:val="none"/>
                <w:lang w:val="en-US" w:eastAsia="zh-CN"/>
              </w:rPr>
              <w:t>废活性炭</w:t>
            </w:r>
            <w:r>
              <w:rPr>
                <w:rFonts w:hint="eastAsia" w:cs="Times New Roman"/>
                <w:color w:val="000000" w:themeColor="text1"/>
                <w:sz w:val="24"/>
                <w:szCs w:val="24"/>
                <w:highlight w:val="none"/>
                <w:lang w:val="en-US" w:eastAsia="zh-CN"/>
              </w:rPr>
              <w:t>、废包装材料</w:t>
            </w:r>
            <w:r>
              <w:rPr>
                <w:rFonts w:hint="default" w:ascii="Times New Roman" w:hAnsi="Times New Roman" w:eastAsia="宋体" w:cs="Times New Roman"/>
                <w:color w:val="000000" w:themeColor="text1"/>
                <w:sz w:val="24"/>
                <w:szCs w:val="24"/>
                <w:highlight w:val="none"/>
              </w:rPr>
              <w:t>。</w:t>
            </w:r>
            <w:r>
              <w:rPr>
                <w:rFonts w:hint="default" w:ascii="Times New Roman" w:hAnsi="Times New Roman" w:eastAsia="宋体" w:cs="Times New Roman"/>
                <w:sz w:val="24"/>
                <w:szCs w:val="24"/>
              </w:rPr>
              <w:t>本项目固体废物产生情况如下。</w:t>
            </w:r>
          </w:p>
          <w:p w14:paraId="6EAA1C6B">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（1）生活垃圾</w:t>
            </w:r>
          </w:p>
          <w:p w14:paraId="3FA8BE30">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根据</w:t>
            </w:r>
            <w:r>
              <w:rPr>
                <w:rFonts w:hint="default" w:ascii="Times New Roman" w:hAnsi="Times New Roman" w:eastAsia="宋体" w:cs="Times New Roman"/>
                <w:sz w:val="24"/>
                <w:szCs w:val="24"/>
                <w:highlight w:val="none"/>
                <w:lang w:val="en-US" w:eastAsia="zh-CN"/>
              </w:rPr>
              <w:t>建设单位提供资料及类比同类型医院，本项目</w:t>
            </w:r>
            <w:r>
              <w:rPr>
                <w:rFonts w:hint="default" w:ascii="Times New Roman" w:hAnsi="Times New Roman" w:eastAsia="宋体" w:cs="Times New Roman"/>
                <w:sz w:val="24"/>
                <w:szCs w:val="24"/>
                <w:highlight w:val="none"/>
              </w:rPr>
              <w:t>住院病人按照每病床每日产生生活垃圾</w:t>
            </w:r>
            <w:r>
              <w:rPr>
                <w:rFonts w:hint="default" w:ascii="Times New Roman" w:hAnsi="Times New Roman" w:cs="Times New Roman"/>
                <w:sz w:val="24"/>
                <w:szCs w:val="24"/>
                <w:highlight w:val="none"/>
                <w:lang w:val="en-US" w:eastAsia="zh-CN"/>
              </w:rPr>
              <w:t>1.0</w:t>
            </w:r>
            <w:r>
              <w:rPr>
                <w:rFonts w:hint="default" w:ascii="Times New Roman" w:hAnsi="Times New Roman" w:eastAsia="宋体" w:cs="Times New Roman"/>
                <w:sz w:val="24"/>
                <w:szCs w:val="24"/>
                <w:highlight w:val="none"/>
              </w:rPr>
              <w:t>kg计，按日最大住院人</w:t>
            </w:r>
            <w:r>
              <w:rPr>
                <w:rFonts w:hint="default" w:ascii="Times New Roman" w:hAnsi="Times New Roman" w:eastAsia="宋体" w:cs="Times New Roman"/>
                <w:color w:val="000000" w:themeColor="text1"/>
                <w:sz w:val="24"/>
                <w:szCs w:val="24"/>
                <w:highlight w:val="none"/>
              </w:rPr>
              <w:t>数</w:t>
            </w:r>
            <w:r>
              <w:rPr>
                <w:rFonts w:hint="default" w:ascii="Times New Roman" w:hAnsi="Times New Roman" w:cs="Times New Roman"/>
                <w:color w:val="000000" w:themeColor="text1"/>
                <w:sz w:val="24"/>
                <w:szCs w:val="24"/>
                <w:highlight w:val="none"/>
                <w:lang w:val="en-US" w:eastAsia="zh-CN"/>
              </w:rPr>
              <w:t>360</w:t>
            </w:r>
            <w:r>
              <w:rPr>
                <w:rFonts w:hint="default" w:ascii="Times New Roman" w:hAnsi="Times New Roman" w:eastAsia="宋体" w:cs="Times New Roman"/>
                <w:color w:val="000000" w:themeColor="text1"/>
                <w:sz w:val="24"/>
                <w:szCs w:val="24"/>
                <w:highlight w:val="none"/>
              </w:rPr>
              <w:t>人</w:t>
            </w:r>
            <w:r>
              <w:rPr>
                <w:rFonts w:hint="default" w:ascii="Times New Roman" w:hAnsi="Times New Roman" w:eastAsia="宋体" w:cs="Times New Roman"/>
                <w:sz w:val="24"/>
                <w:szCs w:val="24"/>
                <w:highlight w:val="none"/>
              </w:rPr>
              <w:t>计，产生生活垃圾</w:t>
            </w:r>
            <w:r>
              <w:rPr>
                <w:rFonts w:hint="default" w:ascii="Times New Roman" w:hAnsi="Times New Roman" w:cs="Times New Roman"/>
                <w:sz w:val="24"/>
                <w:szCs w:val="24"/>
                <w:highlight w:val="none"/>
                <w:lang w:val="en-US" w:eastAsia="zh-CN"/>
              </w:rPr>
              <w:t>0.36</w:t>
            </w:r>
            <w:r>
              <w:rPr>
                <w:rFonts w:hint="default" w:ascii="Times New Roman" w:hAnsi="Times New Roman" w:eastAsia="宋体" w:cs="Times New Roman"/>
                <w:sz w:val="24"/>
                <w:szCs w:val="24"/>
                <w:highlight w:val="none"/>
              </w:rPr>
              <w:t>t/d；医院员工</w:t>
            </w:r>
            <w:r>
              <w:rPr>
                <w:rFonts w:hint="default" w:ascii="Times New Roman" w:hAnsi="Times New Roman" w:cs="Times New Roman"/>
                <w:color w:val="000000" w:themeColor="text1"/>
                <w:sz w:val="24"/>
                <w:szCs w:val="24"/>
                <w:highlight w:val="none"/>
                <w:lang w:val="en-US" w:eastAsia="zh-CN"/>
              </w:rPr>
              <w:t>240</w:t>
            </w:r>
            <w:r>
              <w:rPr>
                <w:rFonts w:hint="default" w:ascii="Times New Roman" w:hAnsi="Times New Roman" w:eastAsia="宋体" w:cs="Times New Roman"/>
                <w:color w:val="000000" w:themeColor="text1"/>
                <w:sz w:val="24"/>
                <w:szCs w:val="24"/>
                <w:highlight w:val="none"/>
              </w:rPr>
              <w:t>人，</w:t>
            </w:r>
            <w:r>
              <w:rPr>
                <w:rFonts w:hint="default" w:ascii="Times New Roman" w:hAnsi="Times New Roman" w:eastAsia="宋体" w:cs="Times New Roman"/>
                <w:sz w:val="24"/>
                <w:szCs w:val="24"/>
                <w:highlight w:val="none"/>
              </w:rPr>
              <w:t>每人每日产生生活垃圾按0.</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kg计，则产生生活垃圾</w:t>
            </w:r>
            <w:r>
              <w:rPr>
                <w:rFonts w:hint="default" w:ascii="Times New Roman" w:hAnsi="Times New Roman" w:cs="Times New Roman"/>
                <w:sz w:val="24"/>
                <w:szCs w:val="24"/>
                <w:highlight w:val="none"/>
                <w:lang w:val="en-US" w:eastAsia="zh-CN"/>
              </w:rPr>
              <w:t>0.12</w:t>
            </w:r>
            <w:r>
              <w:rPr>
                <w:rFonts w:hint="default" w:ascii="Times New Roman" w:hAnsi="Times New Roman" w:eastAsia="宋体" w:cs="Times New Roman"/>
                <w:sz w:val="24"/>
                <w:szCs w:val="24"/>
                <w:highlight w:val="none"/>
              </w:rPr>
              <w:t>t/d；门诊垃圾按每人每日产生0.</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rPr>
              <w:t>kg 计，门诊人数按</w:t>
            </w:r>
            <w:r>
              <w:rPr>
                <w:rFonts w:hint="default" w:ascii="Times New Roman" w:hAnsi="Times New Roman" w:cs="Times New Roman"/>
                <w:sz w:val="24"/>
                <w:szCs w:val="24"/>
                <w:highlight w:val="none"/>
                <w:lang w:val="en-US" w:eastAsia="zh-CN"/>
              </w:rPr>
              <w:t>800</w:t>
            </w:r>
            <w:r>
              <w:rPr>
                <w:rFonts w:hint="default" w:ascii="Times New Roman" w:hAnsi="Times New Roman" w:eastAsia="宋体" w:cs="Times New Roman"/>
                <w:sz w:val="24"/>
                <w:szCs w:val="24"/>
                <w:highlight w:val="none"/>
              </w:rPr>
              <w:t>人/d，则产生生活垃圾</w:t>
            </w:r>
            <w:r>
              <w:rPr>
                <w:rFonts w:hint="default" w:ascii="Times New Roman" w:hAnsi="Times New Roman" w:eastAsia="宋体" w:cs="Times New Roman"/>
                <w:sz w:val="24"/>
                <w:szCs w:val="24"/>
                <w:highlight w:val="none"/>
                <w:lang w:val="en-US" w:eastAsia="zh-CN"/>
              </w:rPr>
              <w:t>0.1</w:t>
            </w:r>
            <w:r>
              <w:rPr>
                <w:rFonts w:hint="default"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rPr>
              <w:t>t/d</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项目</w:t>
            </w:r>
            <w:r>
              <w:rPr>
                <w:rFonts w:hint="default" w:ascii="Times New Roman" w:hAnsi="Times New Roman" w:eastAsia="宋体" w:cs="Times New Roman"/>
                <w:sz w:val="24"/>
                <w:szCs w:val="24"/>
                <w:highlight w:val="none"/>
              </w:rPr>
              <w:t>共产生生活垃圾</w:t>
            </w:r>
            <w:r>
              <w:rPr>
                <w:rFonts w:hint="default" w:ascii="Times New Roman" w:hAnsi="Times New Roman" w:cs="Times New Roman"/>
                <w:sz w:val="24"/>
                <w:szCs w:val="24"/>
                <w:highlight w:val="none"/>
                <w:lang w:val="en-US" w:eastAsia="zh-CN"/>
              </w:rPr>
              <w:t>0.64</w:t>
            </w:r>
            <w:r>
              <w:rPr>
                <w:rFonts w:hint="default" w:ascii="Times New Roman" w:hAnsi="Times New Roman" w:eastAsia="宋体" w:cs="Times New Roman"/>
                <w:sz w:val="24"/>
                <w:szCs w:val="24"/>
                <w:highlight w:val="none"/>
              </w:rPr>
              <w:t>t/d，</w:t>
            </w:r>
            <w:r>
              <w:rPr>
                <w:rFonts w:hint="default" w:ascii="Times New Roman" w:hAnsi="Times New Roman" w:cs="Times New Roman"/>
                <w:sz w:val="24"/>
                <w:szCs w:val="24"/>
                <w:highlight w:val="none"/>
                <w:lang w:val="en-US" w:eastAsia="zh-CN"/>
              </w:rPr>
              <w:t>233.6</w:t>
            </w:r>
            <w:r>
              <w:rPr>
                <w:rFonts w:hint="default" w:ascii="Times New Roman" w:hAnsi="Times New Roman" w:eastAsia="宋体" w:cs="Times New Roman"/>
                <w:sz w:val="24"/>
                <w:szCs w:val="24"/>
                <w:highlight w:val="none"/>
              </w:rPr>
              <w:t>t</w:t>
            </w:r>
            <w:r>
              <w:rPr>
                <w:rFonts w:hint="default" w:ascii="Times New Roman" w:hAnsi="Times New Roman" w:eastAsia="宋体" w:cs="Times New Roman"/>
                <w:sz w:val="24"/>
                <w:szCs w:val="24"/>
              </w:rPr>
              <w:t>/a。</w:t>
            </w:r>
          </w:p>
          <w:p w14:paraId="3764626D">
            <w:pPr>
              <w:widowControl/>
              <w:spacing w:line="360" w:lineRule="auto"/>
              <w:ind w:firstLine="480" w:firstLineChars="200"/>
              <w:jc w:val="left"/>
              <w:rPr>
                <w:rFonts w:hint="default" w:ascii="Times New Roman" w:hAnsi="Times New Roman" w:eastAsia="宋体" w:cs="Times New Roman"/>
                <w:color w:val="000000" w:themeColor="text1"/>
                <w:sz w:val="24"/>
                <w:szCs w:val="24"/>
                <w:lang w:val="en-US" w:eastAsia="zh-CN"/>
              </w:rPr>
            </w:pPr>
            <w:r>
              <w:rPr>
                <w:rFonts w:hint="eastAsia" w:cs="Times New Roman"/>
                <w:color w:val="000000" w:themeColor="text1"/>
                <w:sz w:val="24"/>
                <w:szCs w:val="24"/>
                <w:lang w:eastAsia="zh-CN"/>
              </w:rPr>
              <w:t>（</w:t>
            </w:r>
            <w:r>
              <w:rPr>
                <w:rFonts w:hint="eastAsia" w:cs="Times New Roman"/>
                <w:color w:val="000000" w:themeColor="text1"/>
                <w:sz w:val="24"/>
                <w:szCs w:val="24"/>
                <w:lang w:val="en-US" w:eastAsia="zh-CN"/>
              </w:rPr>
              <w:t>2</w:t>
            </w:r>
            <w:r>
              <w:rPr>
                <w:rFonts w:hint="eastAsia" w:cs="Times New Roman"/>
                <w:color w:val="000000" w:themeColor="text1"/>
                <w:sz w:val="24"/>
                <w:szCs w:val="24"/>
                <w:lang w:eastAsia="zh-CN"/>
              </w:rPr>
              <w:t>）</w:t>
            </w:r>
            <w:r>
              <w:rPr>
                <w:rFonts w:hint="eastAsia" w:cs="Times New Roman"/>
                <w:color w:val="000000" w:themeColor="text1"/>
                <w:sz w:val="24"/>
                <w:szCs w:val="24"/>
                <w:lang w:val="en-US" w:eastAsia="zh-CN"/>
              </w:rPr>
              <w:t>废包装材料</w:t>
            </w:r>
          </w:p>
          <w:p w14:paraId="241F624E">
            <w:pPr>
              <w:widowControl/>
              <w:spacing w:line="360" w:lineRule="auto"/>
              <w:ind w:firstLine="480" w:firstLineChars="200"/>
              <w:jc w:val="left"/>
              <w:rPr>
                <w:rFonts w:hint="default" w:ascii="Times New Roman" w:hAnsi="Times New Roman" w:eastAsia="宋体" w:cs="Times New Roman"/>
                <w:color w:val="000000" w:themeColor="text1"/>
                <w:sz w:val="24"/>
                <w:szCs w:val="24"/>
                <w:lang w:val="en-US" w:eastAsia="zh-CN"/>
              </w:rPr>
            </w:pPr>
            <w:r>
              <w:rPr>
                <w:rFonts w:hint="eastAsia" w:cs="Times New Roman"/>
                <w:color w:val="000000" w:themeColor="text1"/>
                <w:sz w:val="24"/>
                <w:szCs w:val="24"/>
                <w:lang w:val="en-US" w:eastAsia="zh-CN"/>
              </w:rPr>
              <w:t>项目运行过程会产生少量废包装材料（主要为废纸箱），根据医院往年的运行情况，年产生量约0.2t/a，废包装材料属于可回收物，SW62可回收物，900-001-S62，集中收集暂存后外售给回收公司。</w:t>
            </w:r>
          </w:p>
          <w:p w14:paraId="576A0EA6">
            <w:pPr>
              <w:widowControl/>
              <w:spacing w:line="360" w:lineRule="auto"/>
              <w:ind w:firstLine="480" w:firstLineChars="200"/>
              <w:jc w:val="left"/>
              <w:rPr>
                <w:rFonts w:hint="default" w:ascii="Times New Roman" w:hAnsi="Times New Roman" w:eastAsia="宋体" w:cs="Times New Roman"/>
                <w:color w:val="000000" w:themeColor="text1"/>
                <w:sz w:val="24"/>
                <w:szCs w:val="24"/>
                <w:highlight w:val="none"/>
                <w:u w:val="none"/>
                <w:lang w:val="en-US" w:eastAsia="zh-CN"/>
              </w:rPr>
            </w:pPr>
            <w:r>
              <w:rPr>
                <w:rFonts w:hint="default" w:ascii="Times New Roman" w:hAnsi="Times New Roman" w:eastAsia="宋体" w:cs="Times New Roman"/>
                <w:color w:val="000000" w:themeColor="text1"/>
                <w:sz w:val="24"/>
                <w:szCs w:val="24"/>
              </w:rPr>
              <w:t>（</w:t>
            </w:r>
            <w:r>
              <w:rPr>
                <w:rFonts w:hint="eastAsia" w:cs="Times New Roman"/>
                <w:color w:val="000000" w:themeColor="text1"/>
                <w:sz w:val="24"/>
                <w:szCs w:val="24"/>
                <w:lang w:val="en-US" w:eastAsia="zh-CN"/>
              </w:rPr>
              <w:t>3</w:t>
            </w:r>
            <w:r>
              <w:rPr>
                <w:rFonts w:hint="default" w:ascii="Times New Roman" w:hAnsi="Times New Roman" w:eastAsia="宋体" w:cs="Times New Roman"/>
                <w:color w:val="000000" w:themeColor="text1"/>
                <w:sz w:val="24"/>
                <w:szCs w:val="24"/>
              </w:rPr>
              <w:t>）</w:t>
            </w:r>
            <w:r>
              <w:rPr>
                <w:rFonts w:hint="default" w:ascii="Times New Roman" w:hAnsi="Times New Roman" w:eastAsia="宋体" w:cs="Times New Roman"/>
                <w:color w:val="000000" w:themeColor="text1"/>
                <w:sz w:val="24"/>
                <w:szCs w:val="24"/>
                <w:highlight w:val="none"/>
                <w:u w:val="none"/>
              </w:rPr>
              <w:t>污水处理站污泥</w:t>
            </w:r>
            <w:r>
              <w:rPr>
                <w:rFonts w:hint="eastAsia" w:cs="Times New Roman"/>
                <w:color w:val="000000" w:themeColor="text1"/>
                <w:sz w:val="24"/>
                <w:szCs w:val="24"/>
                <w:highlight w:val="none"/>
                <w:u w:val="none"/>
                <w:lang w:eastAsia="zh-CN"/>
              </w:rPr>
              <w:t>、</w:t>
            </w:r>
            <w:r>
              <w:rPr>
                <w:rFonts w:hint="eastAsia" w:cs="Times New Roman"/>
                <w:color w:val="000000" w:themeColor="text1"/>
                <w:sz w:val="24"/>
                <w:szCs w:val="24"/>
                <w:highlight w:val="none"/>
                <w:u w:val="none"/>
                <w:lang w:val="en-US" w:eastAsia="zh-CN"/>
              </w:rPr>
              <w:t>栅渣</w:t>
            </w:r>
          </w:p>
          <w:p w14:paraId="49134394">
            <w:pPr>
              <w:widowControl/>
              <w:spacing w:line="360" w:lineRule="auto"/>
              <w:ind w:firstLine="480" w:firstLineChars="200"/>
              <w:jc w:val="left"/>
              <w:rPr>
                <w:rFonts w:hint="default" w:ascii="Times New Roman" w:hAnsi="Times New Roman" w:eastAsia="宋体" w:cs="Times New Roman"/>
                <w:color w:val="000000" w:themeColor="text1"/>
                <w:sz w:val="24"/>
                <w:szCs w:val="24"/>
                <w:highlight w:val="none"/>
                <w:u w:val="none"/>
                <w:lang w:val="en-US" w:eastAsia="zh-CN"/>
              </w:rPr>
            </w:pPr>
            <w:r>
              <w:rPr>
                <w:rFonts w:hint="default" w:ascii="Times New Roman" w:hAnsi="Times New Roman" w:cs="Times New Roman"/>
                <w:color w:val="000000" w:themeColor="text1"/>
                <w:sz w:val="24"/>
                <w:szCs w:val="24"/>
                <w:highlight w:val="none"/>
                <w:u w:val="none"/>
                <w:lang w:val="en-US" w:eastAsia="zh-CN"/>
              </w:rPr>
              <w:t>栅渣是格栅清理出来的固体废物，根据《污水处理厂工艺设计手册</w:t>
            </w:r>
            <w:r>
              <w:rPr>
                <w:rFonts w:hint="eastAsia" w:cs="Times New Roman"/>
                <w:color w:val="000000" w:themeColor="text1"/>
                <w:sz w:val="24"/>
                <w:szCs w:val="24"/>
                <w:highlight w:val="none"/>
                <w:u w:val="none"/>
                <w:lang w:val="en-US" w:eastAsia="zh-CN"/>
              </w:rPr>
              <w:t>》</w:t>
            </w:r>
            <w:r>
              <w:rPr>
                <w:rFonts w:hint="default" w:ascii="Times New Roman" w:hAnsi="Times New Roman" w:cs="Times New Roman"/>
                <w:color w:val="000000" w:themeColor="text1"/>
                <w:sz w:val="24"/>
                <w:szCs w:val="24"/>
                <w:highlight w:val="none"/>
                <w:u w:val="none"/>
                <w:lang w:val="en-US" w:eastAsia="zh-CN"/>
              </w:rPr>
              <w:t>（高俊发、王社平编，2003年）中的产污系数进行核算，栅渣产生系数</w:t>
            </w:r>
            <w:r>
              <w:rPr>
                <w:rFonts w:hint="eastAsia" w:cs="Times New Roman"/>
                <w:color w:val="000000" w:themeColor="text1"/>
                <w:sz w:val="24"/>
                <w:szCs w:val="24"/>
                <w:highlight w:val="none"/>
                <w:u w:val="none"/>
                <w:lang w:val="en-US" w:eastAsia="zh-CN"/>
              </w:rPr>
              <w:t>为</w:t>
            </w:r>
            <w:r>
              <w:rPr>
                <w:rFonts w:hint="default" w:ascii="Times New Roman" w:hAnsi="Times New Roman" w:cs="Times New Roman"/>
                <w:color w:val="000000" w:themeColor="text1"/>
                <w:sz w:val="24"/>
                <w:szCs w:val="24"/>
                <w:highlight w:val="none"/>
                <w:u w:val="none"/>
                <w:lang w:val="en-US" w:eastAsia="zh-CN"/>
              </w:rPr>
              <w:t>0.05~0.10kg/1000m</w:t>
            </w:r>
            <w:r>
              <w:rPr>
                <w:rFonts w:hint="default" w:ascii="Times New Roman" w:hAnsi="Times New Roman" w:cs="Times New Roman"/>
                <w:color w:val="000000" w:themeColor="text1"/>
                <w:sz w:val="24"/>
                <w:szCs w:val="24"/>
                <w:highlight w:val="none"/>
                <w:u w:val="none"/>
                <w:vertAlign w:val="superscript"/>
                <w:lang w:val="en-US" w:eastAsia="zh-CN"/>
              </w:rPr>
              <w:t>3</w:t>
            </w:r>
            <w:r>
              <w:rPr>
                <w:rFonts w:hint="eastAsia" w:cs="Times New Roman"/>
                <w:color w:val="000000" w:themeColor="text1"/>
                <w:sz w:val="24"/>
                <w:szCs w:val="24"/>
                <w:highlight w:val="none"/>
                <w:u w:val="none"/>
                <w:vertAlign w:val="baseline"/>
                <w:lang w:val="en-US" w:eastAsia="zh-CN"/>
              </w:rPr>
              <w:t>污水，本环评取0.075</w:t>
            </w:r>
            <w:r>
              <w:rPr>
                <w:rFonts w:hint="default" w:ascii="Times New Roman" w:hAnsi="Times New Roman" w:cs="Times New Roman"/>
                <w:color w:val="000000" w:themeColor="text1"/>
                <w:sz w:val="24"/>
                <w:szCs w:val="24"/>
                <w:highlight w:val="none"/>
                <w:u w:val="none"/>
                <w:lang w:val="en-US" w:eastAsia="zh-CN"/>
              </w:rPr>
              <w:t>kg/1000m</w:t>
            </w:r>
            <w:r>
              <w:rPr>
                <w:rFonts w:hint="default" w:ascii="Times New Roman" w:hAnsi="Times New Roman" w:cs="Times New Roman"/>
                <w:color w:val="000000" w:themeColor="text1"/>
                <w:sz w:val="24"/>
                <w:szCs w:val="24"/>
                <w:highlight w:val="none"/>
                <w:u w:val="none"/>
                <w:vertAlign w:val="superscript"/>
                <w:lang w:val="en-US" w:eastAsia="zh-CN"/>
              </w:rPr>
              <w:t>3</w:t>
            </w:r>
            <w:r>
              <w:rPr>
                <w:rFonts w:hint="eastAsia" w:cs="Times New Roman"/>
                <w:color w:val="000000" w:themeColor="text1"/>
                <w:sz w:val="24"/>
                <w:szCs w:val="24"/>
                <w:highlight w:val="none"/>
                <w:u w:val="none"/>
                <w:vertAlign w:val="baseline"/>
                <w:lang w:val="en-US" w:eastAsia="zh-CN"/>
              </w:rPr>
              <w:t>，项目年处理污水量58984t/a，则栅渣产生量为4.43t/a（0.012t/d），栅渣属于危险废物，</w:t>
            </w:r>
            <w:r>
              <w:rPr>
                <w:rFonts w:hint="default" w:ascii="Times New Roman" w:hAnsi="Times New Roman" w:eastAsia="宋体" w:cs="Times New Roman"/>
                <w:color w:val="000000" w:themeColor="text1"/>
                <w:sz w:val="24"/>
                <w:szCs w:val="24"/>
                <w:highlight w:val="none"/>
                <w:u w:val="none"/>
              </w:rPr>
              <w:t>HW01医疗废物、感染性废物841-001-01</w:t>
            </w:r>
            <w:r>
              <w:rPr>
                <w:rFonts w:hint="eastAsia" w:cs="Times New Roman"/>
                <w:color w:val="000000" w:themeColor="text1"/>
                <w:sz w:val="24"/>
                <w:szCs w:val="24"/>
                <w:highlight w:val="none"/>
                <w:u w:val="none"/>
                <w:lang w:eastAsia="zh-CN"/>
              </w:rPr>
              <w:t>，</w:t>
            </w:r>
            <w:r>
              <w:rPr>
                <w:rFonts w:hint="eastAsia" w:cs="Times New Roman"/>
                <w:color w:val="000000" w:themeColor="text1"/>
                <w:sz w:val="24"/>
                <w:szCs w:val="24"/>
                <w:highlight w:val="none"/>
                <w:u w:val="none"/>
                <w:lang w:val="en-US" w:eastAsia="zh-CN"/>
              </w:rPr>
              <w:t>栅渣采用熟石灰消毒后用带内衬膜的封口袋包装，</w:t>
            </w:r>
            <w:r>
              <w:rPr>
                <w:rFonts w:hint="default" w:ascii="Times New Roman" w:hAnsi="Times New Roman" w:cs="Times New Roman"/>
                <w:color w:val="000000" w:themeColor="text1"/>
                <w:sz w:val="24"/>
                <w:szCs w:val="24"/>
                <w:highlight w:val="none"/>
                <w:u w:val="none"/>
                <w:lang w:val="en-US" w:eastAsia="zh-CN"/>
              </w:rPr>
              <w:t>暂存</w:t>
            </w:r>
            <w:r>
              <w:rPr>
                <w:rFonts w:hint="eastAsia" w:cs="Times New Roman"/>
                <w:color w:val="000000" w:themeColor="text1"/>
                <w:sz w:val="24"/>
                <w:szCs w:val="24"/>
                <w:highlight w:val="none"/>
                <w:u w:val="none"/>
                <w:lang w:val="en-US" w:eastAsia="zh-CN"/>
              </w:rPr>
              <w:t>于</w:t>
            </w:r>
            <w:r>
              <w:rPr>
                <w:rFonts w:hint="default" w:ascii="Times New Roman" w:hAnsi="Times New Roman" w:cs="Times New Roman"/>
                <w:color w:val="000000" w:themeColor="text1"/>
                <w:sz w:val="24"/>
                <w:szCs w:val="24"/>
                <w:highlight w:val="none"/>
                <w:u w:val="none"/>
                <w:lang w:val="en-US" w:eastAsia="zh-CN"/>
              </w:rPr>
              <w:t>危废暂存间中，</w:t>
            </w:r>
            <w:r>
              <w:rPr>
                <w:rFonts w:hint="eastAsia" w:cs="Times New Roman"/>
                <w:color w:val="000000" w:themeColor="text1"/>
                <w:sz w:val="24"/>
                <w:szCs w:val="24"/>
                <w:highlight w:val="none"/>
                <w:u w:val="none"/>
                <w:lang w:val="en-US" w:eastAsia="zh-CN"/>
              </w:rPr>
              <w:t>与医疗废物一同</w:t>
            </w:r>
            <w:r>
              <w:rPr>
                <w:rFonts w:hint="default" w:ascii="Times New Roman" w:hAnsi="Times New Roman" w:cs="Times New Roman"/>
                <w:color w:val="000000" w:themeColor="text1"/>
                <w:sz w:val="24"/>
                <w:szCs w:val="24"/>
                <w:u w:val="none"/>
                <w:lang w:val="en-US" w:eastAsia="zh-CN"/>
              </w:rPr>
              <w:t>委托岳阳市方向固废安全处置有限公司无害化处置</w:t>
            </w:r>
            <w:r>
              <w:rPr>
                <w:rFonts w:hint="eastAsia" w:cs="Times New Roman"/>
                <w:color w:val="000000" w:themeColor="text1"/>
                <w:sz w:val="24"/>
                <w:szCs w:val="24"/>
                <w:u w:val="none"/>
                <w:lang w:val="en-US" w:eastAsia="zh-CN"/>
              </w:rPr>
              <w:t>，栅渣每天清理，与医疗废物一起每2天清运一次。</w:t>
            </w:r>
          </w:p>
          <w:p w14:paraId="5E4076BC">
            <w:pPr>
              <w:widowControl/>
              <w:spacing w:line="360" w:lineRule="auto"/>
              <w:ind w:firstLine="480" w:firstLineChars="200"/>
              <w:jc w:val="left"/>
              <w:rPr>
                <w:rFonts w:hint="default" w:ascii="Times New Roman" w:hAnsi="Times New Roman" w:eastAsia="宋体" w:cs="Times New Roman"/>
                <w:color w:val="000000" w:themeColor="text1"/>
                <w:sz w:val="24"/>
                <w:szCs w:val="24"/>
                <w:highlight w:val="none"/>
                <w:u w:val="none"/>
              </w:rPr>
            </w:pPr>
            <w:r>
              <w:rPr>
                <w:rFonts w:hint="default" w:ascii="Times New Roman" w:hAnsi="Times New Roman" w:cs="Times New Roman"/>
                <w:color w:val="000000" w:themeColor="text1"/>
                <w:sz w:val="24"/>
                <w:szCs w:val="24"/>
                <w:highlight w:val="none"/>
                <w:u w:val="none"/>
                <w:lang w:val="en-US" w:eastAsia="zh-CN"/>
              </w:rPr>
              <w:t>医院污水处理过程产生的污泥量与原水的悬浮固体及处理工艺有关。</w:t>
            </w:r>
            <w:r>
              <w:rPr>
                <w:rFonts w:hint="eastAsia" w:cs="Times New Roman"/>
                <w:color w:val="000000" w:themeColor="text1"/>
                <w:sz w:val="24"/>
                <w:szCs w:val="24"/>
                <w:highlight w:val="none"/>
                <w:u w:val="none"/>
                <w:lang w:val="en-US" w:eastAsia="zh-CN"/>
              </w:rPr>
              <w:t>根据工程经验，</w:t>
            </w:r>
            <w:r>
              <w:rPr>
                <w:rFonts w:hint="default" w:ascii="Times New Roman" w:hAnsi="Times New Roman" w:cs="Times New Roman"/>
                <w:color w:val="000000" w:themeColor="text1"/>
                <w:sz w:val="24"/>
                <w:szCs w:val="24"/>
                <w:highlight w:val="none"/>
                <w:u w:val="none"/>
                <w:lang w:val="en-US" w:eastAsia="zh-CN"/>
              </w:rPr>
              <w:t>污水处理站产生的污泥量一般每立方米污水产泥量约有0.15kg（含水率9</w:t>
            </w:r>
            <w:r>
              <w:rPr>
                <w:rFonts w:hint="eastAsia" w:cs="Times New Roman"/>
                <w:color w:val="000000" w:themeColor="text1"/>
                <w:sz w:val="24"/>
                <w:szCs w:val="24"/>
                <w:highlight w:val="none"/>
                <w:u w:val="none"/>
                <w:lang w:val="en-US" w:eastAsia="zh-CN"/>
              </w:rPr>
              <w:t>8</w:t>
            </w:r>
            <w:r>
              <w:rPr>
                <w:rFonts w:hint="default" w:ascii="Times New Roman" w:hAnsi="Times New Roman" w:cs="Times New Roman"/>
                <w:color w:val="000000" w:themeColor="text1"/>
                <w:sz w:val="24"/>
                <w:szCs w:val="24"/>
                <w:highlight w:val="none"/>
                <w:u w:val="none"/>
                <w:lang w:val="en-US" w:eastAsia="zh-CN"/>
              </w:rPr>
              <w:t>%）</w:t>
            </w:r>
            <w:r>
              <w:rPr>
                <w:rFonts w:hint="eastAsia" w:cs="Times New Roman"/>
                <w:color w:val="000000" w:themeColor="text1"/>
                <w:sz w:val="24"/>
                <w:szCs w:val="24"/>
                <w:highlight w:val="none"/>
                <w:u w:val="none"/>
                <w:lang w:val="en-US" w:eastAsia="zh-CN"/>
              </w:rPr>
              <w:t>，根据工程分析可知，本项目废水量为58984t/a，则污泥产生量为8.85t/a（含水率98%），经脱水后污泥含水率达到70%以下，计算含水率70%的污泥产生量为：0.59t/a</w:t>
            </w:r>
            <w:r>
              <w:rPr>
                <w:rFonts w:hint="default" w:ascii="Times New Roman" w:hAnsi="Times New Roman" w:eastAsia="宋体" w:cs="Times New Roman"/>
                <w:color w:val="000000" w:themeColor="text1"/>
                <w:sz w:val="24"/>
                <w:szCs w:val="24"/>
                <w:highlight w:val="none"/>
                <w:u w:val="none"/>
              </w:rPr>
              <w:t>。</w:t>
            </w:r>
            <w:r>
              <w:rPr>
                <w:rFonts w:hint="eastAsia" w:cs="Times New Roman"/>
                <w:color w:val="000000" w:themeColor="text1"/>
                <w:sz w:val="24"/>
                <w:szCs w:val="24"/>
                <w:highlight w:val="none"/>
                <w:u w:val="none"/>
                <w:lang w:val="en-US" w:eastAsia="zh-CN"/>
              </w:rPr>
              <w:t>污泥</w:t>
            </w:r>
            <w:r>
              <w:rPr>
                <w:rFonts w:hint="default" w:ascii="Times New Roman" w:hAnsi="Times New Roman" w:eastAsia="宋体" w:cs="Times New Roman"/>
                <w:color w:val="000000" w:themeColor="text1"/>
                <w:sz w:val="24"/>
                <w:szCs w:val="24"/>
                <w:highlight w:val="none"/>
                <w:u w:val="none"/>
              </w:rPr>
              <w:t>属于危险废物，HW01医疗废物、感染性废物841-001-01。</w:t>
            </w:r>
            <w:r>
              <w:rPr>
                <w:rFonts w:hint="eastAsia" w:cs="Times New Roman"/>
                <w:color w:val="000000" w:themeColor="text1"/>
                <w:sz w:val="24"/>
                <w:szCs w:val="24"/>
                <w:highlight w:val="none"/>
                <w:u w:val="none"/>
                <w:lang w:val="en-US" w:eastAsia="zh-CN"/>
              </w:rPr>
              <w:t>本项目</w:t>
            </w:r>
            <w:r>
              <w:rPr>
                <w:rFonts w:hint="default" w:ascii="Times New Roman" w:hAnsi="Times New Roman" w:cs="Times New Roman"/>
                <w:color w:val="000000" w:themeColor="text1"/>
                <w:sz w:val="24"/>
                <w:szCs w:val="24"/>
                <w:highlight w:val="none"/>
                <w:u w:val="none"/>
                <w:lang w:val="en-US" w:eastAsia="zh-CN"/>
              </w:rPr>
              <w:t>委托专业的资质机构用污泥车</w:t>
            </w:r>
            <w:r>
              <w:rPr>
                <w:rFonts w:hint="eastAsia" w:cs="Times New Roman"/>
                <w:color w:val="000000" w:themeColor="text1"/>
                <w:sz w:val="24"/>
                <w:szCs w:val="24"/>
                <w:highlight w:val="none"/>
                <w:u w:val="none"/>
                <w:lang w:val="en-US" w:eastAsia="zh-CN"/>
              </w:rPr>
              <w:t>清掏、消毒、压滤</w:t>
            </w:r>
            <w:r>
              <w:rPr>
                <w:rFonts w:hint="default" w:ascii="Times New Roman" w:hAnsi="Times New Roman" w:cs="Times New Roman"/>
                <w:color w:val="000000" w:themeColor="text1"/>
                <w:sz w:val="24"/>
                <w:szCs w:val="24"/>
                <w:highlight w:val="none"/>
                <w:u w:val="none"/>
                <w:lang w:val="en-US" w:eastAsia="zh-CN"/>
              </w:rPr>
              <w:t>污泥</w:t>
            </w:r>
            <w:r>
              <w:rPr>
                <w:rFonts w:hint="eastAsia" w:cs="Times New Roman"/>
                <w:color w:val="000000" w:themeColor="text1"/>
                <w:sz w:val="24"/>
                <w:szCs w:val="24"/>
                <w:highlight w:val="none"/>
                <w:u w:val="none"/>
                <w:lang w:val="en-US" w:eastAsia="zh-CN"/>
              </w:rPr>
              <w:t>，</w:t>
            </w:r>
            <w:r>
              <w:rPr>
                <w:rFonts w:hint="default" w:ascii="Times New Roman" w:hAnsi="Times New Roman" w:eastAsia="宋体" w:cs="Times New Roman"/>
                <w:color w:val="000000" w:themeColor="text1"/>
                <w:sz w:val="24"/>
                <w:szCs w:val="24"/>
                <w:highlight w:val="none"/>
                <w:u w:val="none"/>
              </w:rPr>
              <w:t>根据《医疗机构水污染物排放标准</w:t>
            </w:r>
            <w:r>
              <w:rPr>
                <w:rFonts w:hint="eastAsia" w:cs="Times New Roman"/>
                <w:color w:val="000000" w:themeColor="text1"/>
                <w:sz w:val="24"/>
                <w:szCs w:val="24"/>
                <w:highlight w:val="none"/>
                <w:u w:val="none"/>
                <w:lang w:eastAsia="zh-CN"/>
              </w:rPr>
              <w:t>》</w:t>
            </w:r>
            <w:r>
              <w:rPr>
                <w:rFonts w:hint="default" w:ascii="Times New Roman" w:hAnsi="Times New Roman" w:eastAsia="宋体" w:cs="Times New Roman"/>
                <w:color w:val="000000" w:themeColor="text1"/>
                <w:sz w:val="24"/>
                <w:szCs w:val="24"/>
                <w:highlight w:val="none"/>
                <w:u w:val="none"/>
              </w:rPr>
              <w:t>（GB18466-</w:t>
            </w:r>
            <w:r>
              <w:rPr>
                <w:rFonts w:hint="eastAsia" w:cs="Times New Roman"/>
                <w:color w:val="000000" w:themeColor="text1"/>
                <w:sz w:val="24"/>
                <w:szCs w:val="24"/>
                <w:highlight w:val="none"/>
                <w:u w:val="none"/>
                <w:lang w:val="en-US" w:eastAsia="zh-CN"/>
              </w:rPr>
              <w:t xml:space="preserve"> </w:t>
            </w:r>
            <w:r>
              <w:rPr>
                <w:rFonts w:hint="default" w:ascii="Times New Roman" w:hAnsi="Times New Roman" w:eastAsia="宋体" w:cs="Times New Roman"/>
                <w:color w:val="000000" w:themeColor="text1"/>
                <w:sz w:val="24"/>
                <w:szCs w:val="24"/>
                <w:highlight w:val="none"/>
                <w:u w:val="none"/>
              </w:rPr>
              <w:t>2005）中有关污泥控制与处置的规定：污泥清掏前，需进行监测，确保满足表4中医疗机构污泥控制标准，粪大肠菌群数（MPN/g）≤100，蛔虫卵死亡率（%）≥95</w:t>
            </w:r>
            <w:r>
              <w:rPr>
                <w:rFonts w:hint="eastAsia" w:cs="Times New Roman"/>
                <w:color w:val="000000" w:themeColor="text1"/>
                <w:sz w:val="24"/>
                <w:szCs w:val="24"/>
                <w:highlight w:val="none"/>
                <w:u w:val="none"/>
                <w:lang w:eastAsia="zh-CN"/>
              </w:rPr>
              <w:t>。</w:t>
            </w:r>
            <w:r>
              <w:rPr>
                <w:rFonts w:hint="default" w:ascii="Times New Roman" w:hAnsi="Times New Roman" w:cs="Times New Roman"/>
                <w:color w:val="000000" w:themeColor="text1"/>
                <w:sz w:val="24"/>
                <w:szCs w:val="24"/>
                <w:highlight w:val="none"/>
                <w:u w:val="none"/>
                <w:lang w:val="en-US" w:eastAsia="zh-CN"/>
              </w:rPr>
              <w:t>压滤过程中产生的废水排入本污水站的调节池，压滤好的</w:t>
            </w:r>
            <w:r>
              <w:rPr>
                <w:rFonts w:hint="eastAsia" w:cs="Times New Roman"/>
                <w:color w:val="000000" w:themeColor="text1"/>
                <w:sz w:val="24"/>
                <w:szCs w:val="24"/>
                <w:highlight w:val="none"/>
                <w:u w:val="none"/>
                <w:lang w:val="en-US" w:eastAsia="zh-CN"/>
              </w:rPr>
              <w:t>污泥采用带内衬膜的封口袋包装，</w:t>
            </w:r>
            <w:r>
              <w:rPr>
                <w:rFonts w:hint="default" w:ascii="Times New Roman" w:hAnsi="Times New Roman" w:cs="Times New Roman"/>
                <w:color w:val="000000" w:themeColor="text1"/>
                <w:sz w:val="24"/>
                <w:szCs w:val="24"/>
                <w:highlight w:val="none"/>
                <w:u w:val="none"/>
                <w:lang w:val="en-US" w:eastAsia="zh-CN"/>
              </w:rPr>
              <w:t>暂存</w:t>
            </w:r>
            <w:r>
              <w:rPr>
                <w:rFonts w:hint="eastAsia" w:cs="Times New Roman"/>
                <w:color w:val="000000" w:themeColor="text1"/>
                <w:sz w:val="24"/>
                <w:szCs w:val="24"/>
                <w:highlight w:val="none"/>
                <w:u w:val="none"/>
                <w:lang w:val="en-US" w:eastAsia="zh-CN"/>
              </w:rPr>
              <w:t>于</w:t>
            </w:r>
            <w:r>
              <w:rPr>
                <w:rFonts w:hint="default" w:ascii="Times New Roman" w:hAnsi="Times New Roman" w:cs="Times New Roman"/>
                <w:color w:val="000000" w:themeColor="text1"/>
                <w:sz w:val="24"/>
                <w:szCs w:val="24"/>
                <w:highlight w:val="none"/>
                <w:u w:val="none"/>
                <w:lang w:val="en-US" w:eastAsia="zh-CN"/>
              </w:rPr>
              <w:t>危废暂存间中，</w:t>
            </w:r>
            <w:r>
              <w:rPr>
                <w:rFonts w:hint="eastAsia" w:cs="Times New Roman"/>
                <w:color w:val="000000" w:themeColor="text1"/>
                <w:sz w:val="24"/>
                <w:szCs w:val="24"/>
                <w:highlight w:val="none"/>
                <w:u w:val="none"/>
                <w:lang w:val="en-US" w:eastAsia="zh-CN"/>
              </w:rPr>
              <w:t>与医疗废物一同</w:t>
            </w:r>
            <w:r>
              <w:rPr>
                <w:rFonts w:hint="default" w:ascii="Times New Roman" w:hAnsi="Times New Roman" w:cs="Times New Roman"/>
                <w:color w:val="000000" w:themeColor="text1"/>
                <w:sz w:val="24"/>
                <w:szCs w:val="24"/>
                <w:u w:val="none"/>
                <w:lang w:val="en-US" w:eastAsia="zh-CN"/>
              </w:rPr>
              <w:t>委托岳阳市方向固废安全处置有限公司无害化处置</w:t>
            </w:r>
            <w:r>
              <w:rPr>
                <w:rFonts w:hint="eastAsia" w:cs="Times New Roman"/>
                <w:color w:val="000000" w:themeColor="text1"/>
                <w:sz w:val="24"/>
                <w:szCs w:val="24"/>
                <w:u w:val="none"/>
                <w:lang w:val="en-US" w:eastAsia="zh-CN"/>
              </w:rPr>
              <w:t>，污泥平均每年压滤3次，压滤后的污泥与医疗废物一同在2天内清运</w:t>
            </w:r>
            <w:r>
              <w:rPr>
                <w:rFonts w:hint="default" w:ascii="Times New Roman" w:hAnsi="Times New Roman" w:eastAsia="宋体" w:cs="Times New Roman"/>
                <w:color w:val="000000" w:themeColor="text1"/>
                <w:sz w:val="24"/>
                <w:szCs w:val="24"/>
                <w:highlight w:val="none"/>
                <w:u w:val="none"/>
              </w:rPr>
              <w:t>。</w:t>
            </w:r>
          </w:p>
          <w:p w14:paraId="45790213">
            <w:pPr>
              <w:widowControl/>
              <w:spacing w:line="360" w:lineRule="auto"/>
              <w:ind w:firstLine="480" w:firstLineChars="200"/>
              <w:jc w:val="left"/>
              <w:rPr>
                <w:rFonts w:hint="default" w:ascii="Times New Roman" w:hAnsi="Times New Roman" w:eastAsia="宋体" w:cs="Times New Roman"/>
                <w:color w:val="000000" w:themeColor="text1"/>
                <w:sz w:val="24"/>
                <w:szCs w:val="24"/>
                <w:u w:val="none"/>
              </w:rPr>
            </w:pPr>
            <w:r>
              <w:rPr>
                <w:rFonts w:hint="default" w:ascii="Times New Roman" w:hAnsi="Times New Roman" w:eastAsia="宋体" w:cs="Times New Roman"/>
                <w:sz w:val="24"/>
                <w:szCs w:val="24"/>
              </w:rPr>
              <w:t>（3）</w:t>
            </w:r>
            <w:r>
              <w:rPr>
                <w:rFonts w:hint="default" w:ascii="Times New Roman" w:hAnsi="Times New Roman" w:eastAsia="宋体" w:cs="Times New Roman"/>
                <w:color w:val="000000" w:themeColor="text1"/>
                <w:sz w:val="24"/>
                <w:szCs w:val="24"/>
                <w:u w:val="none"/>
              </w:rPr>
              <w:t>医疗废物</w:t>
            </w:r>
          </w:p>
          <w:p w14:paraId="2A895B8C">
            <w:pPr>
              <w:widowControl/>
              <w:spacing w:line="360" w:lineRule="auto"/>
              <w:ind w:firstLine="480" w:firstLineChars="200"/>
              <w:jc w:val="both"/>
              <w:rPr>
                <w:rFonts w:hint="default" w:ascii="Times New Roman" w:hAnsi="Times New Roman" w:cs="Times New Roman"/>
                <w:color w:val="auto"/>
                <w:sz w:val="24"/>
                <w:szCs w:val="24"/>
                <w:u w:val="none"/>
                <w:lang w:val="en-US" w:eastAsia="zh-CN"/>
              </w:rPr>
            </w:pPr>
            <w:r>
              <w:rPr>
                <w:rFonts w:hint="default" w:ascii="Times New Roman" w:hAnsi="Times New Roman" w:eastAsia="宋体" w:cs="Times New Roman"/>
                <w:color w:val="000000" w:themeColor="text1"/>
                <w:sz w:val="24"/>
                <w:szCs w:val="24"/>
                <w:u w:val="none"/>
              </w:rPr>
              <w:t>医疗废物来源广泛、</w:t>
            </w:r>
            <w:r>
              <w:rPr>
                <w:rFonts w:hint="eastAsia" w:cs="Times New Roman"/>
                <w:color w:val="000000" w:themeColor="text1"/>
                <w:sz w:val="24"/>
                <w:szCs w:val="24"/>
                <w:u w:val="none"/>
                <w:lang w:eastAsia="zh-CN"/>
              </w:rPr>
              <w:t>成分</w:t>
            </w:r>
            <w:r>
              <w:rPr>
                <w:rFonts w:hint="default" w:ascii="Times New Roman" w:hAnsi="Times New Roman" w:eastAsia="宋体" w:cs="Times New Roman"/>
                <w:color w:val="000000" w:themeColor="text1"/>
                <w:sz w:val="24"/>
                <w:szCs w:val="24"/>
                <w:u w:val="none"/>
              </w:rPr>
              <w:t>复杂，如各科室产生的医疗垃圾，以及化学试剂、过期药品、一次性医疗器具等。根据《第一次全国污染源普查城镇生活源产排污系数手册》</w:t>
            </w:r>
            <w:r>
              <w:rPr>
                <w:rFonts w:hint="default" w:ascii="Times New Roman" w:hAnsi="Times New Roman" w:cs="Times New Roman"/>
                <w:color w:val="000000" w:themeColor="text1"/>
                <w:sz w:val="24"/>
                <w:szCs w:val="24"/>
                <w:u w:val="none"/>
                <w:lang w:eastAsia="zh-CN"/>
              </w:rPr>
              <w:t>（</w:t>
            </w:r>
            <w:r>
              <w:rPr>
                <w:rFonts w:hint="default" w:ascii="Times New Roman" w:hAnsi="Times New Roman" w:eastAsia="宋体" w:cs="Times New Roman"/>
                <w:color w:val="000000" w:themeColor="text1"/>
                <w:sz w:val="24"/>
                <w:szCs w:val="24"/>
                <w:u w:val="none"/>
              </w:rPr>
              <w:t>国务院第一次全国污染源普查领导小组办公室，2008年3月</w:t>
            </w:r>
            <w:r>
              <w:rPr>
                <w:rFonts w:hint="default" w:ascii="Times New Roman" w:hAnsi="Times New Roman" w:cs="Times New Roman"/>
                <w:color w:val="000000" w:themeColor="text1"/>
                <w:sz w:val="24"/>
                <w:szCs w:val="24"/>
                <w:u w:val="none"/>
                <w:lang w:eastAsia="zh-CN"/>
              </w:rPr>
              <w:t>）</w:t>
            </w:r>
            <w:r>
              <w:rPr>
                <w:rFonts w:hint="default" w:ascii="Times New Roman" w:hAnsi="Times New Roman" w:eastAsia="宋体" w:cs="Times New Roman"/>
                <w:color w:val="000000" w:themeColor="text1"/>
                <w:sz w:val="24"/>
                <w:szCs w:val="24"/>
                <w:u w:val="none"/>
              </w:rPr>
              <w:t>第四分册医院污染物产生、排放系数，本项目</w:t>
            </w:r>
            <w:r>
              <w:rPr>
                <w:rFonts w:hint="default" w:ascii="Times New Roman" w:hAnsi="Times New Roman" w:cs="Times New Roman"/>
                <w:color w:val="000000" w:themeColor="text1"/>
                <w:sz w:val="24"/>
                <w:szCs w:val="24"/>
                <w:u w:val="none"/>
                <w:lang w:val="en-US" w:eastAsia="zh-CN"/>
              </w:rPr>
              <w:t>共设360张床位，</w:t>
            </w:r>
            <w:r>
              <w:rPr>
                <w:rFonts w:hint="default" w:ascii="Times New Roman" w:hAnsi="Times New Roman" w:eastAsia="宋体" w:cs="Times New Roman"/>
                <w:color w:val="000000" w:themeColor="text1"/>
                <w:sz w:val="24"/>
                <w:szCs w:val="24"/>
                <w:u w:val="none"/>
              </w:rPr>
              <w:t>为10</w:t>
            </w:r>
            <w:r>
              <w:rPr>
                <w:rFonts w:hint="default" w:ascii="Times New Roman" w:hAnsi="Times New Roman" w:cs="Times New Roman"/>
                <w:color w:val="000000" w:themeColor="text1"/>
                <w:sz w:val="24"/>
                <w:szCs w:val="24"/>
                <w:u w:val="none"/>
                <w:lang w:val="en-US" w:eastAsia="zh-CN"/>
              </w:rPr>
              <w:t>1-500</w:t>
            </w:r>
            <w:r>
              <w:rPr>
                <w:rFonts w:hint="default" w:ascii="Times New Roman" w:hAnsi="Times New Roman" w:eastAsia="宋体" w:cs="Times New Roman"/>
                <w:color w:val="000000" w:themeColor="text1"/>
                <w:sz w:val="24"/>
                <w:szCs w:val="24"/>
                <w:u w:val="none"/>
              </w:rPr>
              <w:t>床位的</w:t>
            </w:r>
            <w:r>
              <w:rPr>
                <w:rFonts w:hint="eastAsia" w:cs="Times New Roman"/>
                <w:color w:val="000000" w:themeColor="text1"/>
                <w:sz w:val="24"/>
                <w:szCs w:val="24"/>
                <w:u w:val="none"/>
                <w:lang w:val="en-US" w:eastAsia="zh-CN"/>
              </w:rPr>
              <w:t>二区</w:t>
            </w:r>
            <w:r>
              <w:rPr>
                <w:rFonts w:hint="default" w:ascii="Times New Roman" w:hAnsi="Times New Roman" w:eastAsia="宋体" w:cs="Times New Roman"/>
                <w:color w:val="000000" w:themeColor="text1"/>
                <w:sz w:val="24"/>
                <w:szCs w:val="24"/>
                <w:u w:val="none"/>
              </w:rPr>
              <w:t>综合医院，</w:t>
            </w:r>
            <w:r>
              <w:rPr>
                <w:rFonts w:hint="eastAsia" w:cs="Times New Roman"/>
                <w:color w:val="000000" w:themeColor="text1"/>
                <w:sz w:val="24"/>
                <w:szCs w:val="24"/>
                <w:highlight w:val="none"/>
                <w:u w:val="none"/>
                <w:lang w:val="en-US" w:eastAsia="zh-CN"/>
              </w:rPr>
              <w:t>医院</w:t>
            </w:r>
            <w:r>
              <w:rPr>
                <w:rFonts w:hint="default" w:ascii="Times New Roman" w:hAnsi="Times New Roman" w:eastAsia="宋体" w:cs="Times New Roman"/>
                <w:color w:val="000000" w:themeColor="text1"/>
                <w:sz w:val="24"/>
                <w:szCs w:val="24"/>
                <w:highlight w:val="none"/>
                <w:u w:val="none"/>
              </w:rPr>
              <w:t>产生的医疗废物按照0.</w:t>
            </w:r>
            <w:r>
              <w:rPr>
                <w:rFonts w:hint="eastAsia" w:cs="Times New Roman"/>
                <w:color w:val="000000" w:themeColor="text1"/>
                <w:sz w:val="24"/>
                <w:szCs w:val="24"/>
                <w:highlight w:val="none"/>
                <w:u w:val="none"/>
                <w:lang w:val="en-US" w:eastAsia="zh-CN"/>
              </w:rPr>
              <w:t>53</w:t>
            </w:r>
            <w:r>
              <w:rPr>
                <w:rFonts w:hint="default" w:ascii="Times New Roman" w:hAnsi="Times New Roman" w:eastAsia="宋体" w:cs="Times New Roman"/>
                <w:color w:val="000000" w:themeColor="text1"/>
                <w:sz w:val="24"/>
                <w:szCs w:val="24"/>
                <w:highlight w:val="none"/>
                <w:u w:val="none"/>
              </w:rPr>
              <w:t>kg/d·床计算，医疗废物产生量为</w:t>
            </w:r>
            <w:r>
              <w:rPr>
                <w:rFonts w:hint="eastAsia" w:cs="Times New Roman"/>
                <w:color w:val="000000" w:themeColor="text1"/>
                <w:sz w:val="24"/>
                <w:szCs w:val="24"/>
                <w:highlight w:val="none"/>
                <w:u w:val="none"/>
                <w:lang w:val="en-US" w:eastAsia="zh-CN"/>
              </w:rPr>
              <w:t>190.8</w:t>
            </w:r>
            <w:r>
              <w:rPr>
                <w:rFonts w:hint="default" w:ascii="Times New Roman" w:hAnsi="Times New Roman" w:cs="Times New Roman"/>
                <w:color w:val="000000" w:themeColor="text1"/>
                <w:sz w:val="24"/>
                <w:szCs w:val="24"/>
                <w:highlight w:val="none"/>
                <w:u w:val="none"/>
                <w:lang w:val="en-US" w:eastAsia="zh-CN"/>
              </w:rPr>
              <w:t>kg/d</w:t>
            </w:r>
            <w:r>
              <w:rPr>
                <w:rFonts w:hint="eastAsia" w:cs="Times New Roman"/>
                <w:color w:val="000000" w:themeColor="text1"/>
                <w:sz w:val="24"/>
                <w:szCs w:val="24"/>
                <w:highlight w:val="none"/>
                <w:u w:val="none"/>
                <w:lang w:val="en-US" w:eastAsia="zh-CN"/>
              </w:rPr>
              <w:t>（69.642t/a）；</w:t>
            </w:r>
            <w:r>
              <w:rPr>
                <w:rFonts w:hint="default" w:ascii="Times New Roman" w:hAnsi="Times New Roman" w:eastAsia="宋体" w:cs="Times New Roman"/>
                <w:color w:val="000000" w:themeColor="text1"/>
                <w:sz w:val="24"/>
                <w:szCs w:val="24"/>
                <w:u w:val="none"/>
              </w:rPr>
              <w:t>门诊医疗废物产生系数按0.05kg/人次计，门诊量约800人次/天，则医疗废物约</w:t>
            </w:r>
            <w:r>
              <w:rPr>
                <w:rFonts w:hint="eastAsia" w:cs="Times New Roman"/>
                <w:color w:val="000000" w:themeColor="text1"/>
                <w:sz w:val="24"/>
                <w:szCs w:val="24"/>
                <w:u w:val="none"/>
                <w:lang w:val="en-US" w:eastAsia="zh-CN"/>
              </w:rPr>
              <w:t>40kg/d（</w:t>
            </w:r>
            <w:r>
              <w:rPr>
                <w:rFonts w:hint="default" w:ascii="Times New Roman" w:hAnsi="Times New Roman" w:eastAsia="宋体" w:cs="Times New Roman"/>
                <w:color w:val="000000" w:themeColor="text1"/>
                <w:sz w:val="24"/>
                <w:szCs w:val="24"/>
                <w:u w:val="none"/>
              </w:rPr>
              <w:t>14.6t/a</w:t>
            </w:r>
            <w:r>
              <w:rPr>
                <w:rFonts w:hint="eastAsia" w:cs="Times New Roman"/>
                <w:color w:val="000000" w:themeColor="text1"/>
                <w:sz w:val="24"/>
                <w:szCs w:val="24"/>
                <w:u w:val="none"/>
                <w:lang w:eastAsia="zh-CN"/>
              </w:rPr>
              <w:t>）</w:t>
            </w:r>
            <w:r>
              <w:rPr>
                <w:rFonts w:hint="default" w:ascii="Times New Roman" w:hAnsi="Times New Roman" w:eastAsia="宋体" w:cs="Times New Roman"/>
                <w:color w:val="000000" w:themeColor="text1"/>
                <w:sz w:val="24"/>
                <w:szCs w:val="24"/>
                <w:u w:val="none"/>
              </w:rPr>
              <w:t>。本项目产生的医疗废物全年产生量为</w:t>
            </w:r>
            <w:r>
              <w:rPr>
                <w:rFonts w:hint="eastAsia" w:cs="Times New Roman"/>
                <w:color w:val="000000" w:themeColor="text1"/>
                <w:sz w:val="24"/>
                <w:szCs w:val="24"/>
                <w:u w:val="none"/>
                <w:lang w:val="en-US" w:eastAsia="zh-CN"/>
              </w:rPr>
              <w:t>84.242</w:t>
            </w:r>
            <w:r>
              <w:rPr>
                <w:rFonts w:hint="default" w:ascii="Times New Roman" w:hAnsi="Times New Roman" w:eastAsia="宋体" w:cs="Times New Roman"/>
                <w:color w:val="000000" w:themeColor="text1"/>
                <w:sz w:val="24"/>
                <w:szCs w:val="24"/>
                <w:u w:val="none"/>
              </w:rPr>
              <w:t>t/a</w:t>
            </w:r>
            <w:r>
              <w:rPr>
                <w:rFonts w:hint="eastAsia" w:cs="Times New Roman"/>
                <w:color w:val="000000" w:themeColor="text1"/>
                <w:sz w:val="24"/>
                <w:szCs w:val="24"/>
                <w:u w:val="none"/>
                <w:lang w:eastAsia="zh-CN"/>
              </w:rPr>
              <w:t>（</w:t>
            </w:r>
            <w:r>
              <w:rPr>
                <w:rFonts w:hint="eastAsia" w:cs="Times New Roman"/>
                <w:color w:val="000000" w:themeColor="text1"/>
                <w:sz w:val="24"/>
                <w:szCs w:val="24"/>
                <w:u w:val="none"/>
                <w:lang w:val="en-US" w:eastAsia="zh-CN"/>
              </w:rPr>
              <w:t>0.231t/d</w:t>
            </w:r>
            <w:r>
              <w:rPr>
                <w:rFonts w:hint="eastAsia" w:cs="Times New Roman"/>
                <w:color w:val="000000" w:themeColor="text1"/>
                <w:sz w:val="24"/>
                <w:szCs w:val="24"/>
                <w:u w:val="none"/>
                <w:lang w:eastAsia="zh-CN"/>
              </w:rPr>
              <w:t>）。</w:t>
            </w:r>
            <w:r>
              <w:rPr>
                <w:rFonts w:hint="default" w:ascii="Times New Roman" w:hAnsi="Times New Roman" w:eastAsia="宋体" w:cs="Times New Roman"/>
                <w:color w:val="000000" w:themeColor="text1"/>
                <w:sz w:val="24"/>
                <w:szCs w:val="24"/>
                <w:u w:val="none"/>
              </w:rPr>
              <w:t>医疗废物</w:t>
            </w:r>
            <w:r>
              <w:rPr>
                <w:rFonts w:hint="default" w:ascii="Times New Roman" w:hAnsi="Times New Roman" w:eastAsia="宋体" w:cs="Times New Roman"/>
                <w:color w:val="000000" w:themeColor="text1"/>
                <w:sz w:val="24"/>
                <w:szCs w:val="24"/>
                <w:highlight w:val="none"/>
                <w:u w:val="none"/>
              </w:rPr>
              <w:t>往往还带有大量病毒、细菌，具有较高的感染性，被《国家危险废物名录》(20</w:t>
            </w:r>
            <w:r>
              <w:rPr>
                <w:rFonts w:hint="default" w:ascii="Times New Roman" w:hAnsi="Times New Roman" w:eastAsia="宋体" w:cs="Times New Roman"/>
                <w:color w:val="auto"/>
                <w:sz w:val="24"/>
                <w:szCs w:val="24"/>
                <w:highlight w:val="none"/>
                <w:u w:val="none"/>
              </w:rPr>
              <w:t>2</w:t>
            </w:r>
            <w:r>
              <w:rPr>
                <w:rFonts w:hint="eastAsia" w:cs="Times New Roman"/>
                <w:color w:val="auto"/>
                <w:sz w:val="24"/>
                <w:szCs w:val="24"/>
                <w:highlight w:val="none"/>
                <w:u w:val="none"/>
                <w:lang w:val="en-US" w:eastAsia="zh-CN"/>
              </w:rPr>
              <w:t>5</w:t>
            </w:r>
            <w:r>
              <w:rPr>
                <w:rFonts w:hint="default" w:ascii="Times New Roman" w:hAnsi="Times New Roman" w:eastAsia="宋体" w:cs="Times New Roman"/>
                <w:color w:val="auto"/>
                <w:sz w:val="24"/>
                <w:szCs w:val="24"/>
                <w:highlight w:val="none"/>
                <w:u w:val="none"/>
              </w:rPr>
              <w:t>年</w:t>
            </w:r>
            <w:r>
              <w:rPr>
                <w:rFonts w:hint="default" w:ascii="Times New Roman" w:hAnsi="Times New Roman" w:eastAsia="宋体" w:cs="Times New Roman"/>
                <w:color w:val="000000" w:themeColor="text1"/>
                <w:sz w:val="24"/>
                <w:szCs w:val="24"/>
                <w:highlight w:val="none"/>
                <w:u w:val="none"/>
              </w:rPr>
              <w:t>版）列为HW01类医疗废物，包括感染性废物、损伤性废物、病理性废物、化学性废物以及药物性废物，医院各科室配置专用的废物转运箱，所产生的废物由专人打</w:t>
            </w:r>
            <w:r>
              <w:rPr>
                <w:rFonts w:hint="default" w:ascii="Times New Roman" w:hAnsi="Times New Roman" w:eastAsia="宋体" w:cs="Times New Roman"/>
                <w:color w:val="auto"/>
                <w:sz w:val="24"/>
                <w:szCs w:val="24"/>
                <w:u w:val="none"/>
              </w:rPr>
              <w:t>包收集至</w:t>
            </w:r>
            <w:r>
              <w:rPr>
                <w:rFonts w:hint="default" w:ascii="Times New Roman" w:hAnsi="Times New Roman" w:cs="Times New Roman"/>
                <w:color w:val="auto"/>
                <w:sz w:val="24"/>
                <w:szCs w:val="24"/>
                <w:u w:val="none"/>
                <w:lang w:val="en-US" w:eastAsia="zh-CN"/>
              </w:rPr>
              <w:t>危险</w:t>
            </w:r>
            <w:r>
              <w:rPr>
                <w:rFonts w:hint="default" w:ascii="Times New Roman" w:hAnsi="Times New Roman" w:eastAsia="宋体" w:cs="Times New Roman"/>
                <w:color w:val="auto"/>
                <w:sz w:val="24"/>
                <w:szCs w:val="24"/>
                <w:u w:val="none"/>
              </w:rPr>
              <w:t>废物暂存间，</w:t>
            </w:r>
            <w:r>
              <w:rPr>
                <w:rFonts w:hint="default" w:ascii="Times New Roman" w:hAnsi="Times New Roman" w:cs="Times New Roman"/>
                <w:color w:val="auto"/>
                <w:sz w:val="24"/>
                <w:szCs w:val="24"/>
                <w:u w:val="none"/>
                <w:lang w:val="en-US" w:eastAsia="zh-CN"/>
              </w:rPr>
              <w:t>委托岳阳市方向固废安全处置有限公司无害化处置。</w:t>
            </w:r>
          </w:p>
          <w:p w14:paraId="1925AABB">
            <w:pPr>
              <w:widowControl/>
              <w:spacing w:line="360" w:lineRule="auto"/>
              <w:ind w:firstLine="480" w:firstLineChars="200"/>
              <w:jc w:val="both"/>
              <w:rPr>
                <w:rFonts w:hint="eastAsia" w:ascii="Times New Roman" w:hAnsi="Times New Roman" w:eastAsia="宋体" w:cs="Times New Roman"/>
                <w:color w:val="auto"/>
                <w:sz w:val="24"/>
                <w:szCs w:val="24"/>
                <w:u w:val="none"/>
                <w:lang w:eastAsia="zh-CN"/>
              </w:rPr>
            </w:pPr>
            <w:r>
              <w:rPr>
                <w:rFonts w:hint="eastAsia" w:cs="Times New Roman"/>
                <w:color w:val="auto"/>
                <w:sz w:val="24"/>
                <w:szCs w:val="24"/>
                <w:u w:val="none"/>
                <w:lang w:eastAsia="zh-CN"/>
              </w:rPr>
              <w:t>（</w:t>
            </w:r>
            <w:r>
              <w:rPr>
                <w:rFonts w:hint="eastAsia" w:cs="Times New Roman"/>
                <w:color w:val="auto"/>
                <w:sz w:val="24"/>
                <w:szCs w:val="24"/>
                <w:u w:val="none"/>
                <w:lang w:val="en-US" w:eastAsia="zh-CN"/>
              </w:rPr>
              <w:t>4</w:t>
            </w:r>
            <w:r>
              <w:rPr>
                <w:rFonts w:hint="eastAsia" w:cs="Times New Roman"/>
                <w:color w:val="auto"/>
                <w:sz w:val="24"/>
                <w:szCs w:val="24"/>
                <w:u w:val="none"/>
                <w:lang w:eastAsia="zh-CN"/>
              </w:rPr>
              <w:t>）未污染的一次性塑料输液瓶（袋）</w:t>
            </w:r>
          </w:p>
          <w:p w14:paraId="084C8932">
            <w:pPr>
              <w:widowControl/>
              <w:spacing w:line="360" w:lineRule="auto"/>
              <w:ind w:firstLine="480" w:firstLineChars="200"/>
              <w:jc w:val="both"/>
              <w:rPr>
                <w:rFonts w:hint="default" w:ascii="Times New Roman" w:hAnsi="Times New Roman" w:eastAsia="宋体" w:cs="Times New Roman"/>
                <w:color w:val="000000" w:themeColor="text1"/>
                <w:sz w:val="24"/>
                <w:szCs w:val="24"/>
                <w:u w:val="none"/>
              </w:rPr>
            </w:pPr>
            <w:r>
              <w:rPr>
                <w:rFonts w:hint="default" w:ascii="Times New Roman" w:hAnsi="Times New Roman" w:eastAsia="宋体" w:cs="Times New Roman"/>
                <w:color w:val="auto"/>
                <w:sz w:val="24"/>
                <w:szCs w:val="24"/>
                <w:u w:val="none"/>
              </w:rPr>
              <w:t>根据卫生部发布的《关于明确医疗废物分类有关问题的通知》卫办医发(2005)292号规定：“使用后的输液瓶不属于医疗废物，使用后的各种玻璃(一次性塑料）输液瓶（袋)，未被病人血液、体液、排泄物污染的，不属于医疗废物，不必按医疗废物进行管理，但这类废物回收利用时不能用于原用途，用于其他用途时应符合不危害人体健康的原则”。同时国家卫生计生和环境保护部办公厅联合下发（2013)45号，各级医疗卫生机构要按照《关于明确医疗废物分类有关问题的要求与通知》统一管理。</w:t>
            </w:r>
            <w:r>
              <w:rPr>
                <w:rFonts w:hint="eastAsia" w:cs="Times New Roman"/>
                <w:color w:val="auto"/>
                <w:sz w:val="24"/>
                <w:szCs w:val="24"/>
                <w:u w:val="none"/>
                <w:lang w:val="en-US" w:eastAsia="zh-CN"/>
              </w:rPr>
              <w:t>根据《固体废物分类与代码目录》（2024），</w:t>
            </w:r>
            <w:r>
              <w:rPr>
                <w:rFonts w:hint="eastAsia" w:cs="Times New Roman"/>
                <w:color w:val="auto"/>
                <w:sz w:val="24"/>
                <w:szCs w:val="24"/>
                <w:u w:val="none"/>
                <w:lang w:eastAsia="zh-CN"/>
              </w:rPr>
              <w:t>未污染的一次性塑料输液瓶（袋）</w:t>
            </w:r>
            <w:r>
              <w:rPr>
                <w:rFonts w:hint="eastAsia" w:cs="Times New Roman"/>
                <w:color w:val="auto"/>
                <w:sz w:val="24"/>
                <w:szCs w:val="24"/>
                <w:u w:val="none"/>
                <w:lang w:val="en-US" w:eastAsia="zh-CN"/>
              </w:rPr>
              <w:t>的固废代码为：SW62/900-002-S62、900-004-S62</w:t>
            </w:r>
            <w:r>
              <w:rPr>
                <w:rFonts w:hint="default" w:ascii="Times New Roman" w:hAnsi="Times New Roman" w:eastAsia="宋体" w:cs="Times New Roman"/>
                <w:color w:val="auto"/>
                <w:sz w:val="24"/>
                <w:szCs w:val="24"/>
                <w:u w:val="none"/>
              </w:rPr>
              <w:t>，</w:t>
            </w:r>
            <w:r>
              <w:rPr>
                <w:rFonts w:hint="default" w:ascii="Times New Roman" w:hAnsi="Times New Roman" w:eastAsia="宋体" w:cs="Times New Roman"/>
                <w:color w:val="000000" w:themeColor="text1"/>
                <w:sz w:val="24"/>
                <w:szCs w:val="24"/>
                <w:u w:val="none"/>
              </w:rPr>
              <w:t>本项目未被污染的医用一次医用玻璃、输液瓶（袋)等固废</w:t>
            </w:r>
            <w:r>
              <w:rPr>
                <w:rFonts w:hint="default" w:ascii="Times New Roman" w:hAnsi="Times New Roman" w:cs="Times New Roman"/>
                <w:color w:val="000000" w:themeColor="text1"/>
                <w:sz w:val="24"/>
                <w:szCs w:val="24"/>
                <w:u w:val="none"/>
                <w:lang w:val="en-US" w:eastAsia="zh-CN"/>
              </w:rPr>
              <w:t>暂存后</w:t>
            </w:r>
            <w:r>
              <w:rPr>
                <w:rFonts w:hint="default" w:ascii="Times New Roman" w:hAnsi="Times New Roman" w:eastAsia="宋体" w:cs="Times New Roman"/>
                <w:color w:val="000000" w:themeColor="text1"/>
                <w:sz w:val="24"/>
                <w:szCs w:val="24"/>
                <w:u w:val="none"/>
                <w:lang w:val="en-US" w:eastAsia="zh-CN"/>
              </w:rPr>
              <w:t>统一</w:t>
            </w:r>
            <w:r>
              <w:rPr>
                <w:rFonts w:hint="default" w:ascii="Times New Roman" w:hAnsi="Times New Roman" w:cs="Times New Roman"/>
                <w:color w:val="000000" w:themeColor="text1"/>
                <w:sz w:val="24"/>
                <w:szCs w:val="24"/>
                <w:u w:val="none"/>
                <w:lang w:val="en-US" w:eastAsia="zh-CN"/>
              </w:rPr>
              <w:t>委托湖南宝叶再生资源开发有限公司</w:t>
            </w:r>
            <w:r>
              <w:rPr>
                <w:rFonts w:hint="default" w:ascii="Times New Roman" w:hAnsi="Times New Roman" w:eastAsia="宋体" w:cs="Times New Roman"/>
                <w:color w:val="000000" w:themeColor="text1"/>
                <w:sz w:val="24"/>
                <w:szCs w:val="24"/>
                <w:u w:val="none"/>
              </w:rPr>
              <w:t>进行回收处置</w:t>
            </w:r>
            <w:r>
              <w:rPr>
                <w:rFonts w:hint="default" w:ascii="Times New Roman" w:hAnsi="Times New Roman" w:cs="Times New Roman"/>
                <w:color w:val="000000" w:themeColor="text1"/>
                <w:sz w:val="24"/>
                <w:szCs w:val="24"/>
                <w:u w:val="none"/>
                <w:lang w:eastAsia="zh-CN"/>
              </w:rPr>
              <w:t>，</w:t>
            </w:r>
            <w:r>
              <w:rPr>
                <w:rFonts w:hint="default" w:ascii="Times New Roman" w:hAnsi="Times New Roman" w:cs="Times New Roman"/>
                <w:color w:val="000000" w:themeColor="text1"/>
                <w:sz w:val="24"/>
                <w:szCs w:val="24"/>
                <w:u w:val="none"/>
                <w:lang w:val="en-US" w:eastAsia="zh-CN"/>
              </w:rPr>
              <w:t>类比其他同类型项目和医院往年运行情况，未被污染的医用一次</w:t>
            </w:r>
            <w:r>
              <w:rPr>
                <w:rFonts w:hint="default" w:ascii="Times New Roman" w:hAnsi="Times New Roman" w:eastAsia="宋体" w:cs="Times New Roman"/>
                <w:color w:val="000000" w:themeColor="text1"/>
                <w:sz w:val="24"/>
                <w:szCs w:val="24"/>
                <w:u w:val="none"/>
              </w:rPr>
              <w:t>医用玻璃、输液瓶（袋)等固废</w:t>
            </w:r>
            <w:r>
              <w:rPr>
                <w:rFonts w:hint="default" w:ascii="Times New Roman" w:hAnsi="Times New Roman" w:cs="Times New Roman"/>
                <w:color w:val="000000" w:themeColor="text1"/>
                <w:sz w:val="24"/>
                <w:szCs w:val="24"/>
                <w:u w:val="none"/>
                <w:lang w:val="en-US" w:eastAsia="zh-CN"/>
              </w:rPr>
              <w:t>产生量约16.2t/a</w:t>
            </w:r>
            <w:r>
              <w:rPr>
                <w:rFonts w:hint="default" w:ascii="Times New Roman" w:hAnsi="Times New Roman" w:eastAsia="宋体" w:cs="Times New Roman"/>
                <w:color w:val="000000" w:themeColor="text1"/>
                <w:sz w:val="24"/>
                <w:szCs w:val="24"/>
                <w:u w:val="none"/>
              </w:rPr>
              <w:t>。</w:t>
            </w:r>
          </w:p>
          <w:p w14:paraId="3CB80CF9">
            <w:pPr>
              <w:widowControl/>
              <w:numPr>
                <w:ilvl w:val="0"/>
                <w:numId w:val="0"/>
              </w:numPr>
              <w:spacing w:line="360" w:lineRule="auto"/>
              <w:ind w:leftChars="200"/>
              <w:jc w:val="both"/>
              <w:rPr>
                <w:rFonts w:hint="default" w:ascii="Times New Roman" w:hAnsi="Times New Roman" w:cs="Times New Roman"/>
                <w:color w:val="000000" w:themeColor="text1"/>
                <w:sz w:val="24"/>
                <w:szCs w:val="24"/>
                <w:u w:val="none"/>
                <w:lang w:val="en-US" w:eastAsia="zh-CN"/>
              </w:rPr>
            </w:pPr>
            <w:r>
              <w:rPr>
                <w:rFonts w:hint="default" w:ascii="Times New Roman" w:hAnsi="Times New Roman" w:cs="Times New Roman"/>
                <w:color w:val="000000" w:themeColor="text1"/>
                <w:sz w:val="24"/>
                <w:szCs w:val="24"/>
                <w:u w:val="none"/>
                <w:lang w:val="en-US" w:eastAsia="zh-CN"/>
              </w:rPr>
              <w:t>（</w:t>
            </w:r>
            <w:r>
              <w:rPr>
                <w:rFonts w:hint="eastAsia" w:cs="Times New Roman"/>
                <w:color w:val="000000" w:themeColor="text1"/>
                <w:sz w:val="24"/>
                <w:szCs w:val="24"/>
                <w:u w:val="none"/>
                <w:lang w:val="en-US" w:eastAsia="zh-CN"/>
              </w:rPr>
              <w:t>5</w:t>
            </w:r>
            <w:r>
              <w:rPr>
                <w:rFonts w:hint="default" w:ascii="Times New Roman" w:hAnsi="Times New Roman" w:cs="Times New Roman"/>
                <w:color w:val="000000" w:themeColor="text1"/>
                <w:sz w:val="24"/>
                <w:szCs w:val="24"/>
                <w:u w:val="none"/>
                <w:lang w:val="en-US" w:eastAsia="zh-CN"/>
              </w:rPr>
              <w:t>）废活性炭</w:t>
            </w:r>
          </w:p>
          <w:p w14:paraId="2DF8F5B8">
            <w:pPr>
              <w:widowControl/>
              <w:numPr>
                <w:ilvl w:val="0"/>
                <w:numId w:val="0"/>
              </w:numPr>
              <w:spacing w:line="360" w:lineRule="auto"/>
              <w:ind w:firstLine="480" w:firstLineChars="200"/>
              <w:jc w:val="both"/>
              <w:rPr>
                <w:rFonts w:hint="default" w:ascii="Times New Roman" w:hAnsi="Times New Roman" w:eastAsia="宋体" w:cs="Times New Roman"/>
                <w:color w:val="000000" w:themeColor="text1"/>
                <w:sz w:val="24"/>
                <w:szCs w:val="24"/>
                <w:u w:val="none"/>
                <w:lang w:eastAsia="zh-CN"/>
              </w:rPr>
            </w:pPr>
            <w:r>
              <w:rPr>
                <w:rFonts w:hint="default" w:ascii="Times New Roman" w:hAnsi="Times New Roman" w:cs="Times New Roman"/>
                <w:color w:val="auto"/>
                <w:sz w:val="24"/>
                <w:szCs w:val="24"/>
                <w:u w:val="none"/>
                <w:lang w:val="en-US" w:eastAsia="zh-CN"/>
              </w:rPr>
              <w:t>项目污水处理站的恶臭废气处理系统，采用了碱喷淋+活性炭吸附工艺</w:t>
            </w:r>
            <w:r>
              <w:rPr>
                <w:rFonts w:hint="eastAsia" w:cs="Times New Roman"/>
                <w:color w:val="auto"/>
                <w:sz w:val="24"/>
                <w:szCs w:val="24"/>
                <w:u w:val="none"/>
                <w:lang w:val="en-US" w:eastAsia="zh-CN"/>
              </w:rPr>
              <w:t>，危废间臭气处理系统采用活性炭吸附工艺。</w:t>
            </w:r>
            <w:r>
              <w:rPr>
                <w:rFonts w:hint="default" w:ascii="Times New Roman" w:hAnsi="Times New Roman" w:cs="Times New Roman"/>
                <w:color w:val="auto"/>
                <w:sz w:val="24"/>
                <w:szCs w:val="24"/>
                <w:u w:val="none"/>
                <w:lang w:val="en-US" w:eastAsia="zh-CN"/>
              </w:rPr>
              <w:t>《2010中国环境科学学会学术年会论文集(第二卷)》</w:t>
            </w:r>
            <w:r>
              <w:rPr>
                <w:rFonts w:hint="eastAsia" w:cs="Times New Roman"/>
                <w:color w:val="auto"/>
                <w:sz w:val="24"/>
                <w:szCs w:val="24"/>
                <w:u w:val="none"/>
                <w:lang w:val="en-US" w:eastAsia="zh-CN"/>
              </w:rPr>
              <w:t>中“《硅胶和活性炭对</w:t>
            </w:r>
            <w:r>
              <w:rPr>
                <w:rFonts w:hint="eastAsia" w:cs="Times New Roman"/>
                <w:color w:val="000000" w:themeColor="text1"/>
                <w:sz w:val="24"/>
                <w:szCs w:val="24"/>
                <w:u w:val="none"/>
                <w:lang w:val="en-US" w:eastAsia="zh-CN"/>
              </w:rPr>
              <w:t>氨气的吸附研究》（孟超、要栋梁）”的研究数据，活性炭对氨气的吸附容量约为34.3mg/g，参照该数值，本项目活性炭对NH</w:t>
            </w:r>
            <w:r>
              <w:rPr>
                <w:rFonts w:hint="eastAsia" w:cs="Times New Roman"/>
                <w:color w:val="000000" w:themeColor="text1"/>
                <w:sz w:val="24"/>
                <w:szCs w:val="24"/>
                <w:u w:val="none"/>
                <w:vertAlign w:val="subscript"/>
                <w:lang w:val="en-US" w:eastAsia="zh-CN"/>
              </w:rPr>
              <w:t>3</w:t>
            </w:r>
            <w:r>
              <w:rPr>
                <w:rFonts w:hint="eastAsia" w:cs="Times New Roman"/>
                <w:color w:val="000000" w:themeColor="text1"/>
                <w:sz w:val="24"/>
                <w:szCs w:val="24"/>
                <w:u w:val="none"/>
                <w:lang w:val="en-US" w:eastAsia="zh-CN"/>
              </w:rPr>
              <w:t>、H</w:t>
            </w:r>
            <w:r>
              <w:rPr>
                <w:rFonts w:hint="eastAsia" w:cs="Times New Roman"/>
                <w:color w:val="000000" w:themeColor="text1"/>
                <w:sz w:val="24"/>
                <w:szCs w:val="24"/>
                <w:u w:val="none"/>
                <w:vertAlign w:val="subscript"/>
                <w:lang w:val="en-US" w:eastAsia="zh-CN"/>
              </w:rPr>
              <w:t>2</w:t>
            </w:r>
            <w:r>
              <w:rPr>
                <w:rFonts w:hint="eastAsia" w:cs="Times New Roman"/>
                <w:color w:val="000000" w:themeColor="text1"/>
                <w:sz w:val="24"/>
                <w:szCs w:val="24"/>
                <w:u w:val="none"/>
                <w:lang w:val="en-US" w:eastAsia="zh-CN"/>
              </w:rPr>
              <w:t>S的吸附容量均按15mg/g计，根据工程分析，本项目有组织NH</w:t>
            </w:r>
            <w:r>
              <w:rPr>
                <w:rFonts w:hint="eastAsia" w:cs="Times New Roman"/>
                <w:color w:val="000000" w:themeColor="text1"/>
                <w:sz w:val="24"/>
                <w:szCs w:val="24"/>
                <w:u w:val="none"/>
                <w:vertAlign w:val="subscript"/>
                <w:lang w:val="en-US" w:eastAsia="zh-CN"/>
              </w:rPr>
              <w:t>3</w:t>
            </w:r>
            <w:r>
              <w:rPr>
                <w:rFonts w:hint="eastAsia" w:cs="Times New Roman"/>
                <w:color w:val="000000" w:themeColor="text1"/>
                <w:sz w:val="24"/>
                <w:szCs w:val="24"/>
                <w:u w:val="none"/>
                <w:lang w:val="en-US" w:eastAsia="zh-CN"/>
              </w:rPr>
              <w:t>、H</w:t>
            </w:r>
            <w:r>
              <w:rPr>
                <w:rFonts w:hint="eastAsia" w:cs="Times New Roman"/>
                <w:color w:val="000000" w:themeColor="text1"/>
                <w:sz w:val="24"/>
                <w:szCs w:val="24"/>
                <w:u w:val="none"/>
                <w:vertAlign w:val="subscript"/>
                <w:lang w:val="en-US" w:eastAsia="zh-CN"/>
              </w:rPr>
              <w:t>2</w:t>
            </w:r>
            <w:r>
              <w:rPr>
                <w:rFonts w:hint="eastAsia" w:cs="Times New Roman"/>
                <w:color w:val="000000" w:themeColor="text1"/>
                <w:sz w:val="24"/>
                <w:szCs w:val="24"/>
                <w:u w:val="none"/>
                <w:lang w:val="en-US" w:eastAsia="zh-CN"/>
              </w:rPr>
              <w:t>S处理量为0.01328t/a、0.00051t/a，则活性炭最少需要0.919t/a。本项目污水站废气处理装置活性炭</w:t>
            </w:r>
            <w:r>
              <w:rPr>
                <w:rFonts w:hint="default" w:ascii="Times New Roman" w:hAnsi="Times New Roman" w:cs="Times New Roman"/>
                <w:color w:val="000000" w:themeColor="text1"/>
                <w:sz w:val="24"/>
                <w:szCs w:val="24"/>
                <w:u w:val="none"/>
                <w:lang w:val="en-US" w:eastAsia="zh-CN"/>
              </w:rPr>
              <w:t>每次</w:t>
            </w:r>
            <w:r>
              <w:rPr>
                <w:rFonts w:hint="eastAsia" w:cs="Times New Roman"/>
                <w:color w:val="000000" w:themeColor="text1"/>
                <w:sz w:val="24"/>
                <w:szCs w:val="24"/>
                <w:u w:val="none"/>
                <w:lang w:val="en-US" w:eastAsia="zh-CN"/>
              </w:rPr>
              <w:t>填装</w:t>
            </w:r>
            <w:r>
              <w:rPr>
                <w:rFonts w:hint="default" w:ascii="Times New Roman" w:hAnsi="Times New Roman" w:cs="Times New Roman"/>
                <w:color w:val="000000" w:themeColor="text1"/>
                <w:sz w:val="24"/>
                <w:szCs w:val="24"/>
                <w:u w:val="none"/>
                <w:lang w:val="en-US" w:eastAsia="zh-CN"/>
              </w:rPr>
              <w:t>量0.25t</w:t>
            </w:r>
            <w:r>
              <w:rPr>
                <w:rFonts w:hint="eastAsia" w:cs="Times New Roman"/>
                <w:color w:val="000000" w:themeColor="text1"/>
                <w:sz w:val="24"/>
                <w:szCs w:val="24"/>
                <w:u w:val="none"/>
                <w:lang w:val="en-US" w:eastAsia="zh-CN"/>
              </w:rPr>
              <w:t>，活性炭每季度更换一次，则废活性炭产生量1.0t/a，根据《国家危险废物名录》(2025年版），废活性炭属于危险废物，废物代码HW49/900-041-49，采用密闭箱保存，暂存于危废暂存间中，委托资质单位无害化处理</w:t>
            </w:r>
            <w:r>
              <w:rPr>
                <w:rFonts w:hint="default" w:ascii="Times New Roman" w:hAnsi="Times New Roman" w:cs="Times New Roman"/>
                <w:color w:val="000000" w:themeColor="text1"/>
                <w:sz w:val="24"/>
                <w:szCs w:val="24"/>
                <w:u w:val="none"/>
                <w:lang w:eastAsia="zh-CN"/>
              </w:rPr>
              <w:t>。</w:t>
            </w:r>
          </w:p>
          <w:p w14:paraId="48919D01">
            <w:pPr>
              <w:widowControl/>
              <w:spacing w:line="360" w:lineRule="auto"/>
              <w:ind w:firstLine="480" w:firstLineChars="200"/>
              <w:jc w:val="both"/>
              <w:rPr>
                <w:rFonts w:hint="default" w:ascii="Times New Roman" w:hAnsi="Times New Roman" w:eastAsia="宋体" w:cs="Times New Roman"/>
                <w:color w:val="000000" w:themeColor="text1"/>
                <w:sz w:val="24"/>
                <w:szCs w:val="24"/>
                <w:u w:val="none"/>
                <w:lang w:val="en-US" w:eastAsia="zh-CN"/>
              </w:rPr>
            </w:pPr>
            <w:r>
              <w:rPr>
                <w:rFonts w:hint="eastAsia" w:cs="Times New Roman"/>
                <w:color w:val="000000" w:themeColor="text1"/>
                <w:sz w:val="24"/>
                <w:szCs w:val="24"/>
                <w:u w:val="none"/>
                <w:lang w:eastAsia="zh-CN"/>
              </w:rPr>
              <w:t>（</w:t>
            </w:r>
            <w:r>
              <w:rPr>
                <w:rFonts w:hint="eastAsia" w:cs="Times New Roman"/>
                <w:color w:val="000000" w:themeColor="text1"/>
                <w:sz w:val="24"/>
                <w:szCs w:val="24"/>
                <w:u w:val="none"/>
                <w:lang w:val="en-US" w:eastAsia="zh-CN"/>
              </w:rPr>
              <w:t>6</w:t>
            </w:r>
            <w:r>
              <w:rPr>
                <w:rFonts w:hint="eastAsia" w:cs="Times New Roman"/>
                <w:color w:val="000000" w:themeColor="text1"/>
                <w:sz w:val="24"/>
                <w:szCs w:val="24"/>
                <w:u w:val="none"/>
                <w:lang w:eastAsia="zh-CN"/>
              </w:rPr>
              <w:t>）</w:t>
            </w:r>
            <w:r>
              <w:rPr>
                <w:rFonts w:hint="eastAsia" w:cs="Times New Roman"/>
                <w:color w:val="000000" w:themeColor="text1"/>
                <w:sz w:val="24"/>
                <w:szCs w:val="24"/>
                <w:u w:val="none"/>
                <w:lang w:val="en-US" w:eastAsia="zh-CN"/>
              </w:rPr>
              <w:t>废紫外线灯管</w:t>
            </w:r>
          </w:p>
          <w:p w14:paraId="27A22140">
            <w:pPr>
              <w:widowControl/>
              <w:spacing w:line="360" w:lineRule="auto"/>
              <w:ind w:firstLine="480" w:firstLineChars="200"/>
              <w:jc w:val="both"/>
              <w:rPr>
                <w:rFonts w:hint="default" w:ascii="Times New Roman" w:hAnsi="Times New Roman" w:eastAsia="宋体" w:cs="Times New Roman"/>
                <w:color w:val="000000" w:themeColor="text1"/>
                <w:sz w:val="24"/>
                <w:szCs w:val="24"/>
                <w:u w:val="none"/>
                <w:lang w:val="en-US" w:eastAsia="zh-CN"/>
              </w:rPr>
            </w:pPr>
            <w:r>
              <w:rPr>
                <w:rFonts w:hint="eastAsia" w:cs="Times New Roman"/>
                <w:color w:val="000000" w:themeColor="text1"/>
                <w:sz w:val="24"/>
                <w:szCs w:val="24"/>
                <w:u w:val="none"/>
                <w:lang w:val="en-US" w:eastAsia="zh-CN"/>
              </w:rPr>
              <w:t>项目病房、危废暂存间均使用紫外灯进行空气消毒，会产生废紫外线灯管。根据院方提供的往年运行情况，废紫外灯管年产生量约0.002t/a，根据《国家危险废物名录》(2025年版），废紫外灯管属于危险废物，废物代码HW29/900-023-29，采用密闭箱保存，暂存于危废暂存间中，委托资质单位无害化处理。</w:t>
            </w:r>
          </w:p>
          <w:p w14:paraId="21D021E5">
            <w:pPr>
              <w:widowControl/>
              <w:spacing w:line="360" w:lineRule="auto"/>
              <w:ind w:firstLine="480" w:firstLineChars="200"/>
              <w:jc w:val="both"/>
              <w:rPr>
                <w:rFonts w:hint="default" w:ascii="Times New Roman" w:hAnsi="Times New Roman" w:eastAsia="宋体" w:cs="Times New Roman"/>
                <w:color w:val="000000" w:themeColor="text1"/>
                <w:sz w:val="24"/>
                <w:szCs w:val="24"/>
                <w:u w:val="single"/>
              </w:rPr>
            </w:pPr>
            <w:r>
              <w:rPr>
                <w:rFonts w:hint="default" w:ascii="Times New Roman" w:hAnsi="Times New Roman" w:eastAsia="宋体" w:cs="Times New Roman"/>
                <w:color w:val="000000" w:themeColor="text1"/>
                <w:sz w:val="24"/>
                <w:szCs w:val="24"/>
                <w:u w:val="none"/>
              </w:rPr>
              <w:t>本项目固体废物基本情况详见下表。</w:t>
            </w:r>
          </w:p>
          <w:p w14:paraId="67C55955">
            <w:pPr>
              <w:pStyle w:val="11"/>
              <w:keepNext w:val="0"/>
              <w:keepLines w:val="0"/>
              <w:pageBreakBefore w:val="0"/>
              <w:widowControl/>
              <w:kinsoku/>
              <w:wordWrap/>
              <w:overflowPunct/>
              <w:topLinePunct w:val="0"/>
              <w:autoSpaceDE/>
              <w:autoSpaceDN/>
              <w:bidi w:val="0"/>
              <w:adjustRightInd/>
              <w:snapToGrid w:val="0"/>
              <w:spacing w:before="0" w:after="0" w:line="360" w:lineRule="auto"/>
              <w:ind w:right="113"/>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表4-</w:t>
            </w:r>
            <w:r>
              <w:rPr>
                <w:rFonts w:hint="eastAsia" w:cs="Times New Roman"/>
                <w:b/>
                <w:bCs/>
                <w:sz w:val="21"/>
                <w:szCs w:val="21"/>
                <w:lang w:val="en-US" w:eastAsia="zh-CN"/>
              </w:rPr>
              <w:t>25</w:t>
            </w:r>
            <w:r>
              <w:rPr>
                <w:rFonts w:hint="default" w:ascii="Times New Roman" w:hAnsi="Times New Roman" w:cs="Times New Roman"/>
                <w:b/>
                <w:bCs/>
                <w:sz w:val="21"/>
                <w:szCs w:val="21"/>
                <w:lang w:val="en-US" w:eastAsia="zh-CN"/>
              </w:rPr>
              <w:t xml:space="preserve"> </w:t>
            </w:r>
            <w:r>
              <w:rPr>
                <w:rFonts w:hint="default" w:ascii="Times New Roman" w:hAnsi="Times New Roman" w:eastAsia="宋体" w:cs="Times New Roman"/>
                <w:b/>
                <w:bCs/>
                <w:sz w:val="21"/>
                <w:szCs w:val="21"/>
              </w:rPr>
              <w:t>固体废物处理情况一览表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
              <w:gridCol w:w="885"/>
              <w:gridCol w:w="1065"/>
              <w:gridCol w:w="690"/>
              <w:gridCol w:w="1110"/>
              <w:gridCol w:w="660"/>
              <w:gridCol w:w="900"/>
              <w:gridCol w:w="1080"/>
              <w:gridCol w:w="690"/>
              <w:gridCol w:w="1104"/>
            </w:tblGrid>
            <w:tr w14:paraId="540CB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5A3501B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885" w:type="dxa"/>
                  <w:vAlign w:val="center"/>
                </w:tcPr>
                <w:p w14:paraId="6308F95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产污环节</w:t>
                  </w:r>
                </w:p>
              </w:tc>
              <w:tc>
                <w:tcPr>
                  <w:tcW w:w="1065" w:type="dxa"/>
                  <w:vAlign w:val="center"/>
                </w:tcPr>
                <w:p w14:paraId="3504B48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690" w:type="dxa"/>
                  <w:vAlign w:val="center"/>
                </w:tcPr>
                <w:p w14:paraId="163A913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属性</w:t>
                  </w:r>
                </w:p>
              </w:tc>
              <w:tc>
                <w:tcPr>
                  <w:tcW w:w="1110" w:type="dxa"/>
                  <w:vAlign w:val="center"/>
                </w:tcPr>
                <w:p w14:paraId="1A82988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废物代码</w:t>
                  </w:r>
                </w:p>
              </w:tc>
              <w:tc>
                <w:tcPr>
                  <w:tcW w:w="660" w:type="dxa"/>
                  <w:vAlign w:val="center"/>
                </w:tcPr>
                <w:p w14:paraId="7F8FDAF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物理性质</w:t>
                  </w:r>
                </w:p>
              </w:tc>
              <w:tc>
                <w:tcPr>
                  <w:tcW w:w="900" w:type="dxa"/>
                  <w:vAlign w:val="center"/>
                </w:tcPr>
                <w:p w14:paraId="1F1D5AD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eastAsia" w:cs="Times New Roman"/>
                      <w:b/>
                      <w:bCs/>
                      <w:sz w:val="21"/>
                      <w:szCs w:val="21"/>
                      <w:lang w:eastAsia="zh-CN"/>
                    </w:rPr>
                    <w:t>环境</w:t>
                  </w:r>
                  <w:r>
                    <w:rPr>
                      <w:rFonts w:hint="default" w:ascii="Times New Roman" w:hAnsi="Times New Roman" w:eastAsia="宋体" w:cs="Times New Roman"/>
                      <w:b/>
                      <w:bCs/>
                      <w:sz w:val="21"/>
                      <w:szCs w:val="21"/>
                    </w:rPr>
                    <w:t>危险特性</w:t>
                  </w:r>
                </w:p>
              </w:tc>
              <w:tc>
                <w:tcPr>
                  <w:tcW w:w="1080" w:type="dxa"/>
                  <w:vAlign w:val="center"/>
                </w:tcPr>
                <w:p w14:paraId="4ADEB81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年度产生量（t/a）</w:t>
                  </w:r>
                </w:p>
              </w:tc>
              <w:tc>
                <w:tcPr>
                  <w:tcW w:w="690" w:type="dxa"/>
                  <w:vAlign w:val="center"/>
                </w:tcPr>
                <w:p w14:paraId="7DCFC16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贮存方式</w:t>
                  </w:r>
                </w:p>
              </w:tc>
              <w:tc>
                <w:tcPr>
                  <w:tcW w:w="1104" w:type="dxa"/>
                  <w:vAlign w:val="center"/>
                </w:tcPr>
                <w:p w14:paraId="29CE84A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处置方式和去向</w:t>
                  </w:r>
                </w:p>
              </w:tc>
            </w:tr>
            <w:tr w14:paraId="5D0F1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12146FC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885" w:type="dxa"/>
                  <w:vAlign w:val="center"/>
                </w:tcPr>
                <w:p w14:paraId="76A58EB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生活办公</w:t>
                  </w:r>
                </w:p>
              </w:tc>
              <w:tc>
                <w:tcPr>
                  <w:tcW w:w="1065" w:type="dxa"/>
                  <w:vAlign w:val="center"/>
                </w:tcPr>
                <w:p w14:paraId="7A4F6F0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生活垃圾</w:t>
                  </w:r>
                </w:p>
              </w:tc>
              <w:tc>
                <w:tcPr>
                  <w:tcW w:w="690" w:type="dxa"/>
                  <w:vAlign w:val="center"/>
                </w:tcPr>
                <w:p w14:paraId="7BE8B61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生活垃圾</w:t>
                  </w:r>
                </w:p>
              </w:tc>
              <w:tc>
                <w:tcPr>
                  <w:tcW w:w="1110" w:type="dxa"/>
                  <w:vAlign w:val="center"/>
                </w:tcPr>
                <w:p w14:paraId="3E09BD1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660" w:type="dxa"/>
                  <w:vAlign w:val="center"/>
                </w:tcPr>
                <w:p w14:paraId="04414BA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900" w:type="dxa"/>
                  <w:vAlign w:val="center"/>
                </w:tcPr>
                <w:p w14:paraId="04C4667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1080" w:type="dxa"/>
                  <w:vAlign w:val="center"/>
                </w:tcPr>
                <w:p w14:paraId="6D213D2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233.6</w:t>
                  </w:r>
                </w:p>
              </w:tc>
              <w:tc>
                <w:tcPr>
                  <w:tcW w:w="690" w:type="dxa"/>
                  <w:vAlign w:val="center"/>
                </w:tcPr>
                <w:p w14:paraId="29DD8EB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桶装</w:t>
                  </w:r>
                </w:p>
              </w:tc>
              <w:tc>
                <w:tcPr>
                  <w:tcW w:w="1104" w:type="dxa"/>
                  <w:vAlign w:val="center"/>
                </w:tcPr>
                <w:p w14:paraId="246CB5F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环卫部门</w:t>
                  </w:r>
                </w:p>
              </w:tc>
            </w:tr>
            <w:tr w14:paraId="7452A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0895587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885" w:type="dxa"/>
                  <w:vAlign w:val="center"/>
                </w:tcPr>
                <w:p w14:paraId="51D970D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医疗服务</w:t>
                  </w:r>
                </w:p>
              </w:tc>
              <w:tc>
                <w:tcPr>
                  <w:tcW w:w="1065" w:type="dxa"/>
                  <w:vAlign w:val="center"/>
                </w:tcPr>
                <w:p w14:paraId="5392420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未被污染的医用一次医用玻璃、输液瓶（袋)</w:t>
                  </w:r>
                </w:p>
              </w:tc>
              <w:tc>
                <w:tcPr>
                  <w:tcW w:w="690" w:type="dxa"/>
                  <w:vAlign w:val="center"/>
                </w:tcPr>
                <w:p w14:paraId="40C7DB3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一般固废</w:t>
                  </w:r>
                </w:p>
              </w:tc>
              <w:tc>
                <w:tcPr>
                  <w:tcW w:w="1110" w:type="dxa"/>
                  <w:vAlign w:val="center"/>
                </w:tcPr>
                <w:p w14:paraId="7DABDE3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SW62/900-002-S6</w:t>
                  </w:r>
                  <w:r>
                    <w:rPr>
                      <w:rFonts w:hint="eastAsia" w:cs="Times New Roman"/>
                      <w:sz w:val="21"/>
                      <w:szCs w:val="21"/>
                      <w:lang w:val="en-US" w:eastAsia="zh-CN"/>
                    </w:rPr>
                    <w:t>2、</w:t>
                  </w:r>
                  <w:r>
                    <w:rPr>
                      <w:rFonts w:hint="default" w:ascii="Times New Roman" w:hAnsi="Times New Roman" w:cs="Times New Roman"/>
                      <w:sz w:val="21"/>
                      <w:szCs w:val="21"/>
                      <w:lang w:val="en-US" w:eastAsia="zh-CN"/>
                    </w:rPr>
                    <w:t>900-004-S62</w:t>
                  </w:r>
                </w:p>
              </w:tc>
              <w:tc>
                <w:tcPr>
                  <w:tcW w:w="660" w:type="dxa"/>
                  <w:vAlign w:val="center"/>
                </w:tcPr>
                <w:p w14:paraId="1164511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固态</w:t>
                  </w:r>
                </w:p>
              </w:tc>
              <w:tc>
                <w:tcPr>
                  <w:tcW w:w="900" w:type="dxa"/>
                  <w:vAlign w:val="center"/>
                </w:tcPr>
                <w:p w14:paraId="0A4483E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1080" w:type="dxa"/>
                  <w:vAlign w:val="center"/>
                </w:tcPr>
                <w:p w14:paraId="0090B44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16.2</w:t>
                  </w:r>
                </w:p>
              </w:tc>
              <w:tc>
                <w:tcPr>
                  <w:tcW w:w="690" w:type="dxa"/>
                  <w:vAlign w:val="center"/>
                </w:tcPr>
                <w:p w14:paraId="0EDB3DC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桶装</w:t>
                  </w:r>
                </w:p>
              </w:tc>
              <w:tc>
                <w:tcPr>
                  <w:tcW w:w="1104" w:type="dxa"/>
                  <w:vAlign w:val="center"/>
                </w:tcPr>
                <w:p w14:paraId="3B36DE7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委托湖南宝叶再生资源开发有限公司</w:t>
                  </w:r>
                  <w:r>
                    <w:rPr>
                      <w:rFonts w:hint="default" w:ascii="Times New Roman" w:hAnsi="Times New Roman" w:cs="Times New Roman"/>
                      <w:sz w:val="21"/>
                      <w:szCs w:val="21"/>
                      <w:lang w:val="en-US" w:eastAsia="zh-CN"/>
                    </w:rPr>
                    <w:t>合理处置</w:t>
                  </w:r>
                </w:p>
              </w:tc>
            </w:tr>
            <w:tr w14:paraId="54D26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3E0D688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885" w:type="dxa"/>
                  <w:vAlign w:val="center"/>
                </w:tcPr>
                <w:p w14:paraId="7D478F1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仓库、药房</w:t>
                  </w:r>
                </w:p>
              </w:tc>
              <w:tc>
                <w:tcPr>
                  <w:tcW w:w="1065" w:type="dxa"/>
                  <w:vAlign w:val="center"/>
                </w:tcPr>
                <w:p w14:paraId="121DAA6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废包装材料</w:t>
                  </w:r>
                </w:p>
              </w:tc>
              <w:tc>
                <w:tcPr>
                  <w:tcW w:w="690" w:type="dxa"/>
                  <w:vAlign w:val="center"/>
                </w:tcPr>
                <w:p w14:paraId="232FB2F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一般固废</w:t>
                  </w:r>
                </w:p>
              </w:tc>
              <w:tc>
                <w:tcPr>
                  <w:tcW w:w="1110" w:type="dxa"/>
                  <w:vAlign w:val="center"/>
                </w:tcPr>
                <w:p w14:paraId="652E60D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SW62</w:t>
                  </w:r>
                  <w:r>
                    <w:rPr>
                      <w:rFonts w:hint="eastAsia" w:cs="Times New Roman"/>
                      <w:sz w:val="21"/>
                      <w:szCs w:val="21"/>
                      <w:lang w:val="en-US" w:eastAsia="zh-CN"/>
                    </w:rPr>
                    <w:t>、</w:t>
                  </w:r>
                  <w:r>
                    <w:rPr>
                      <w:rFonts w:hint="default" w:ascii="Times New Roman" w:hAnsi="Times New Roman" w:cs="Times New Roman"/>
                      <w:sz w:val="21"/>
                      <w:szCs w:val="21"/>
                      <w:lang w:val="en-US" w:eastAsia="zh-CN"/>
                    </w:rPr>
                    <w:t>900-001-S62</w:t>
                  </w:r>
                </w:p>
              </w:tc>
              <w:tc>
                <w:tcPr>
                  <w:tcW w:w="660" w:type="dxa"/>
                  <w:vAlign w:val="center"/>
                </w:tcPr>
                <w:p w14:paraId="6F6DC70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固态</w:t>
                  </w:r>
                </w:p>
              </w:tc>
              <w:tc>
                <w:tcPr>
                  <w:tcW w:w="900" w:type="dxa"/>
                  <w:vAlign w:val="center"/>
                </w:tcPr>
                <w:p w14:paraId="3A7F0D4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w:t>
                  </w:r>
                </w:p>
              </w:tc>
              <w:tc>
                <w:tcPr>
                  <w:tcW w:w="1080" w:type="dxa"/>
                  <w:vAlign w:val="center"/>
                </w:tcPr>
                <w:p w14:paraId="5BAA25E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0.2</w:t>
                  </w:r>
                </w:p>
              </w:tc>
              <w:tc>
                <w:tcPr>
                  <w:tcW w:w="690" w:type="dxa"/>
                  <w:vAlign w:val="center"/>
                </w:tcPr>
                <w:p w14:paraId="6D9FCAC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r>
                    <w:rPr>
                      <w:rFonts w:hint="eastAsia" w:cs="Times New Roman"/>
                      <w:sz w:val="21"/>
                      <w:szCs w:val="21"/>
                      <w:lang w:val="en-US" w:eastAsia="zh-CN"/>
                    </w:rPr>
                    <w:t>箱装</w:t>
                  </w:r>
                </w:p>
              </w:tc>
              <w:tc>
                <w:tcPr>
                  <w:tcW w:w="1104" w:type="dxa"/>
                  <w:vAlign w:val="center"/>
                </w:tcPr>
                <w:p w14:paraId="4DDB6B3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收集暂存后外售回收公司</w:t>
                  </w:r>
                </w:p>
              </w:tc>
            </w:tr>
            <w:tr w14:paraId="709E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5A85F34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885" w:type="dxa"/>
                  <w:vAlign w:val="center"/>
                </w:tcPr>
                <w:p w14:paraId="44A817A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污水处理站</w:t>
                  </w:r>
                </w:p>
              </w:tc>
              <w:tc>
                <w:tcPr>
                  <w:tcW w:w="1065" w:type="dxa"/>
                  <w:vAlign w:val="center"/>
                </w:tcPr>
                <w:p w14:paraId="6B8D221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污泥</w:t>
                  </w:r>
                  <w:r>
                    <w:rPr>
                      <w:rFonts w:hint="eastAsia" w:cs="Times New Roman"/>
                      <w:color w:val="000000" w:themeColor="text1"/>
                      <w:sz w:val="21"/>
                      <w:szCs w:val="21"/>
                      <w:lang w:eastAsia="zh-CN"/>
                    </w:rPr>
                    <w:t>、</w:t>
                  </w:r>
                  <w:r>
                    <w:rPr>
                      <w:rFonts w:hint="eastAsia" w:cs="Times New Roman"/>
                      <w:color w:val="000000" w:themeColor="text1"/>
                      <w:sz w:val="21"/>
                      <w:szCs w:val="21"/>
                      <w:lang w:val="en-US" w:eastAsia="zh-CN"/>
                    </w:rPr>
                    <w:t>栅渣</w:t>
                  </w:r>
                </w:p>
              </w:tc>
              <w:tc>
                <w:tcPr>
                  <w:tcW w:w="690" w:type="dxa"/>
                  <w:vMerge w:val="restart"/>
                  <w:vAlign w:val="center"/>
                </w:tcPr>
                <w:p w14:paraId="638D823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危险废物</w:t>
                  </w:r>
                </w:p>
              </w:tc>
              <w:tc>
                <w:tcPr>
                  <w:tcW w:w="1110" w:type="dxa"/>
                  <w:vAlign w:val="center"/>
                </w:tcPr>
                <w:p w14:paraId="0305922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HW01</w:t>
                  </w:r>
                  <w:r>
                    <w:rPr>
                      <w:rFonts w:hint="default" w:ascii="Times New Roman" w:hAnsi="Times New Roman" w:eastAsia="宋体" w:cs="Times New Roman"/>
                      <w:color w:val="000000" w:themeColor="text1"/>
                      <w:sz w:val="21"/>
                      <w:szCs w:val="21"/>
                      <w:lang w:val="en-US" w:eastAsia="zh-CN"/>
                    </w:rPr>
                    <w:t>/</w:t>
                  </w:r>
                  <w:r>
                    <w:rPr>
                      <w:rFonts w:hint="default" w:ascii="Times New Roman" w:hAnsi="Times New Roman" w:eastAsia="宋体" w:cs="Times New Roman"/>
                      <w:color w:val="000000" w:themeColor="text1"/>
                      <w:sz w:val="21"/>
                      <w:szCs w:val="21"/>
                    </w:rPr>
                    <w:t>831-001-01</w:t>
                  </w:r>
                </w:p>
              </w:tc>
              <w:tc>
                <w:tcPr>
                  <w:tcW w:w="660" w:type="dxa"/>
                  <w:vAlign w:val="center"/>
                </w:tcPr>
                <w:p w14:paraId="6E5611D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固态</w:t>
                  </w:r>
                </w:p>
              </w:tc>
              <w:tc>
                <w:tcPr>
                  <w:tcW w:w="900" w:type="dxa"/>
                  <w:vAlign w:val="center"/>
                </w:tcPr>
                <w:p w14:paraId="2B7B0DD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cs="Times New Roman"/>
                      <w:color w:val="000000" w:themeColor="text1"/>
                      <w:sz w:val="21"/>
                      <w:szCs w:val="21"/>
                      <w:lang w:val="en-US" w:eastAsia="zh-CN"/>
                    </w:rPr>
                    <w:t>T/In</w:t>
                  </w:r>
                </w:p>
              </w:tc>
              <w:tc>
                <w:tcPr>
                  <w:tcW w:w="1080" w:type="dxa"/>
                  <w:vAlign w:val="center"/>
                </w:tcPr>
                <w:p w14:paraId="60A05C3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5.02</w:t>
                  </w:r>
                </w:p>
              </w:tc>
              <w:tc>
                <w:tcPr>
                  <w:tcW w:w="690" w:type="dxa"/>
                  <w:vAlign w:val="center"/>
                </w:tcPr>
                <w:p w14:paraId="237CA84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袋装</w:t>
                  </w:r>
                </w:p>
              </w:tc>
              <w:tc>
                <w:tcPr>
                  <w:tcW w:w="1104" w:type="dxa"/>
                  <w:vMerge w:val="restart"/>
                  <w:vAlign w:val="center"/>
                </w:tcPr>
                <w:p w14:paraId="2AD8EE8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暂存于</w:t>
                  </w:r>
                  <w:r>
                    <w:rPr>
                      <w:rFonts w:hint="default" w:ascii="Times New Roman" w:hAnsi="Times New Roman" w:cs="Times New Roman"/>
                      <w:sz w:val="21"/>
                      <w:szCs w:val="21"/>
                      <w:lang w:val="en-US" w:eastAsia="zh-CN"/>
                    </w:rPr>
                    <w:t>危废</w:t>
                  </w:r>
                  <w:r>
                    <w:rPr>
                      <w:rFonts w:hint="default" w:ascii="Times New Roman" w:hAnsi="Times New Roman" w:eastAsia="宋体" w:cs="Times New Roman"/>
                      <w:sz w:val="21"/>
                      <w:szCs w:val="21"/>
                    </w:rPr>
                    <w:t>暂存间（</w:t>
                  </w:r>
                  <w:r>
                    <w:rPr>
                      <w:rFonts w:hint="default" w:ascii="Times New Roman" w:hAnsi="Times New Roman" w:cs="Times New Roman"/>
                      <w:sz w:val="21"/>
                      <w:szCs w:val="21"/>
                      <w:lang w:val="en-US" w:eastAsia="zh-CN"/>
                    </w:rPr>
                    <w:t>30</w:t>
                  </w:r>
                  <w:r>
                    <w:rPr>
                      <w:rFonts w:hint="default" w:ascii="Times New Roman" w:hAnsi="Times New Roman" w:eastAsia="宋体" w:cs="Times New Roman"/>
                      <w:sz w:val="21"/>
                      <w:szCs w:val="21"/>
                    </w:rPr>
                    <w:t>m</w:t>
                  </w:r>
                  <w:r>
                    <w:rPr>
                      <w:rFonts w:hint="default" w:ascii="Times New Roman" w:hAnsi="Times New Roman" w:cs="Times New Roman"/>
                      <w:sz w:val="21"/>
                      <w:szCs w:val="21"/>
                      <w:vertAlign w:val="superscript"/>
                      <w:lang w:val="en-US" w:eastAsia="zh-CN"/>
                    </w:rPr>
                    <w:t>2</w:t>
                  </w:r>
                  <w:r>
                    <w:rPr>
                      <w:rFonts w:hint="default" w:ascii="Times New Roman" w:hAnsi="Times New Roman" w:eastAsia="宋体" w:cs="Times New Roman"/>
                      <w:sz w:val="21"/>
                      <w:szCs w:val="21"/>
                    </w:rPr>
                    <w:t>），定期委托岳阳市方向固废安全处置有限公司无害化处置</w:t>
                  </w:r>
                </w:p>
              </w:tc>
            </w:tr>
            <w:tr w14:paraId="0E13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23FF8DC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885" w:type="dxa"/>
                  <w:vMerge w:val="restart"/>
                  <w:vAlign w:val="center"/>
                </w:tcPr>
                <w:p w14:paraId="7815CCA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医疗废物</w:t>
                  </w:r>
                </w:p>
              </w:tc>
              <w:tc>
                <w:tcPr>
                  <w:tcW w:w="1065" w:type="dxa"/>
                  <w:vAlign w:val="center"/>
                </w:tcPr>
                <w:p w14:paraId="359F602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感染性废物</w:t>
                  </w:r>
                </w:p>
              </w:tc>
              <w:tc>
                <w:tcPr>
                  <w:tcW w:w="690" w:type="dxa"/>
                  <w:vMerge w:val="continue"/>
                  <w:vAlign w:val="center"/>
                </w:tcPr>
                <w:p w14:paraId="221BC11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110" w:type="dxa"/>
                  <w:vAlign w:val="center"/>
                </w:tcPr>
                <w:p w14:paraId="755BA58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HW01</w:t>
                  </w:r>
                  <w:r>
                    <w:rPr>
                      <w:rFonts w:hint="default" w:ascii="Times New Roman" w:hAnsi="Times New Roman" w:cs="Times New Roman"/>
                      <w:color w:val="000000" w:themeColor="text1"/>
                      <w:sz w:val="21"/>
                      <w:szCs w:val="21"/>
                      <w:lang w:val="en-US" w:eastAsia="zh-CN"/>
                    </w:rPr>
                    <w:t>/</w:t>
                  </w:r>
                  <w:r>
                    <w:rPr>
                      <w:rFonts w:hint="default" w:ascii="Times New Roman" w:hAnsi="Times New Roman" w:eastAsia="宋体" w:cs="Times New Roman"/>
                      <w:color w:val="000000" w:themeColor="text1"/>
                      <w:sz w:val="21"/>
                      <w:szCs w:val="21"/>
                    </w:rPr>
                    <w:t>841-001-01</w:t>
                  </w:r>
                </w:p>
              </w:tc>
              <w:tc>
                <w:tcPr>
                  <w:tcW w:w="660" w:type="dxa"/>
                  <w:vAlign w:val="center"/>
                </w:tcPr>
                <w:p w14:paraId="27D8C8C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固态</w:t>
                  </w:r>
                </w:p>
              </w:tc>
              <w:tc>
                <w:tcPr>
                  <w:tcW w:w="900" w:type="dxa"/>
                  <w:vAlign w:val="center"/>
                </w:tcPr>
                <w:p w14:paraId="0818922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In</w:t>
                  </w:r>
                </w:p>
              </w:tc>
              <w:tc>
                <w:tcPr>
                  <w:tcW w:w="1080" w:type="dxa"/>
                  <w:vMerge w:val="restart"/>
                  <w:vAlign w:val="center"/>
                </w:tcPr>
                <w:p w14:paraId="6B9B656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u w:val="none"/>
                      <w:lang w:val="en-US" w:eastAsia="zh-CN"/>
                    </w:rPr>
                    <w:t>84.242</w:t>
                  </w:r>
                </w:p>
              </w:tc>
              <w:tc>
                <w:tcPr>
                  <w:tcW w:w="690" w:type="dxa"/>
                  <w:vMerge w:val="restart"/>
                  <w:vAlign w:val="center"/>
                </w:tcPr>
                <w:p w14:paraId="048367B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箱装</w:t>
                  </w:r>
                </w:p>
              </w:tc>
              <w:tc>
                <w:tcPr>
                  <w:tcW w:w="1104" w:type="dxa"/>
                  <w:vMerge w:val="continue"/>
                  <w:vAlign w:val="center"/>
                </w:tcPr>
                <w:p w14:paraId="0A9B0D7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r>
            <w:tr w14:paraId="6117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3DF7A7E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885" w:type="dxa"/>
                  <w:vMerge w:val="continue"/>
                  <w:vAlign w:val="center"/>
                </w:tcPr>
                <w:p w14:paraId="6F85307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065" w:type="dxa"/>
                  <w:vAlign w:val="center"/>
                </w:tcPr>
                <w:p w14:paraId="64D963F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损伤性废物</w:t>
                  </w:r>
                </w:p>
              </w:tc>
              <w:tc>
                <w:tcPr>
                  <w:tcW w:w="690" w:type="dxa"/>
                  <w:vMerge w:val="continue"/>
                  <w:vAlign w:val="center"/>
                </w:tcPr>
                <w:p w14:paraId="457CE26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110" w:type="dxa"/>
                  <w:vAlign w:val="center"/>
                </w:tcPr>
                <w:p w14:paraId="3B7D1DA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HW01</w:t>
                  </w:r>
                  <w:r>
                    <w:rPr>
                      <w:rFonts w:hint="default" w:ascii="Times New Roman" w:hAnsi="Times New Roman" w:cs="Times New Roman"/>
                      <w:color w:val="000000" w:themeColor="text1"/>
                      <w:sz w:val="21"/>
                      <w:szCs w:val="21"/>
                      <w:lang w:val="en-US" w:eastAsia="zh-CN"/>
                    </w:rPr>
                    <w:t>/</w:t>
                  </w:r>
                  <w:r>
                    <w:rPr>
                      <w:rFonts w:hint="default" w:ascii="Times New Roman" w:hAnsi="Times New Roman" w:eastAsia="宋体" w:cs="Times New Roman"/>
                      <w:color w:val="000000" w:themeColor="text1"/>
                      <w:sz w:val="21"/>
                      <w:szCs w:val="21"/>
                    </w:rPr>
                    <w:t>841-002-01</w:t>
                  </w:r>
                </w:p>
              </w:tc>
              <w:tc>
                <w:tcPr>
                  <w:tcW w:w="660" w:type="dxa"/>
                  <w:vAlign w:val="center"/>
                </w:tcPr>
                <w:p w14:paraId="10D4B4A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固态</w:t>
                  </w:r>
                </w:p>
              </w:tc>
              <w:tc>
                <w:tcPr>
                  <w:tcW w:w="900" w:type="dxa"/>
                  <w:vAlign w:val="center"/>
                </w:tcPr>
                <w:p w14:paraId="149BB24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In</w:t>
                  </w:r>
                </w:p>
              </w:tc>
              <w:tc>
                <w:tcPr>
                  <w:tcW w:w="1080" w:type="dxa"/>
                  <w:vMerge w:val="continue"/>
                  <w:vAlign w:val="center"/>
                </w:tcPr>
                <w:p w14:paraId="170D4AE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690" w:type="dxa"/>
                  <w:vMerge w:val="continue"/>
                  <w:vAlign w:val="center"/>
                </w:tcPr>
                <w:p w14:paraId="6553091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104" w:type="dxa"/>
                  <w:vMerge w:val="continue"/>
                  <w:vAlign w:val="center"/>
                </w:tcPr>
                <w:p w14:paraId="20D7A55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r>
            <w:tr w14:paraId="5B3E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65E963E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885" w:type="dxa"/>
                  <w:vMerge w:val="continue"/>
                  <w:vAlign w:val="center"/>
                </w:tcPr>
                <w:p w14:paraId="20C09438">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065" w:type="dxa"/>
                  <w:vAlign w:val="center"/>
                </w:tcPr>
                <w:p w14:paraId="02ADAF6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病理性废物</w:t>
                  </w:r>
                </w:p>
              </w:tc>
              <w:tc>
                <w:tcPr>
                  <w:tcW w:w="690" w:type="dxa"/>
                  <w:vMerge w:val="continue"/>
                  <w:vAlign w:val="center"/>
                </w:tcPr>
                <w:p w14:paraId="7D56CE7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110" w:type="dxa"/>
                  <w:vAlign w:val="center"/>
                </w:tcPr>
                <w:p w14:paraId="3FFF02F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HW01</w:t>
                  </w:r>
                  <w:r>
                    <w:rPr>
                      <w:rFonts w:hint="default" w:ascii="Times New Roman" w:hAnsi="Times New Roman" w:cs="Times New Roman"/>
                      <w:color w:val="000000" w:themeColor="text1"/>
                      <w:sz w:val="21"/>
                      <w:szCs w:val="21"/>
                      <w:lang w:val="en-US" w:eastAsia="zh-CN"/>
                    </w:rPr>
                    <w:t>/</w:t>
                  </w:r>
                  <w:r>
                    <w:rPr>
                      <w:rFonts w:hint="default" w:ascii="Times New Roman" w:hAnsi="Times New Roman" w:eastAsia="宋体" w:cs="Times New Roman"/>
                      <w:color w:val="000000" w:themeColor="text1"/>
                      <w:sz w:val="21"/>
                      <w:szCs w:val="21"/>
                    </w:rPr>
                    <w:t>841-003-01</w:t>
                  </w:r>
                </w:p>
              </w:tc>
              <w:tc>
                <w:tcPr>
                  <w:tcW w:w="660" w:type="dxa"/>
                  <w:vAlign w:val="center"/>
                </w:tcPr>
                <w:p w14:paraId="0ED8A75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固态</w:t>
                  </w:r>
                </w:p>
              </w:tc>
              <w:tc>
                <w:tcPr>
                  <w:tcW w:w="900" w:type="dxa"/>
                  <w:vAlign w:val="center"/>
                </w:tcPr>
                <w:p w14:paraId="68E2267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In</w:t>
                  </w:r>
                </w:p>
              </w:tc>
              <w:tc>
                <w:tcPr>
                  <w:tcW w:w="1080" w:type="dxa"/>
                  <w:vMerge w:val="continue"/>
                  <w:vAlign w:val="center"/>
                </w:tcPr>
                <w:p w14:paraId="676C0A2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690" w:type="dxa"/>
                  <w:vMerge w:val="continue"/>
                  <w:vAlign w:val="center"/>
                </w:tcPr>
                <w:p w14:paraId="78D72A3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104" w:type="dxa"/>
                  <w:vMerge w:val="continue"/>
                  <w:vAlign w:val="center"/>
                </w:tcPr>
                <w:p w14:paraId="31B62D5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r>
            <w:tr w14:paraId="74B4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0562FDF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8</w:t>
                  </w:r>
                </w:p>
              </w:tc>
              <w:tc>
                <w:tcPr>
                  <w:tcW w:w="885" w:type="dxa"/>
                  <w:vMerge w:val="continue"/>
                  <w:vAlign w:val="center"/>
                </w:tcPr>
                <w:p w14:paraId="15677FE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065" w:type="dxa"/>
                  <w:vAlign w:val="center"/>
                </w:tcPr>
                <w:p w14:paraId="234257E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化学性废物</w:t>
                  </w:r>
                </w:p>
              </w:tc>
              <w:tc>
                <w:tcPr>
                  <w:tcW w:w="690" w:type="dxa"/>
                  <w:vMerge w:val="continue"/>
                  <w:vAlign w:val="center"/>
                </w:tcPr>
                <w:p w14:paraId="5530ED5F">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110" w:type="dxa"/>
                  <w:vAlign w:val="center"/>
                </w:tcPr>
                <w:p w14:paraId="5677D05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HW01</w:t>
                  </w:r>
                  <w:r>
                    <w:rPr>
                      <w:rFonts w:hint="default" w:ascii="Times New Roman" w:hAnsi="Times New Roman" w:cs="Times New Roman"/>
                      <w:color w:val="000000" w:themeColor="text1"/>
                      <w:sz w:val="21"/>
                      <w:szCs w:val="21"/>
                      <w:lang w:val="en-US" w:eastAsia="zh-CN"/>
                    </w:rPr>
                    <w:t>/</w:t>
                  </w:r>
                  <w:r>
                    <w:rPr>
                      <w:rFonts w:hint="default" w:ascii="Times New Roman" w:hAnsi="Times New Roman" w:eastAsia="宋体" w:cs="Times New Roman"/>
                      <w:color w:val="000000" w:themeColor="text1"/>
                      <w:sz w:val="21"/>
                      <w:szCs w:val="21"/>
                    </w:rPr>
                    <w:t>841-004-01</w:t>
                  </w:r>
                </w:p>
              </w:tc>
              <w:tc>
                <w:tcPr>
                  <w:tcW w:w="660" w:type="dxa"/>
                  <w:vAlign w:val="center"/>
                </w:tcPr>
                <w:p w14:paraId="5F7268D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固态</w:t>
                  </w:r>
                </w:p>
              </w:tc>
              <w:tc>
                <w:tcPr>
                  <w:tcW w:w="900" w:type="dxa"/>
                  <w:vAlign w:val="center"/>
                </w:tcPr>
                <w:p w14:paraId="52EC9AD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T/C/I/R</w:t>
                  </w:r>
                </w:p>
              </w:tc>
              <w:tc>
                <w:tcPr>
                  <w:tcW w:w="1080" w:type="dxa"/>
                  <w:vMerge w:val="continue"/>
                  <w:vAlign w:val="center"/>
                </w:tcPr>
                <w:p w14:paraId="76A2A56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690" w:type="dxa"/>
                  <w:vMerge w:val="continue"/>
                  <w:vAlign w:val="center"/>
                </w:tcPr>
                <w:p w14:paraId="6244297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104" w:type="dxa"/>
                  <w:vMerge w:val="continue"/>
                  <w:vAlign w:val="center"/>
                </w:tcPr>
                <w:p w14:paraId="371B51B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r>
            <w:tr w14:paraId="0819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2C3946D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r>
                    <w:rPr>
                      <w:rFonts w:hint="default" w:ascii="Times New Roman" w:hAnsi="Times New Roman" w:cs="Times New Roman"/>
                      <w:sz w:val="21"/>
                      <w:szCs w:val="21"/>
                      <w:lang w:val="en-US" w:eastAsia="zh-CN"/>
                    </w:rPr>
                    <w:t>9</w:t>
                  </w:r>
                </w:p>
              </w:tc>
              <w:tc>
                <w:tcPr>
                  <w:tcW w:w="885" w:type="dxa"/>
                  <w:vMerge w:val="continue"/>
                  <w:vAlign w:val="center"/>
                </w:tcPr>
                <w:p w14:paraId="3966D84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065" w:type="dxa"/>
                  <w:vAlign w:val="center"/>
                </w:tcPr>
                <w:p w14:paraId="4802138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药物性废物</w:t>
                  </w:r>
                </w:p>
              </w:tc>
              <w:tc>
                <w:tcPr>
                  <w:tcW w:w="690" w:type="dxa"/>
                  <w:vMerge w:val="continue"/>
                  <w:vAlign w:val="center"/>
                </w:tcPr>
                <w:p w14:paraId="538EF0B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110" w:type="dxa"/>
                  <w:vAlign w:val="center"/>
                </w:tcPr>
                <w:p w14:paraId="2752E75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HW01</w:t>
                  </w:r>
                  <w:r>
                    <w:rPr>
                      <w:rFonts w:hint="default" w:ascii="Times New Roman" w:hAnsi="Times New Roman" w:cs="Times New Roman"/>
                      <w:color w:val="000000" w:themeColor="text1"/>
                      <w:sz w:val="21"/>
                      <w:szCs w:val="21"/>
                      <w:lang w:val="en-US" w:eastAsia="zh-CN"/>
                    </w:rPr>
                    <w:t>/</w:t>
                  </w:r>
                  <w:r>
                    <w:rPr>
                      <w:rFonts w:hint="default" w:ascii="Times New Roman" w:hAnsi="Times New Roman" w:eastAsia="宋体" w:cs="Times New Roman"/>
                      <w:color w:val="000000" w:themeColor="text1"/>
                      <w:sz w:val="21"/>
                      <w:szCs w:val="21"/>
                    </w:rPr>
                    <w:t>841-005-01</w:t>
                  </w:r>
                </w:p>
              </w:tc>
              <w:tc>
                <w:tcPr>
                  <w:tcW w:w="660" w:type="dxa"/>
                  <w:vAlign w:val="center"/>
                </w:tcPr>
                <w:p w14:paraId="35B92D1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固态</w:t>
                  </w:r>
                </w:p>
              </w:tc>
              <w:tc>
                <w:tcPr>
                  <w:tcW w:w="900" w:type="dxa"/>
                  <w:vAlign w:val="center"/>
                </w:tcPr>
                <w:p w14:paraId="0E9A27CA">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In</w:t>
                  </w:r>
                </w:p>
              </w:tc>
              <w:tc>
                <w:tcPr>
                  <w:tcW w:w="1080" w:type="dxa"/>
                  <w:vMerge w:val="continue"/>
                  <w:vAlign w:val="center"/>
                </w:tcPr>
                <w:p w14:paraId="2BD3E1B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690" w:type="dxa"/>
                  <w:vMerge w:val="continue"/>
                  <w:vAlign w:val="center"/>
                </w:tcPr>
                <w:p w14:paraId="59C241C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104" w:type="dxa"/>
                  <w:vMerge w:val="continue"/>
                  <w:vAlign w:val="center"/>
                </w:tcPr>
                <w:p w14:paraId="110CCA7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r>
            <w:tr w14:paraId="68E2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5E0350A3">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eastAsia" w:cs="Times New Roman"/>
                      <w:color w:val="auto"/>
                      <w:sz w:val="21"/>
                      <w:szCs w:val="21"/>
                      <w:lang w:val="en-US" w:eastAsia="zh-CN"/>
                    </w:rPr>
                    <w:t>10</w:t>
                  </w:r>
                </w:p>
              </w:tc>
              <w:tc>
                <w:tcPr>
                  <w:tcW w:w="885" w:type="dxa"/>
                  <w:vAlign w:val="center"/>
                </w:tcPr>
                <w:p w14:paraId="64E591C7">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恶臭废气处理</w:t>
                  </w:r>
                </w:p>
              </w:tc>
              <w:tc>
                <w:tcPr>
                  <w:tcW w:w="1065" w:type="dxa"/>
                  <w:vAlign w:val="center"/>
                </w:tcPr>
                <w:p w14:paraId="472428DB">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废活性炭</w:t>
                  </w:r>
                </w:p>
              </w:tc>
              <w:tc>
                <w:tcPr>
                  <w:tcW w:w="690" w:type="dxa"/>
                  <w:vMerge w:val="continue"/>
                  <w:vAlign w:val="center"/>
                </w:tcPr>
                <w:p w14:paraId="2CDD9A6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rPr>
                  </w:pPr>
                </w:p>
              </w:tc>
              <w:tc>
                <w:tcPr>
                  <w:tcW w:w="1110" w:type="dxa"/>
                  <w:vAlign w:val="center"/>
                </w:tcPr>
                <w:p w14:paraId="5089391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HW49</w:t>
                  </w:r>
                  <w:r>
                    <w:rPr>
                      <w:rFonts w:hint="default" w:ascii="Times New Roman" w:hAnsi="Times New Roman" w:cs="Times New Roman"/>
                      <w:color w:val="000000" w:themeColor="text1"/>
                      <w:sz w:val="21"/>
                      <w:szCs w:val="21"/>
                      <w:lang w:val="en-US" w:eastAsia="zh-CN"/>
                    </w:rPr>
                    <w:t>/900-041-49</w:t>
                  </w:r>
                </w:p>
              </w:tc>
              <w:tc>
                <w:tcPr>
                  <w:tcW w:w="660" w:type="dxa"/>
                  <w:vAlign w:val="center"/>
                </w:tcPr>
                <w:p w14:paraId="7D10C63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固态</w:t>
                  </w:r>
                </w:p>
              </w:tc>
              <w:tc>
                <w:tcPr>
                  <w:tcW w:w="900" w:type="dxa"/>
                  <w:vAlign w:val="center"/>
                </w:tcPr>
                <w:p w14:paraId="7004AFF9">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T/In</w:t>
                  </w:r>
                </w:p>
              </w:tc>
              <w:tc>
                <w:tcPr>
                  <w:tcW w:w="1080" w:type="dxa"/>
                  <w:vAlign w:val="center"/>
                </w:tcPr>
                <w:p w14:paraId="57AF632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lang w:val="en-US" w:eastAsia="zh-CN"/>
                    </w:rPr>
                  </w:pPr>
                  <w:r>
                    <w:rPr>
                      <w:rFonts w:hint="eastAsia" w:cs="Times New Roman"/>
                      <w:color w:val="000000" w:themeColor="text1"/>
                      <w:sz w:val="21"/>
                      <w:szCs w:val="21"/>
                      <w:lang w:val="en-US" w:eastAsia="zh-CN"/>
                    </w:rPr>
                    <w:t>1.0</w:t>
                  </w:r>
                </w:p>
              </w:tc>
              <w:tc>
                <w:tcPr>
                  <w:tcW w:w="690" w:type="dxa"/>
                  <w:vMerge w:val="continue"/>
                  <w:vAlign w:val="center"/>
                </w:tcPr>
                <w:p w14:paraId="3031D2F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104" w:type="dxa"/>
                  <w:vMerge w:val="restart"/>
                  <w:vAlign w:val="center"/>
                </w:tcPr>
                <w:p w14:paraId="11AA274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委托资质单位处置</w:t>
                  </w:r>
                </w:p>
              </w:tc>
            </w:tr>
            <w:tr w14:paraId="6999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dxa"/>
                  <w:vAlign w:val="center"/>
                </w:tcPr>
                <w:p w14:paraId="4F81F550">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11</w:t>
                  </w:r>
                </w:p>
              </w:tc>
              <w:tc>
                <w:tcPr>
                  <w:tcW w:w="885" w:type="dxa"/>
                  <w:vAlign w:val="center"/>
                </w:tcPr>
                <w:p w14:paraId="4D0A53E6">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空气消毒</w:t>
                  </w:r>
                </w:p>
              </w:tc>
              <w:tc>
                <w:tcPr>
                  <w:tcW w:w="1065" w:type="dxa"/>
                  <w:vAlign w:val="center"/>
                </w:tcPr>
                <w:p w14:paraId="64D6E96C">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废紫外线灯管</w:t>
                  </w:r>
                </w:p>
              </w:tc>
              <w:tc>
                <w:tcPr>
                  <w:tcW w:w="690" w:type="dxa"/>
                  <w:vMerge w:val="continue"/>
                  <w:vAlign w:val="center"/>
                </w:tcPr>
                <w:p w14:paraId="034E366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sz w:val="21"/>
                      <w:szCs w:val="21"/>
                    </w:rPr>
                  </w:pPr>
                </w:p>
              </w:tc>
              <w:tc>
                <w:tcPr>
                  <w:tcW w:w="1110" w:type="dxa"/>
                  <w:vAlign w:val="center"/>
                </w:tcPr>
                <w:p w14:paraId="1C1333D1">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HW29/900-023-29</w:t>
                  </w:r>
                </w:p>
              </w:tc>
              <w:tc>
                <w:tcPr>
                  <w:tcW w:w="660" w:type="dxa"/>
                  <w:vAlign w:val="center"/>
                </w:tcPr>
                <w:p w14:paraId="43B18522">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固态</w:t>
                  </w:r>
                </w:p>
              </w:tc>
              <w:tc>
                <w:tcPr>
                  <w:tcW w:w="900" w:type="dxa"/>
                  <w:vAlign w:val="center"/>
                </w:tcPr>
                <w:p w14:paraId="2EDACBD5">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T</w:t>
                  </w:r>
                </w:p>
              </w:tc>
              <w:tc>
                <w:tcPr>
                  <w:tcW w:w="1080" w:type="dxa"/>
                  <w:vAlign w:val="center"/>
                </w:tcPr>
                <w:p w14:paraId="279A4C94">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0.002</w:t>
                  </w:r>
                </w:p>
              </w:tc>
              <w:tc>
                <w:tcPr>
                  <w:tcW w:w="690" w:type="dxa"/>
                  <w:vMerge w:val="continue"/>
                  <w:vAlign w:val="center"/>
                </w:tcPr>
                <w:p w14:paraId="452AE3FD">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rPr>
                  </w:pPr>
                </w:p>
              </w:tc>
              <w:tc>
                <w:tcPr>
                  <w:tcW w:w="1104" w:type="dxa"/>
                  <w:vMerge w:val="continue"/>
                  <w:vAlign w:val="center"/>
                </w:tcPr>
                <w:p w14:paraId="0504726E">
                  <w:pPr>
                    <w:keepNext w:val="0"/>
                    <w:keepLines w:val="0"/>
                    <w:pageBreakBefore w:val="0"/>
                    <w:widowControl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lang w:val="en-US" w:eastAsia="zh-CN"/>
                    </w:rPr>
                  </w:pPr>
                </w:p>
              </w:tc>
            </w:tr>
          </w:tbl>
          <w:p w14:paraId="6BA5A6DA">
            <w:pPr>
              <w:keepNext w:val="0"/>
              <w:keepLines w:val="0"/>
              <w:pageBreakBefore w:val="0"/>
              <w:widowControl/>
              <w:kinsoku/>
              <w:wordWrap/>
              <w:overflowPunct/>
              <w:topLinePunct w:val="0"/>
              <w:autoSpaceDE/>
              <w:autoSpaceDN/>
              <w:bidi w:val="0"/>
              <w:spacing w:line="360"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表4-</w:t>
            </w:r>
            <w:r>
              <w:rPr>
                <w:rFonts w:hint="eastAsia" w:cs="Times New Roman"/>
                <w:b/>
                <w:bCs/>
                <w:sz w:val="21"/>
                <w:szCs w:val="21"/>
                <w:lang w:val="en-US" w:eastAsia="zh-CN"/>
              </w:rPr>
              <w:t>26</w:t>
            </w:r>
            <w:r>
              <w:rPr>
                <w:rFonts w:hint="default" w:ascii="Times New Roman" w:hAnsi="Times New Roman" w:cs="Times New Roman"/>
                <w:b/>
                <w:bCs/>
                <w:sz w:val="21"/>
                <w:szCs w:val="21"/>
                <w:lang w:val="en-US" w:eastAsia="zh-CN"/>
              </w:rPr>
              <w:t xml:space="preserve"> 医疗废物分类目录</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60"/>
              <w:gridCol w:w="3630"/>
              <w:gridCol w:w="3088"/>
            </w:tblGrid>
            <w:tr w14:paraId="0F93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14:paraId="5A93546B">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bCs/>
                      <w:color w:val="000000" w:themeColor="text1"/>
                      <w:kern w:val="2"/>
                      <w:sz w:val="21"/>
                      <w:szCs w:val="21"/>
                      <w:u w:val="none"/>
                      <w:vertAlign w:val="baseline"/>
                      <w:lang w:val="en-US" w:eastAsia="zh-CN"/>
                    </w:rPr>
                  </w:pPr>
                  <w:r>
                    <w:rPr>
                      <w:rFonts w:hint="eastAsia" w:cs="Times New Roman"/>
                      <w:b/>
                      <w:bCs/>
                      <w:color w:val="000000" w:themeColor="text1"/>
                      <w:kern w:val="2"/>
                      <w:sz w:val="21"/>
                      <w:szCs w:val="21"/>
                      <w:u w:val="none"/>
                      <w:vertAlign w:val="baseline"/>
                      <w:lang w:val="en-US" w:eastAsia="zh-CN"/>
                    </w:rPr>
                    <w:t>类别</w:t>
                  </w:r>
                </w:p>
              </w:tc>
              <w:tc>
                <w:tcPr>
                  <w:tcW w:w="1260" w:type="dxa"/>
                  <w:vAlign w:val="center"/>
                </w:tcPr>
                <w:p w14:paraId="20BBA7D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bCs/>
                      <w:color w:val="000000" w:themeColor="text1"/>
                      <w:kern w:val="2"/>
                      <w:sz w:val="21"/>
                      <w:szCs w:val="21"/>
                      <w:u w:val="none"/>
                      <w:vertAlign w:val="baseline"/>
                      <w:lang w:val="en-US" w:eastAsia="zh-CN"/>
                    </w:rPr>
                  </w:pPr>
                  <w:r>
                    <w:rPr>
                      <w:rFonts w:hint="eastAsia" w:cs="Times New Roman"/>
                      <w:b/>
                      <w:bCs/>
                      <w:color w:val="000000" w:themeColor="text1"/>
                      <w:kern w:val="2"/>
                      <w:sz w:val="21"/>
                      <w:szCs w:val="21"/>
                      <w:u w:val="none"/>
                      <w:vertAlign w:val="baseline"/>
                      <w:lang w:val="en-US" w:eastAsia="zh-CN"/>
                    </w:rPr>
                    <w:t>特征</w:t>
                  </w:r>
                </w:p>
              </w:tc>
              <w:tc>
                <w:tcPr>
                  <w:tcW w:w="3630" w:type="dxa"/>
                  <w:vAlign w:val="center"/>
                </w:tcPr>
                <w:p w14:paraId="131EBB3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2"/>
                      <w:sz w:val="21"/>
                      <w:szCs w:val="21"/>
                      <w:u w:val="none"/>
                      <w:vertAlign w:val="baseline"/>
                      <w:lang w:val="en-US" w:eastAsia="zh-CN"/>
                    </w:rPr>
                  </w:pPr>
                  <w:r>
                    <w:rPr>
                      <w:rFonts w:hint="eastAsia" w:cs="Times New Roman"/>
                      <w:b/>
                      <w:bCs/>
                      <w:color w:val="000000" w:themeColor="text1"/>
                      <w:kern w:val="2"/>
                      <w:sz w:val="21"/>
                      <w:szCs w:val="21"/>
                      <w:u w:val="none"/>
                      <w:vertAlign w:val="baseline"/>
                      <w:lang w:val="en-US" w:eastAsia="zh-CN"/>
                    </w:rPr>
                    <w:t>常见组分或废物名称</w:t>
                  </w:r>
                </w:p>
              </w:tc>
              <w:tc>
                <w:tcPr>
                  <w:tcW w:w="3088" w:type="dxa"/>
                  <w:vAlign w:val="center"/>
                </w:tcPr>
                <w:p w14:paraId="37C70A8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000000" w:themeColor="text1"/>
                      <w:kern w:val="2"/>
                      <w:sz w:val="21"/>
                      <w:szCs w:val="21"/>
                      <w:u w:val="none"/>
                      <w:vertAlign w:val="baseline"/>
                      <w:lang w:val="en-US" w:eastAsia="zh-CN"/>
                    </w:rPr>
                  </w:pPr>
                  <w:r>
                    <w:rPr>
                      <w:rFonts w:hint="eastAsia" w:cs="Times New Roman"/>
                      <w:b/>
                      <w:bCs/>
                      <w:color w:val="000000" w:themeColor="text1"/>
                      <w:kern w:val="2"/>
                      <w:sz w:val="21"/>
                      <w:szCs w:val="21"/>
                      <w:u w:val="none"/>
                      <w:vertAlign w:val="baseline"/>
                      <w:lang w:val="en-US" w:eastAsia="zh-CN"/>
                    </w:rPr>
                    <w:t>收集方式</w:t>
                  </w:r>
                </w:p>
              </w:tc>
            </w:tr>
            <w:tr w14:paraId="4B84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14:paraId="60A0224A">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lang w:val="en-US" w:eastAsia="zh-CN"/>
                    </w:rPr>
                  </w:pPr>
                  <w:r>
                    <w:rPr>
                      <w:rFonts w:hint="eastAsia" w:cs="Times New Roman"/>
                      <w:color w:val="000000" w:themeColor="text1"/>
                      <w:kern w:val="2"/>
                      <w:sz w:val="21"/>
                      <w:szCs w:val="21"/>
                      <w:u w:val="none"/>
                      <w:vertAlign w:val="baseline"/>
                      <w:lang w:val="en-US" w:eastAsia="zh-CN"/>
                    </w:rPr>
                    <w:t>感染性废物</w:t>
                  </w:r>
                </w:p>
              </w:tc>
              <w:tc>
                <w:tcPr>
                  <w:tcW w:w="1260" w:type="dxa"/>
                  <w:vAlign w:val="center"/>
                </w:tcPr>
                <w:p w14:paraId="5C1B08BE">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携带病原微生物具有引发感染性疾病传播危险的医疗废物</w:t>
                  </w:r>
                </w:p>
              </w:tc>
              <w:tc>
                <w:tcPr>
                  <w:tcW w:w="3630" w:type="dxa"/>
                  <w:vAlign w:val="center"/>
                </w:tcPr>
                <w:p w14:paraId="2EEE239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1.被患者血液、体液、排泄物等污染的除锐器以外的废物;</w:t>
                  </w:r>
                </w:p>
                <w:p w14:paraId="319F53C6">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2.使用后废弃的一次性使用医疗器械，如注射器、输液器、透析器等;</w:t>
                  </w:r>
                </w:p>
                <w:p w14:paraId="0921D76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3.病原微生物实验室废弃的病原体培养基、标本，菌种和毒种保存液及其容器;其他实验室及科室废弃的血液、血清、分泌物</w:t>
                  </w:r>
                </w:p>
                <w:p w14:paraId="591B7726">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4.隔离传染病患者或者疑似传染病患者产生的废弃</w:t>
                  </w:r>
                </w:p>
              </w:tc>
              <w:tc>
                <w:tcPr>
                  <w:tcW w:w="3088" w:type="dxa"/>
                  <w:vAlign w:val="center"/>
                </w:tcPr>
                <w:p w14:paraId="5E4218D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1.收集于符合《医疗废物专用包装袋、容器和警示标志标准》(HJ421)的医疗废物包装袋中;</w:t>
                  </w:r>
                </w:p>
                <w:p w14:paraId="42CC3FA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2.病原微生物实验室废弃的病原体培养基、标本，菌种和毒</w:t>
                  </w:r>
                  <w:r>
                    <w:rPr>
                      <w:rFonts w:hint="eastAsia" w:cs="Times New Roman"/>
                      <w:color w:val="000000" w:themeColor="text1"/>
                      <w:kern w:val="2"/>
                      <w:sz w:val="21"/>
                      <w:szCs w:val="21"/>
                      <w:u w:val="none"/>
                      <w:vertAlign w:val="baseline"/>
                      <w:lang w:val="en-US" w:eastAsia="zh-CN"/>
                    </w:rPr>
                    <w:t>种</w:t>
                  </w:r>
                  <w:r>
                    <w:rPr>
                      <w:rFonts w:hint="default" w:ascii="Times New Roman" w:hAnsi="Times New Roman" w:eastAsia="宋体" w:cs="Times New Roman"/>
                      <w:color w:val="000000" w:themeColor="text1"/>
                      <w:kern w:val="2"/>
                      <w:sz w:val="21"/>
                      <w:szCs w:val="21"/>
                      <w:u w:val="none"/>
                      <w:vertAlign w:val="baseline"/>
                    </w:rPr>
                    <w:t>保存液及其容器，应在产生地点进行压力蒸汽灭菌或者使用其他方式消毒，然后按感染性废物收集处理;</w:t>
                  </w:r>
                </w:p>
                <w:p w14:paraId="41EC4C4A">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themeColor="text1"/>
                      <w:kern w:val="2"/>
                      <w:sz w:val="21"/>
                      <w:szCs w:val="21"/>
                      <w:u w:val="none"/>
                      <w:vertAlign w:val="baseline"/>
                      <w:lang w:eastAsia="zh-CN"/>
                    </w:rPr>
                  </w:pPr>
                  <w:r>
                    <w:rPr>
                      <w:rFonts w:hint="default" w:ascii="Times New Roman" w:hAnsi="Times New Roman" w:eastAsia="宋体" w:cs="Times New Roman"/>
                      <w:color w:val="000000" w:themeColor="text1"/>
                      <w:kern w:val="2"/>
                      <w:sz w:val="21"/>
                      <w:szCs w:val="21"/>
                      <w:u w:val="none"/>
                      <w:vertAlign w:val="baseline"/>
                    </w:rPr>
                    <w:t>3.隔离传染病患者或者疑似传染病患者产生的医疗废物应当使用双层医疗废物包装袋盛装</w:t>
                  </w:r>
                </w:p>
              </w:tc>
            </w:tr>
            <w:tr w14:paraId="6B878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14:paraId="67D567A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lang w:val="en-US" w:eastAsia="zh-CN"/>
                    </w:rPr>
                  </w:pPr>
                  <w:r>
                    <w:rPr>
                      <w:rFonts w:hint="eastAsia" w:cs="Times New Roman"/>
                      <w:color w:val="000000" w:themeColor="text1"/>
                      <w:kern w:val="2"/>
                      <w:sz w:val="21"/>
                      <w:szCs w:val="21"/>
                      <w:u w:val="none"/>
                      <w:vertAlign w:val="baseline"/>
                      <w:lang w:val="en-US" w:eastAsia="zh-CN"/>
                    </w:rPr>
                    <w:t>损伤性废物</w:t>
                  </w:r>
                </w:p>
              </w:tc>
              <w:tc>
                <w:tcPr>
                  <w:tcW w:w="1260" w:type="dxa"/>
                  <w:vAlign w:val="center"/>
                </w:tcPr>
                <w:p w14:paraId="5868E90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能够刺伤或者割伤人体的废弃的医用锐器</w:t>
                  </w:r>
                </w:p>
              </w:tc>
              <w:tc>
                <w:tcPr>
                  <w:tcW w:w="3630" w:type="dxa"/>
                  <w:vAlign w:val="center"/>
                </w:tcPr>
                <w:p w14:paraId="189BF19E">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1.废弃的金属类锐器，如针头、缝合针、针灸针、探针、穿刺针、解剖刀、手术刀、手术锯、备皮刀、钢钉和导丝等;</w:t>
                  </w:r>
                </w:p>
                <w:p w14:paraId="5BFC909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2.废弃的玻璃类锐器，如盖玻片、载玻片、玻璃安瓿等;</w:t>
                  </w:r>
                </w:p>
                <w:p w14:paraId="46AE2F0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3.废弃的其他材质类锐器</w:t>
                  </w:r>
                </w:p>
              </w:tc>
              <w:tc>
                <w:tcPr>
                  <w:tcW w:w="3088" w:type="dxa"/>
                  <w:vAlign w:val="center"/>
                </w:tcPr>
                <w:p w14:paraId="5C01683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1.收集于符合《医疗废物专用包装袋、容器和警示标志标准》(HJ421)的利器盒中;</w:t>
                  </w:r>
                </w:p>
                <w:p w14:paraId="257ACE1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2.利器盒达到3/4满时，应当封闭严密，按流程运送、贮存。</w:t>
                  </w:r>
                </w:p>
              </w:tc>
            </w:tr>
            <w:tr w14:paraId="22545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14:paraId="2AC48BC4">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themeColor="text1"/>
                      <w:kern w:val="2"/>
                      <w:sz w:val="21"/>
                      <w:szCs w:val="21"/>
                      <w:u w:val="none"/>
                      <w:vertAlign w:val="baseline"/>
                      <w:lang w:val="en-US" w:eastAsia="zh-CN"/>
                    </w:rPr>
                  </w:pPr>
                  <w:r>
                    <w:rPr>
                      <w:rFonts w:hint="eastAsia" w:cs="Times New Roman"/>
                      <w:color w:val="000000" w:themeColor="text1"/>
                      <w:kern w:val="2"/>
                      <w:sz w:val="21"/>
                      <w:szCs w:val="21"/>
                      <w:u w:val="none"/>
                      <w:vertAlign w:val="baseline"/>
                      <w:lang w:val="en-US" w:eastAsia="zh-CN"/>
                    </w:rPr>
                    <w:t>病理性废物</w:t>
                  </w:r>
                </w:p>
              </w:tc>
              <w:tc>
                <w:tcPr>
                  <w:tcW w:w="1260" w:type="dxa"/>
                  <w:vAlign w:val="center"/>
                </w:tcPr>
                <w:p w14:paraId="4A412FB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诊疗过程中产生的人体废弃物和医学实验动物尸体等</w:t>
                  </w:r>
                </w:p>
              </w:tc>
              <w:tc>
                <w:tcPr>
                  <w:tcW w:w="3630" w:type="dxa"/>
                  <w:vAlign w:val="center"/>
                </w:tcPr>
                <w:p w14:paraId="202934D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1.手术及其他医学服务过程中产生的废弃的人体组织、器官;</w:t>
                  </w:r>
                </w:p>
                <w:p w14:paraId="7836D18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2.病理切片后废弃的人体组织、病理蜡块;</w:t>
                  </w:r>
                </w:p>
                <w:p w14:paraId="49B8F39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3.废弃的医学实验动物的组织和尸体;</w:t>
                  </w:r>
                </w:p>
                <w:p w14:paraId="14829AE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color w:val="000000" w:themeColor="text1"/>
                      <w:kern w:val="2"/>
                      <w:sz w:val="21"/>
                      <w:szCs w:val="21"/>
                      <w:u w:val="none"/>
                      <w:vertAlign w:val="baseline"/>
                      <w:lang w:eastAsia="zh-CN"/>
                    </w:rPr>
                  </w:pPr>
                  <w:r>
                    <w:rPr>
                      <w:rFonts w:hint="default" w:ascii="Times New Roman" w:hAnsi="Times New Roman" w:eastAsia="宋体" w:cs="Times New Roman"/>
                      <w:color w:val="000000" w:themeColor="text1"/>
                      <w:kern w:val="2"/>
                      <w:sz w:val="21"/>
                      <w:szCs w:val="21"/>
                      <w:u w:val="none"/>
                      <w:vertAlign w:val="baseline"/>
                    </w:rPr>
                    <w:t>4.16周胎龄以下或重量不足500克的胚胎组织等</w:t>
                  </w:r>
                  <w:r>
                    <w:rPr>
                      <w:rFonts w:hint="eastAsia" w:cs="Times New Roman"/>
                      <w:color w:val="000000" w:themeColor="text1"/>
                      <w:kern w:val="2"/>
                      <w:sz w:val="21"/>
                      <w:szCs w:val="21"/>
                      <w:u w:val="none"/>
                      <w:vertAlign w:val="baseline"/>
                      <w:lang w:eastAsia="zh-CN"/>
                    </w:rPr>
                    <w:t>；</w:t>
                  </w:r>
                </w:p>
                <w:p w14:paraId="4FED751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themeColor="text1"/>
                      <w:kern w:val="2"/>
                      <w:sz w:val="21"/>
                      <w:szCs w:val="21"/>
                      <w:u w:val="none"/>
                      <w:vertAlign w:val="baseline"/>
                      <w:lang w:eastAsia="zh-CN"/>
                    </w:rPr>
                  </w:pPr>
                  <w:r>
                    <w:rPr>
                      <w:rFonts w:hint="eastAsia" w:cs="Times New Roman"/>
                      <w:color w:val="000000" w:themeColor="text1"/>
                      <w:kern w:val="2"/>
                      <w:sz w:val="21"/>
                      <w:szCs w:val="21"/>
                      <w:u w:val="none"/>
                      <w:vertAlign w:val="baseline"/>
                      <w:lang w:eastAsia="zh-CN"/>
                    </w:rPr>
                    <w:t>5.确诊、疑似传染病或携带传染病病原体的产妇的胎盘</w:t>
                  </w:r>
                </w:p>
              </w:tc>
              <w:tc>
                <w:tcPr>
                  <w:tcW w:w="3088" w:type="dxa"/>
                  <w:vAlign w:val="center"/>
                </w:tcPr>
                <w:p w14:paraId="7A693C7B">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1.收集于符合《医疗废物专用包装袋、容器和警示标志标准》(HJ421)的医疗废物包装袋中;</w:t>
                  </w:r>
                </w:p>
                <w:p w14:paraId="70669D5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2.确诊、疑似传染病产妇或携带传染病病原体的产妇的胎盘应使用双层医疗废物包装袋盛装;</w:t>
                  </w:r>
                </w:p>
                <w:p w14:paraId="3092D6F9">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3.可进行防腐或者低温保存</w:t>
                  </w:r>
                </w:p>
              </w:tc>
            </w:tr>
            <w:tr w14:paraId="1EE5D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14:paraId="48B494DC">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themeColor="text1"/>
                      <w:kern w:val="2"/>
                      <w:sz w:val="21"/>
                      <w:szCs w:val="21"/>
                      <w:u w:val="none"/>
                      <w:vertAlign w:val="baseline"/>
                      <w:lang w:val="en-US" w:eastAsia="zh-CN"/>
                    </w:rPr>
                  </w:pPr>
                  <w:r>
                    <w:rPr>
                      <w:rFonts w:hint="eastAsia" w:cs="Times New Roman"/>
                      <w:color w:val="000000" w:themeColor="text1"/>
                      <w:kern w:val="2"/>
                      <w:sz w:val="21"/>
                      <w:szCs w:val="21"/>
                      <w:u w:val="none"/>
                      <w:vertAlign w:val="baseline"/>
                      <w:lang w:val="en-US" w:eastAsia="zh-CN"/>
                    </w:rPr>
                    <w:t>药物性废物</w:t>
                  </w:r>
                </w:p>
              </w:tc>
              <w:tc>
                <w:tcPr>
                  <w:tcW w:w="1260" w:type="dxa"/>
                  <w:vAlign w:val="center"/>
                </w:tcPr>
                <w:p w14:paraId="4B887536">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过期、淘汰、变质或者被污染的废弃的药物</w:t>
                  </w:r>
                </w:p>
              </w:tc>
              <w:tc>
                <w:tcPr>
                  <w:tcW w:w="3630" w:type="dxa"/>
                  <w:vAlign w:val="center"/>
                </w:tcPr>
                <w:p w14:paraId="050FFF0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1.废弃的一般性药物;</w:t>
                  </w:r>
                </w:p>
                <w:p w14:paraId="7CA2090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2.废弃的细胞毒性药物和遗传毒性药物;</w:t>
                  </w:r>
                </w:p>
                <w:p w14:paraId="0BBFC33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themeColor="text1"/>
                      <w:kern w:val="2"/>
                      <w:sz w:val="21"/>
                      <w:szCs w:val="21"/>
                      <w:u w:val="none"/>
                      <w:vertAlign w:val="baseline"/>
                      <w:lang w:val="en-US" w:eastAsia="zh-CN"/>
                    </w:rPr>
                  </w:pPr>
                  <w:r>
                    <w:rPr>
                      <w:rFonts w:hint="default" w:ascii="Times New Roman" w:hAnsi="Times New Roman" w:eastAsia="宋体" w:cs="Times New Roman"/>
                      <w:color w:val="000000" w:themeColor="text1"/>
                      <w:kern w:val="2"/>
                      <w:sz w:val="21"/>
                      <w:szCs w:val="21"/>
                      <w:u w:val="none"/>
                      <w:vertAlign w:val="baseline"/>
                    </w:rPr>
                    <w:t>3.废弃的疫苗及血液制</w:t>
                  </w:r>
                  <w:r>
                    <w:rPr>
                      <w:rFonts w:hint="eastAsia" w:cs="Times New Roman"/>
                      <w:color w:val="000000" w:themeColor="text1"/>
                      <w:kern w:val="2"/>
                      <w:sz w:val="21"/>
                      <w:szCs w:val="21"/>
                      <w:u w:val="none"/>
                      <w:vertAlign w:val="baseline"/>
                      <w:lang w:val="en-US" w:eastAsia="zh-CN"/>
                    </w:rPr>
                    <w:t>品</w:t>
                  </w:r>
                </w:p>
              </w:tc>
              <w:tc>
                <w:tcPr>
                  <w:tcW w:w="3088" w:type="dxa"/>
                  <w:vAlign w:val="center"/>
                </w:tcPr>
                <w:p w14:paraId="5B86BAB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1.少量的药物性废物可以并入</w:t>
                  </w:r>
                </w:p>
                <w:p w14:paraId="4016152D">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感染性废物中，但应在标签中注明;</w:t>
                  </w:r>
                </w:p>
                <w:p w14:paraId="55D43D2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2.批量废弃的药物性废物，收集后应交由具备相应资质的医疗废物处置单位或者危险废物处置单位等进行处置</w:t>
                  </w:r>
                </w:p>
              </w:tc>
            </w:tr>
            <w:tr w14:paraId="7114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14:paraId="5B7BAE9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lang w:val="en-US" w:eastAsia="zh-CN"/>
                    </w:rPr>
                  </w:pPr>
                  <w:r>
                    <w:rPr>
                      <w:rFonts w:hint="eastAsia" w:cs="Times New Roman"/>
                      <w:color w:val="000000" w:themeColor="text1"/>
                      <w:kern w:val="2"/>
                      <w:sz w:val="21"/>
                      <w:szCs w:val="21"/>
                      <w:u w:val="none"/>
                      <w:vertAlign w:val="baseline"/>
                      <w:lang w:val="en-US" w:eastAsia="zh-CN"/>
                    </w:rPr>
                    <w:t>化学性废物</w:t>
                  </w:r>
                </w:p>
              </w:tc>
              <w:tc>
                <w:tcPr>
                  <w:tcW w:w="1260" w:type="dxa"/>
                  <w:vAlign w:val="center"/>
                </w:tcPr>
                <w:p w14:paraId="19C101ED">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具有毒性、腐蚀性、易燃性、反应性的废弃的化学物品</w:t>
                  </w:r>
                </w:p>
              </w:tc>
              <w:tc>
                <w:tcPr>
                  <w:tcW w:w="3630" w:type="dxa"/>
                  <w:vAlign w:val="center"/>
                </w:tcPr>
                <w:p w14:paraId="1C7250FB">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列入《国家危险废物名录》中的废弃危险化学品，如甲醛、二甲苯等;非特定行业来源的危险废物，如含汞血压计、含汞体温计，废弃的牙科汞合金材料及其残余物等</w:t>
                  </w:r>
                </w:p>
              </w:tc>
              <w:tc>
                <w:tcPr>
                  <w:tcW w:w="3088" w:type="dxa"/>
                  <w:vAlign w:val="center"/>
                </w:tcPr>
                <w:p w14:paraId="6B3252D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1.收集于容器中，粘贴标签并注明主要成分;</w:t>
                  </w:r>
                </w:p>
                <w:p w14:paraId="2F3B610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2"/>
                      <w:sz w:val="21"/>
                      <w:szCs w:val="21"/>
                      <w:u w:val="none"/>
                      <w:vertAlign w:val="baseline"/>
                    </w:rPr>
                  </w:pPr>
                  <w:r>
                    <w:rPr>
                      <w:rFonts w:hint="default" w:ascii="Times New Roman" w:hAnsi="Times New Roman" w:eastAsia="宋体" w:cs="Times New Roman"/>
                      <w:color w:val="000000" w:themeColor="text1"/>
                      <w:kern w:val="2"/>
                      <w:sz w:val="21"/>
                      <w:szCs w:val="21"/>
                      <w:u w:val="none"/>
                      <w:vertAlign w:val="baseline"/>
                    </w:rPr>
                    <w:t>2.收集后应交由具备相应资质的医疗废物处置单位或者危险废物处置单位等进行处置</w:t>
                  </w:r>
                </w:p>
              </w:tc>
            </w:tr>
          </w:tbl>
          <w:p w14:paraId="2A54F332">
            <w:pPr>
              <w:widowControl/>
              <w:spacing w:line="240" w:lineRule="auto"/>
              <w:jc w:val="center"/>
              <w:rPr>
                <w:rFonts w:hint="default" w:ascii="Times New Roman" w:hAnsi="Times New Roman" w:eastAsia="宋体" w:cs="Times New Roman"/>
                <w:kern w:val="2"/>
                <w:sz w:val="21"/>
                <w:szCs w:val="21"/>
                <w:u w:val="none"/>
              </w:rPr>
            </w:pPr>
          </w:p>
          <w:p w14:paraId="5388B181">
            <w:pPr>
              <w:widowControl/>
              <w:spacing w:line="360" w:lineRule="auto"/>
              <w:jc w:val="center"/>
              <w:rPr>
                <w:rFonts w:hint="default" w:ascii="Times New Roman" w:hAnsi="Times New Roman" w:eastAsia="宋体" w:cs="Times New Roman"/>
                <w:b/>
                <w:bCs/>
                <w:sz w:val="21"/>
                <w:szCs w:val="21"/>
                <w:lang w:val="en-US" w:eastAsia="zh-CN"/>
              </w:rPr>
            </w:pPr>
            <w:r>
              <w:rPr>
                <w:rFonts w:hint="eastAsia" w:cs="Times New Roman"/>
                <w:b/>
                <w:bCs/>
                <w:sz w:val="21"/>
                <w:szCs w:val="21"/>
                <w:lang w:val="en-US" w:eastAsia="zh-CN"/>
              </w:rPr>
              <w:t>表2-27 危险废物判定一览表</w:t>
            </w:r>
          </w:p>
          <w:tbl>
            <w:tblPr>
              <w:tblStyle w:val="25"/>
              <w:tblW w:w="8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795"/>
              <w:gridCol w:w="1080"/>
              <w:gridCol w:w="450"/>
              <w:gridCol w:w="960"/>
              <w:gridCol w:w="645"/>
              <w:gridCol w:w="600"/>
              <w:gridCol w:w="765"/>
              <w:gridCol w:w="615"/>
              <w:gridCol w:w="1905"/>
            </w:tblGrid>
            <w:tr w14:paraId="1B2E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4FFE1A3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危险废物名称</w:t>
                  </w:r>
                </w:p>
              </w:tc>
              <w:tc>
                <w:tcPr>
                  <w:tcW w:w="795" w:type="dxa"/>
                  <w:vAlign w:val="center"/>
                </w:tcPr>
                <w:p w14:paraId="1168BEA9">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危险废物类别</w:t>
                  </w:r>
                </w:p>
              </w:tc>
              <w:tc>
                <w:tcPr>
                  <w:tcW w:w="1080" w:type="dxa"/>
                  <w:vAlign w:val="center"/>
                </w:tcPr>
                <w:p w14:paraId="553BE03A">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危险废物</w:t>
                  </w:r>
                  <w:r>
                    <w:rPr>
                      <w:rFonts w:hint="eastAsia" w:ascii="Times New Roman" w:hAnsi="Times New Roman" w:eastAsia="宋体" w:cs="Times New Roman"/>
                      <w:b/>
                      <w:bCs/>
                      <w:color w:val="auto"/>
                      <w:sz w:val="18"/>
                      <w:szCs w:val="18"/>
                      <w:vertAlign w:val="baseline"/>
                    </w:rPr>
                    <w:t>代码</w:t>
                  </w:r>
                </w:p>
              </w:tc>
              <w:tc>
                <w:tcPr>
                  <w:tcW w:w="450" w:type="dxa"/>
                  <w:vAlign w:val="center"/>
                </w:tcPr>
                <w:p w14:paraId="70E4B444">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形态</w:t>
                  </w:r>
                </w:p>
              </w:tc>
              <w:tc>
                <w:tcPr>
                  <w:tcW w:w="960" w:type="dxa"/>
                  <w:vAlign w:val="center"/>
                </w:tcPr>
                <w:p w14:paraId="7217317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产生</w:t>
                  </w:r>
                  <w:r>
                    <w:rPr>
                      <w:rFonts w:hint="eastAsia" w:cs="Times New Roman"/>
                      <w:b/>
                      <w:bCs/>
                      <w:color w:val="auto"/>
                      <w:sz w:val="18"/>
                      <w:szCs w:val="18"/>
                      <w:vertAlign w:val="baseline"/>
                      <w:lang w:val="en-US" w:eastAsia="zh-CN"/>
                    </w:rPr>
                    <w:t>环节</w:t>
                  </w:r>
                </w:p>
              </w:tc>
              <w:tc>
                <w:tcPr>
                  <w:tcW w:w="645" w:type="dxa"/>
                  <w:vAlign w:val="center"/>
                </w:tcPr>
                <w:p w14:paraId="0135F11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产生量</w:t>
                  </w:r>
                  <w:r>
                    <w:rPr>
                      <w:rFonts w:hint="default" w:ascii="Times New Roman" w:hAnsi="Times New Roman" w:eastAsia="宋体" w:cs="Times New Roman"/>
                      <w:b/>
                      <w:bCs/>
                      <w:color w:val="auto"/>
                      <w:sz w:val="18"/>
                      <w:szCs w:val="18"/>
                      <w:vertAlign w:val="baseline"/>
                    </w:rPr>
                    <w:t>t/a</w:t>
                  </w:r>
                </w:p>
              </w:tc>
              <w:tc>
                <w:tcPr>
                  <w:tcW w:w="600" w:type="dxa"/>
                  <w:vAlign w:val="center"/>
                </w:tcPr>
                <w:p w14:paraId="1D15412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危险特性</w:t>
                  </w:r>
                </w:p>
              </w:tc>
              <w:tc>
                <w:tcPr>
                  <w:tcW w:w="765" w:type="dxa"/>
                  <w:vAlign w:val="center"/>
                </w:tcPr>
                <w:p w14:paraId="2051FF6E">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val="en-US" w:eastAsia="zh-CN"/>
                    </w:rPr>
                    <w:t>有害成分</w:t>
                  </w:r>
                </w:p>
              </w:tc>
              <w:tc>
                <w:tcPr>
                  <w:tcW w:w="615" w:type="dxa"/>
                  <w:vAlign w:val="center"/>
                </w:tcPr>
                <w:p w14:paraId="28E1FC7B">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eastAsia" w:ascii="Times New Roman" w:hAnsi="Times New Roman" w:eastAsia="宋体" w:cs="Times New Roman"/>
                      <w:b/>
                      <w:bCs/>
                      <w:color w:val="auto"/>
                      <w:sz w:val="18"/>
                      <w:szCs w:val="18"/>
                      <w:vertAlign w:val="baseline"/>
                      <w:lang w:eastAsia="zh-CN"/>
                    </w:rPr>
                    <w:t>产生周期</w:t>
                  </w:r>
                </w:p>
              </w:tc>
              <w:tc>
                <w:tcPr>
                  <w:tcW w:w="1905" w:type="dxa"/>
                  <w:vAlign w:val="center"/>
                </w:tcPr>
                <w:p w14:paraId="278A5BD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color w:val="auto"/>
                      <w:sz w:val="18"/>
                      <w:szCs w:val="18"/>
                      <w:vertAlign w:val="baseline"/>
                    </w:rPr>
                  </w:pPr>
                  <w:r>
                    <w:rPr>
                      <w:rFonts w:hint="default" w:ascii="Times New Roman" w:hAnsi="Times New Roman" w:eastAsia="宋体" w:cs="Times New Roman"/>
                      <w:b/>
                      <w:bCs/>
                      <w:color w:val="auto"/>
                      <w:sz w:val="18"/>
                      <w:szCs w:val="18"/>
                      <w:vertAlign w:val="baseline"/>
                    </w:rPr>
                    <w:t>处理或处置措施</w:t>
                  </w:r>
                </w:p>
              </w:tc>
            </w:tr>
            <w:tr w14:paraId="3F6F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54BAFA3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污泥、</w:t>
                  </w:r>
                  <w:r>
                    <w:rPr>
                      <w:rFonts w:hint="eastAsia" w:cs="Times New Roman"/>
                      <w:b w:val="0"/>
                      <w:bCs w:val="0"/>
                      <w:color w:val="000000" w:themeColor="text1"/>
                      <w:sz w:val="18"/>
                      <w:szCs w:val="18"/>
                      <w:vertAlign w:val="baseline"/>
                      <w:lang w:val="en-US" w:eastAsia="zh-CN"/>
                    </w:rPr>
                    <w:t>栅渣</w:t>
                  </w:r>
                </w:p>
              </w:tc>
              <w:tc>
                <w:tcPr>
                  <w:tcW w:w="795" w:type="dxa"/>
                  <w:vAlign w:val="center"/>
                </w:tcPr>
                <w:p w14:paraId="0C62FF8C">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HW01</w:t>
                  </w:r>
                </w:p>
              </w:tc>
              <w:tc>
                <w:tcPr>
                  <w:tcW w:w="1080" w:type="dxa"/>
                  <w:vAlign w:val="center"/>
                </w:tcPr>
                <w:p w14:paraId="7E173C86">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841-001-01</w:t>
                  </w:r>
                </w:p>
              </w:tc>
              <w:tc>
                <w:tcPr>
                  <w:tcW w:w="450" w:type="dxa"/>
                  <w:vAlign w:val="center"/>
                </w:tcPr>
                <w:p w14:paraId="3DDE71AC">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固态</w:t>
                  </w:r>
                </w:p>
              </w:tc>
              <w:tc>
                <w:tcPr>
                  <w:tcW w:w="960" w:type="dxa"/>
                  <w:vAlign w:val="center"/>
                </w:tcPr>
                <w:p w14:paraId="2C6C92A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污水处理</w:t>
                  </w:r>
                </w:p>
              </w:tc>
              <w:tc>
                <w:tcPr>
                  <w:tcW w:w="645" w:type="dxa"/>
                  <w:vAlign w:val="center"/>
                </w:tcPr>
                <w:p w14:paraId="2C2D200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5.02</w:t>
                  </w:r>
                </w:p>
              </w:tc>
              <w:tc>
                <w:tcPr>
                  <w:tcW w:w="600" w:type="dxa"/>
                  <w:vAlign w:val="center"/>
                </w:tcPr>
                <w:p w14:paraId="2480654D">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T/In</w:t>
                  </w:r>
                </w:p>
              </w:tc>
              <w:tc>
                <w:tcPr>
                  <w:tcW w:w="765" w:type="dxa"/>
                  <w:vAlign w:val="center"/>
                </w:tcPr>
                <w:p w14:paraId="61346FD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default" w:ascii="Times New Roman" w:hAnsi="Times New Roman" w:eastAsia="宋体" w:cs="Times New Roman"/>
                      <w:b w:val="0"/>
                      <w:bCs w:val="0"/>
                      <w:color w:val="auto"/>
                      <w:sz w:val="18"/>
                      <w:szCs w:val="18"/>
                      <w:vertAlign w:val="baseline"/>
                    </w:rPr>
                    <w:t>致病菌、寄生虫卵</w:t>
                  </w:r>
                </w:p>
              </w:tc>
              <w:tc>
                <w:tcPr>
                  <w:tcW w:w="615" w:type="dxa"/>
                  <w:vAlign w:val="center"/>
                </w:tcPr>
                <w:p w14:paraId="73BB4CBB">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每日</w:t>
                  </w:r>
                </w:p>
              </w:tc>
              <w:tc>
                <w:tcPr>
                  <w:tcW w:w="1905" w:type="dxa"/>
                  <w:vMerge w:val="restart"/>
                  <w:vAlign w:val="center"/>
                </w:tcPr>
                <w:p w14:paraId="5AFACC1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default" w:ascii="Times New Roman" w:hAnsi="Times New Roman" w:eastAsia="宋体" w:cs="Times New Roman"/>
                      <w:b w:val="0"/>
                      <w:bCs w:val="0"/>
                      <w:color w:val="auto"/>
                      <w:sz w:val="18"/>
                      <w:szCs w:val="18"/>
                      <w:vertAlign w:val="baseline"/>
                    </w:rPr>
                    <w:t>委托岳阳市方向固废安全处置有限公司无害化处置</w:t>
                  </w:r>
                </w:p>
              </w:tc>
            </w:tr>
            <w:tr w14:paraId="24623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restart"/>
                  <w:vAlign w:val="center"/>
                </w:tcPr>
                <w:p w14:paraId="32B0E4C4">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医疗废物</w:t>
                  </w:r>
                </w:p>
              </w:tc>
              <w:tc>
                <w:tcPr>
                  <w:tcW w:w="795" w:type="dxa"/>
                  <w:vMerge w:val="restart"/>
                  <w:vAlign w:val="center"/>
                </w:tcPr>
                <w:p w14:paraId="51F2978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HW01</w:t>
                  </w:r>
                </w:p>
              </w:tc>
              <w:tc>
                <w:tcPr>
                  <w:tcW w:w="1080" w:type="dxa"/>
                  <w:vAlign w:val="center"/>
                </w:tcPr>
                <w:p w14:paraId="0EE93A8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eastAsia" w:cs="Times New Roman"/>
                      <w:b w:val="0"/>
                      <w:bCs w:val="0"/>
                      <w:color w:val="auto"/>
                      <w:sz w:val="18"/>
                      <w:szCs w:val="18"/>
                      <w:vertAlign w:val="baseline"/>
                      <w:lang w:val="en-US" w:eastAsia="zh-CN"/>
                    </w:rPr>
                    <w:t>841-001-01</w:t>
                  </w:r>
                </w:p>
              </w:tc>
              <w:tc>
                <w:tcPr>
                  <w:tcW w:w="450" w:type="dxa"/>
                  <w:vMerge w:val="restart"/>
                  <w:vAlign w:val="center"/>
                </w:tcPr>
                <w:p w14:paraId="3399577A">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固态</w:t>
                  </w:r>
                </w:p>
              </w:tc>
              <w:tc>
                <w:tcPr>
                  <w:tcW w:w="960" w:type="dxa"/>
                  <w:vMerge w:val="restart"/>
                  <w:vAlign w:val="center"/>
                </w:tcPr>
                <w:p w14:paraId="453F152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门诊、住院</w:t>
                  </w:r>
                </w:p>
              </w:tc>
              <w:tc>
                <w:tcPr>
                  <w:tcW w:w="645" w:type="dxa"/>
                  <w:vMerge w:val="restart"/>
                  <w:vAlign w:val="center"/>
                </w:tcPr>
                <w:p w14:paraId="04EED53A">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84.242</w:t>
                  </w:r>
                </w:p>
              </w:tc>
              <w:tc>
                <w:tcPr>
                  <w:tcW w:w="600" w:type="dxa"/>
                  <w:vAlign w:val="center"/>
                </w:tcPr>
                <w:p w14:paraId="2729506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18"/>
                      <w:szCs w:val="18"/>
                      <w:vertAlign w:val="baseline"/>
                      <w:lang w:val="en-US" w:eastAsia="zh-CN"/>
                    </w:rPr>
                  </w:pPr>
                  <w:r>
                    <w:rPr>
                      <w:rFonts w:hint="default" w:cs="Times New Roman"/>
                      <w:b w:val="0"/>
                      <w:bCs w:val="0"/>
                      <w:color w:val="auto"/>
                      <w:sz w:val="18"/>
                      <w:szCs w:val="18"/>
                      <w:vertAlign w:val="baseline"/>
                      <w:lang w:val="en-US" w:eastAsia="zh-CN"/>
                    </w:rPr>
                    <w:t>In</w:t>
                  </w:r>
                </w:p>
              </w:tc>
              <w:tc>
                <w:tcPr>
                  <w:tcW w:w="765" w:type="dxa"/>
                  <w:vMerge w:val="restart"/>
                  <w:vAlign w:val="center"/>
                </w:tcPr>
                <w:p w14:paraId="238320C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default" w:ascii="Times New Roman" w:hAnsi="Times New Roman" w:eastAsia="宋体" w:cs="Times New Roman"/>
                      <w:b w:val="0"/>
                      <w:bCs w:val="0"/>
                      <w:color w:val="auto"/>
                      <w:sz w:val="18"/>
                      <w:szCs w:val="18"/>
                      <w:vertAlign w:val="baseline"/>
                    </w:rPr>
                    <w:t>沾染病人血液、体液、排泄物等污染有机物</w:t>
                  </w:r>
                </w:p>
              </w:tc>
              <w:tc>
                <w:tcPr>
                  <w:tcW w:w="615" w:type="dxa"/>
                  <w:vMerge w:val="restart"/>
                  <w:vAlign w:val="center"/>
                </w:tcPr>
                <w:p w14:paraId="4BAF798E">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每日</w:t>
                  </w:r>
                </w:p>
              </w:tc>
              <w:tc>
                <w:tcPr>
                  <w:tcW w:w="1905" w:type="dxa"/>
                  <w:vMerge w:val="continue"/>
                  <w:vAlign w:val="center"/>
                </w:tcPr>
                <w:p w14:paraId="030D35AB">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r>
            <w:tr w14:paraId="5F07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0023281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b w:val="0"/>
                      <w:bCs w:val="0"/>
                      <w:color w:val="auto"/>
                      <w:sz w:val="18"/>
                      <w:szCs w:val="18"/>
                      <w:vertAlign w:val="baseline"/>
                      <w:lang w:val="en-US" w:eastAsia="zh-CN"/>
                    </w:rPr>
                  </w:pPr>
                </w:p>
              </w:tc>
              <w:tc>
                <w:tcPr>
                  <w:tcW w:w="795" w:type="dxa"/>
                  <w:vMerge w:val="continue"/>
                  <w:vAlign w:val="center"/>
                </w:tcPr>
                <w:p w14:paraId="582C402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080" w:type="dxa"/>
                  <w:vAlign w:val="center"/>
                </w:tcPr>
                <w:p w14:paraId="2A7D239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eastAsia" w:cs="Times New Roman"/>
                      <w:b w:val="0"/>
                      <w:bCs w:val="0"/>
                      <w:color w:val="auto"/>
                      <w:sz w:val="18"/>
                      <w:szCs w:val="18"/>
                      <w:vertAlign w:val="baseline"/>
                      <w:lang w:val="en-US" w:eastAsia="zh-CN"/>
                    </w:rPr>
                    <w:t>841-002-01</w:t>
                  </w:r>
                </w:p>
              </w:tc>
              <w:tc>
                <w:tcPr>
                  <w:tcW w:w="450" w:type="dxa"/>
                  <w:vMerge w:val="continue"/>
                  <w:vAlign w:val="center"/>
                </w:tcPr>
                <w:p w14:paraId="26EF20CC">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960" w:type="dxa"/>
                  <w:vMerge w:val="continue"/>
                  <w:vAlign w:val="center"/>
                </w:tcPr>
                <w:p w14:paraId="290C5B7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45" w:type="dxa"/>
                  <w:vMerge w:val="continue"/>
                  <w:vAlign w:val="center"/>
                </w:tcPr>
                <w:p w14:paraId="50DBDB3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00" w:type="dxa"/>
                  <w:vAlign w:val="center"/>
                </w:tcPr>
                <w:p w14:paraId="7593946E">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18"/>
                      <w:szCs w:val="18"/>
                      <w:vertAlign w:val="baseline"/>
                      <w:lang w:val="en-US" w:eastAsia="zh-CN"/>
                    </w:rPr>
                  </w:pPr>
                  <w:r>
                    <w:rPr>
                      <w:rFonts w:hint="default" w:cs="Times New Roman"/>
                      <w:b w:val="0"/>
                      <w:bCs w:val="0"/>
                      <w:color w:val="auto"/>
                      <w:sz w:val="18"/>
                      <w:szCs w:val="18"/>
                      <w:vertAlign w:val="baseline"/>
                      <w:lang w:val="en-US" w:eastAsia="zh-CN"/>
                    </w:rPr>
                    <w:t>In</w:t>
                  </w:r>
                </w:p>
              </w:tc>
              <w:tc>
                <w:tcPr>
                  <w:tcW w:w="765" w:type="dxa"/>
                  <w:vMerge w:val="continue"/>
                  <w:vAlign w:val="center"/>
                </w:tcPr>
                <w:p w14:paraId="5ABFED9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15" w:type="dxa"/>
                  <w:vMerge w:val="continue"/>
                  <w:vAlign w:val="center"/>
                </w:tcPr>
                <w:p w14:paraId="7532A30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905" w:type="dxa"/>
                  <w:vMerge w:val="continue"/>
                  <w:vAlign w:val="center"/>
                </w:tcPr>
                <w:p w14:paraId="6281523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r>
            <w:tr w14:paraId="37A5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38CEFB4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b w:val="0"/>
                      <w:bCs w:val="0"/>
                      <w:color w:val="auto"/>
                      <w:sz w:val="18"/>
                      <w:szCs w:val="18"/>
                      <w:vertAlign w:val="baseline"/>
                      <w:lang w:val="en-US" w:eastAsia="zh-CN"/>
                    </w:rPr>
                  </w:pPr>
                </w:p>
              </w:tc>
              <w:tc>
                <w:tcPr>
                  <w:tcW w:w="795" w:type="dxa"/>
                  <w:vMerge w:val="continue"/>
                  <w:vAlign w:val="center"/>
                </w:tcPr>
                <w:p w14:paraId="68EA2744">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080" w:type="dxa"/>
                  <w:vAlign w:val="center"/>
                </w:tcPr>
                <w:p w14:paraId="435E750D">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eastAsia" w:cs="Times New Roman"/>
                      <w:b w:val="0"/>
                      <w:bCs w:val="0"/>
                      <w:color w:val="auto"/>
                      <w:sz w:val="18"/>
                      <w:szCs w:val="18"/>
                      <w:vertAlign w:val="baseline"/>
                      <w:lang w:val="en-US" w:eastAsia="zh-CN"/>
                    </w:rPr>
                    <w:t>841-003-01</w:t>
                  </w:r>
                </w:p>
              </w:tc>
              <w:tc>
                <w:tcPr>
                  <w:tcW w:w="450" w:type="dxa"/>
                  <w:vMerge w:val="continue"/>
                  <w:vAlign w:val="center"/>
                </w:tcPr>
                <w:p w14:paraId="7F57AFB4">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960" w:type="dxa"/>
                  <w:vMerge w:val="continue"/>
                  <w:vAlign w:val="center"/>
                </w:tcPr>
                <w:p w14:paraId="729B468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45" w:type="dxa"/>
                  <w:vMerge w:val="continue"/>
                  <w:vAlign w:val="center"/>
                </w:tcPr>
                <w:p w14:paraId="7AEA80BE">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00" w:type="dxa"/>
                  <w:vAlign w:val="center"/>
                </w:tcPr>
                <w:p w14:paraId="3D25962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18"/>
                      <w:szCs w:val="18"/>
                      <w:vertAlign w:val="baseline"/>
                      <w:lang w:val="en-US" w:eastAsia="zh-CN"/>
                    </w:rPr>
                  </w:pPr>
                  <w:r>
                    <w:rPr>
                      <w:rFonts w:hint="default" w:cs="Times New Roman"/>
                      <w:b w:val="0"/>
                      <w:bCs w:val="0"/>
                      <w:color w:val="auto"/>
                      <w:sz w:val="18"/>
                      <w:szCs w:val="18"/>
                      <w:vertAlign w:val="baseline"/>
                      <w:lang w:val="en-US" w:eastAsia="zh-CN"/>
                    </w:rPr>
                    <w:t>In</w:t>
                  </w:r>
                </w:p>
              </w:tc>
              <w:tc>
                <w:tcPr>
                  <w:tcW w:w="765" w:type="dxa"/>
                  <w:vMerge w:val="continue"/>
                  <w:vAlign w:val="center"/>
                </w:tcPr>
                <w:p w14:paraId="4ADADE4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15" w:type="dxa"/>
                  <w:vMerge w:val="continue"/>
                  <w:vAlign w:val="center"/>
                </w:tcPr>
                <w:p w14:paraId="2022C86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905" w:type="dxa"/>
                  <w:vMerge w:val="continue"/>
                  <w:vAlign w:val="center"/>
                </w:tcPr>
                <w:p w14:paraId="1416F34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r>
            <w:tr w14:paraId="3BA0A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45023C09">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b w:val="0"/>
                      <w:bCs w:val="0"/>
                      <w:color w:val="auto"/>
                      <w:sz w:val="18"/>
                      <w:szCs w:val="18"/>
                      <w:vertAlign w:val="baseline"/>
                      <w:lang w:val="en-US" w:eastAsia="zh-CN"/>
                    </w:rPr>
                  </w:pPr>
                </w:p>
              </w:tc>
              <w:tc>
                <w:tcPr>
                  <w:tcW w:w="795" w:type="dxa"/>
                  <w:vMerge w:val="continue"/>
                  <w:vAlign w:val="center"/>
                </w:tcPr>
                <w:p w14:paraId="483BF77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080" w:type="dxa"/>
                  <w:vAlign w:val="center"/>
                </w:tcPr>
                <w:p w14:paraId="1C6B0444">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eastAsia" w:cs="Times New Roman"/>
                      <w:b w:val="0"/>
                      <w:bCs w:val="0"/>
                      <w:color w:val="auto"/>
                      <w:sz w:val="18"/>
                      <w:szCs w:val="18"/>
                      <w:vertAlign w:val="baseline"/>
                      <w:lang w:val="en-US" w:eastAsia="zh-CN"/>
                    </w:rPr>
                    <w:t>841-004-01</w:t>
                  </w:r>
                </w:p>
              </w:tc>
              <w:tc>
                <w:tcPr>
                  <w:tcW w:w="450" w:type="dxa"/>
                  <w:vMerge w:val="continue"/>
                  <w:vAlign w:val="center"/>
                </w:tcPr>
                <w:p w14:paraId="35D57C5F">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960" w:type="dxa"/>
                  <w:vMerge w:val="continue"/>
                  <w:vAlign w:val="center"/>
                </w:tcPr>
                <w:p w14:paraId="673B13D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45" w:type="dxa"/>
                  <w:vMerge w:val="continue"/>
                  <w:vAlign w:val="center"/>
                </w:tcPr>
                <w:p w14:paraId="4F7C0E4D">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00" w:type="dxa"/>
                  <w:vAlign w:val="center"/>
                </w:tcPr>
                <w:p w14:paraId="72BDE2E0">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18"/>
                      <w:szCs w:val="18"/>
                      <w:vertAlign w:val="baseline"/>
                      <w:lang w:val="en-US" w:eastAsia="zh-CN"/>
                    </w:rPr>
                  </w:pPr>
                  <w:r>
                    <w:rPr>
                      <w:rFonts w:hint="default" w:cs="Times New Roman"/>
                      <w:b w:val="0"/>
                      <w:bCs w:val="0"/>
                      <w:color w:val="auto"/>
                      <w:sz w:val="18"/>
                      <w:szCs w:val="18"/>
                      <w:vertAlign w:val="baseline"/>
                      <w:lang w:val="en-US" w:eastAsia="zh-CN"/>
                    </w:rPr>
                    <w:t>T/C/I/R</w:t>
                  </w:r>
                </w:p>
              </w:tc>
              <w:tc>
                <w:tcPr>
                  <w:tcW w:w="765" w:type="dxa"/>
                  <w:vMerge w:val="continue"/>
                  <w:vAlign w:val="center"/>
                </w:tcPr>
                <w:p w14:paraId="252F06E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15" w:type="dxa"/>
                  <w:vMerge w:val="continue"/>
                  <w:vAlign w:val="center"/>
                </w:tcPr>
                <w:p w14:paraId="2959FC6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905" w:type="dxa"/>
                  <w:vMerge w:val="continue"/>
                  <w:vAlign w:val="center"/>
                </w:tcPr>
                <w:p w14:paraId="0CC981F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r>
            <w:tr w14:paraId="549D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Merge w:val="continue"/>
                  <w:vAlign w:val="center"/>
                </w:tcPr>
                <w:p w14:paraId="5D51AFE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cs="Times New Roman"/>
                      <w:b w:val="0"/>
                      <w:bCs w:val="0"/>
                      <w:color w:val="auto"/>
                      <w:sz w:val="18"/>
                      <w:szCs w:val="18"/>
                      <w:vertAlign w:val="baseline"/>
                      <w:lang w:val="en-US" w:eastAsia="zh-CN"/>
                    </w:rPr>
                  </w:pPr>
                </w:p>
              </w:tc>
              <w:tc>
                <w:tcPr>
                  <w:tcW w:w="795" w:type="dxa"/>
                  <w:vMerge w:val="continue"/>
                  <w:vAlign w:val="center"/>
                </w:tcPr>
                <w:p w14:paraId="610494AC">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080" w:type="dxa"/>
                  <w:vAlign w:val="center"/>
                </w:tcPr>
                <w:p w14:paraId="076F5702">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r>
                    <w:rPr>
                      <w:rFonts w:hint="eastAsia" w:cs="Times New Roman"/>
                      <w:b w:val="0"/>
                      <w:bCs w:val="0"/>
                      <w:color w:val="auto"/>
                      <w:sz w:val="18"/>
                      <w:szCs w:val="18"/>
                      <w:vertAlign w:val="baseline"/>
                      <w:lang w:val="en-US" w:eastAsia="zh-CN"/>
                    </w:rPr>
                    <w:t>841-005-01</w:t>
                  </w:r>
                </w:p>
              </w:tc>
              <w:tc>
                <w:tcPr>
                  <w:tcW w:w="450" w:type="dxa"/>
                  <w:vMerge w:val="continue"/>
                  <w:vAlign w:val="center"/>
                </w:tcPr>
                <w:p w14:paraId="2E17322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960" w:type="dxa"/>
                  <w:vMerge w:val="continue"/>
                  <w:vAlign w:val="center"/>
                </w:tcPr>
                <w:p w14:paraId="6B20262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45" w:type="dxa"/>
                  <w:vMerge w:val="continue"/>
                  <w:vAlign w:val="center"/>
                </w:tcPr>
                <w:p w14:paraId="1FAA8B9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00" w:type="dxa"/>
                  <w:vAlign w:val="center"/>
                </w:tcPr>
                <w:p w14:paraId="5CCF8D29">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18"/>
                      <w:szCs w:val="18"/>
                      <w:vertAlign w:val="baseline"/>
                      <w:lang w:val="en-US" w:eastAsia="zh-CN"/>
                    </w:rPr>
                  </w:pPr>
                  <w:r>
                    <w:rPr>
                      <w:rFonts w:hint="default" w:cs="Times New Roman"/>
                      <w:b w:val="0"/>
                      <w:bCs w:val="0"/>
                      <w:color w:val="auto"/>
                      <w:sz w:val="18"/>
                      <w:szCs w:val="18"/>
                      <w:vertAlign w:val="baseline"/>
                      <w:lang w:val="en-US" w:eastAsia="zh-CN"/>
                    </w:rPr>
                    <w:t>In</w:t>
                  </w:r>
                </w:p>
              </w:tc>
              <w:tc>
                <w:tcPr>
                  <w:tcW w:w="765" w:type="dxa"/>
                  <w:vMerge w:val="continue"/>
                  <w:vAlign w:val="center"/>
                </w:tcPr>
                <w:p w14:paraId="27F65E94">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615" w:type="dxa"/>
                  <w:vMerge w:val="continue"/>
                  <w:vAlign w:val="center"/>
                </w:tcPr>
                <w:p w14:paraId="68D9CB4D">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c>
                <w:tcPr>
                  <w:tcW w:w="1905" w:type="dxa"/>
                  <w:vMerge w:val="continue"/>
                  <w:vAlign w:val="center"/>
                </w:tcPr>
                <w:p w14:paraId="2D1D379B">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r>
            <w:tr w14:paraId="1503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5B07818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废活性炭</w:t>
                  </w:r>
                </w:p>
              </w:tc>
              <w:tc>
                <w:tcPr>
                  <w:tcW w:w="795" w:type="dxa"/>
                  <w:vAlign w:val="center"/>
                </w:tcPr>
                <w:p w14:paraId="4716475C">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HW49</w:t>
                  </w:r>
                </w:p>
              </w:tc>
              <w:tc>
                <w:tcPr>
                  <w:tcW w:w="1080" w:type="dxa"/>
                  <w:vAlign w:val="center"/>
                </w:tcPr>
                <w:p w14:paraId="3A28B74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900-041-49</w:t>
                  </w:r>
                </w:p>
              </w:tc>
              <w:tc>
                <w:tcPr>
                  <w:tcW w:w="450" w:type="dxa"/>
                  <w:vAlign w:val="center"/>
                </w:tcPr>
                <w:p w14:paraId="5BC84B96">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固态</w:t>
                  </w:r>
                </w:p>
              </w:tc>
              <w:tc>
                <w:tcPr>
                  <w:tcW w:w="960" w:type="dxa"/>
                  <w:vAlign w:val="center"/>
                </w:tcPr>
                <w:p w14:paraId="0EA3610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废气处理</w:t>
                  </w:r>
                </w:p>
              </w:tc>
              <w:tc>
                <w:tcPr>
                  <w:tcW w:w="645" w:type="dxa"/>
                  <w:vAlign w:val="center"/>
                </w:tcPr>
                <w:p w14:paraId="1335DE2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1.0</w:t>
                  </w:r>
                </w:p>
              </w:tc>
              <w:tc>
                <w:tcPr>
                  <w:tcW w:w="600" w:type="dxa"/>
                  <w:vAlign w:val="center"/>
                </w:tcPr>
                <w:p w14:paraId="0CB27FC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18"/>
                      <w:szCs w:val="18"/>
                      <w:vertAlign w:val="baseline"/>
                      <w:lang w:val="en-US" w:eastAsia="zh-CN"/>
                    </w:rPr>
                  </w:pPr>
                  <w:r>
                    <w:rPr>
                      <w:rFonts w:hint="default" w:cs="Times New Roman"/>
                      <w:b w:val="0"/>
                      <w:bCs w:val="0"/>
                      <w:color w:val="auto"/>
                      <w:sz w:val="18"/>
                      <w:szCs w:val="18"/>
                      <w:vertAlign w:val="baseline"/>
                      <w:lang w:val="en-US" w:eastAsia="zh-CN"/>
                    </w:rPr>
                    <w:t>T/In</w:t>
                  </w:r>
                </w:p>
              </w:tc>
              <w:tc>
                <w:tcPr>
                  <w:tcW w:w="765" w:type="dxa"/>
                  <w:vAlign w:val="center"/>
                </w:tcPr>
                <w:p w14:paraId="2F28289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氨、硫化氢</w:t>
                  </w:r>
                </w:p>
              </w:tc>
              <w:tc>
                <w:tcPr>
                  <w:tcW w:w="615" w:type="dxa"/>
                  <w:vAlign w:val="center"/>
                </w:tcPr>
                <w:p w14:paraId="63FC0B4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每年</w:t>
                  </w:r>
                </w:p>
              </w:tc>
              <w:tc>
                <w:tcPr>
                  <w:tcW w:w="1905" w:type="dxa"/>
                  <w:vMerge w:val="restart"/>
                  <w:vAlign w:val="center"/>
                </w:tcPr>
                <w:p w14:paraId="52B59936">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委托资质单位无害化处置</w:t>
                  </w:r>
                </w:p>
              </w:tc>
            </w:tr>
            <w:tr w14:paraId="3769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3" w:type="dxa"/>
                  <w:vAlign w:val="center"/>
                </w:tcPr>
                <w:p w14:paraId="14DD3703">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废紫外灯管</w:t>
                  </w:r>
                </w:p>
              </w:tc>
              <w:tc>
                <w:tcPr>
                  <w:tcW w:w="795" w:type="dxa"/>
                  <w:vAlign w:val="center"/>
                </w:tcPr>
                <w:p w14:paraId="1E9833B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HW29</w:t>
                  </w:r>
                </w:p>
              </w:tc>
              <w:tc>
                <w:tcPr>
                  <w:tcW w:w="1080" w:type="dxa"/>
                  <w:vAlign w:val="center"/>
                </w:tcPr>
                <w:p w14:paraId="10CC37D5">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900-023-29</w:t>
                  </w:r>
                </w:p>
              </w:tc>
              <w:tc>
                <w:tcPr>
                  <w:tcW w:w="450" w:type="dxa"/>
                  <w:vAlign w:val="center"/>
                </w:tcPr>
                <w:p w14:paraId="159C343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固态</w:t>
                  </w:r>
                </w:p>
              </w:tc>
              <w:tc>
                <w:tcPr>
                  <w:tcW w:w="960" w:type="dxa"/>
                  <w:vAlign w:val="center"/>
                </w:tcPr>
                <w:p w14:paraId="7C77E1D7">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空气消毒</w:t>
                  </w:r>
                </w:p>
              </w:tc>
              <w:tc>
                <w:tcPr>
                  <w:tcW w:w="645" w:type="dxa"/>
                  <w:vAlign w:val="center"/>
                </w:tcPr>
                <w:p w14:paraId="5ADF333A">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0.002</w:t>
                  </w:r>
                </w:p>
              </w:tc>
              <w:tc>
                <w:tcPr>
                  <w:tcW w:w="600" w:type="dxa"/>
                  <w:vAlign w:val="center"/>
                </w:tcPr>
                <w:p w14:paraId="4409E3C1">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T</w:t>
                  </w:r>
                </w:p>
              </w:tc>
              <w:tc>
                <w:tcPr>
                  <w:tcW w:w="765" w:type="dxa"/>
                  <w:vAlign w:val="center"/>
                </w:tcPr>
                <w:p w14:paraId="564FACEC">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汞</w:t>
                  </w:r>
                </w:p>
              </w:tc>
              <w:tc>
                <w:tcPr>
                  <w:tcW w:w="615" w:type="dxa"/>
                  <w:vAlign w:val="center"/>
                </w:tcPr>
                <w:p w14:paraId="6BEBB928">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b w:val="0"/>
                      <w:bCs w:val="0"/>
                      <w:color w:val="auto"/>
                      <w:sz w:val="18"/>
                      <w:szCs w:val="18"/>
                      <w:vertAlign w:val="baseline"/>
                      <w:lang w:val="en-US" w:eastAsia="zh-CN"/>
                    </w:rPr>
                  </w:pPr>
                  <w:r>
                    <w:rPr>
                      <w:rFonts w:hint="eastAsia" w:cs="Times New Roman"/>
                      <w:b w:val="0"/>
                      <w:bCs w:val="0"/>
                      <w:color w:val="auto"/>
                      <w:sz w:val="18"/>
                      <w:szCs w:val="18"/>
                      <w:vertAlign w:val="baseline"/>
                      <w:lang w:val="en-US" w:eastAsia="zh-CN"/>
                    </w:rPr>
                    <w:t>每年</w:t>
                  </w:r>
                </w:p>
              </w:tc>
              <w:tc>
                <w:tcPr>
                  <w:tcW w:w="1905" w:type="dxa"/>
                  <w:vMerge w:val="continue"/>
                  <w:vAlign w:val="center"/>
                </w:tcPr>
                <w:p w14:paraId="3FBA072E">
                  <w:pPr>
                    <w:keepNext w:val="0"/>
                    <w:keepLines w:val="0"/>
                    <w:pageBreakBefore w:val="0"/>
                    <w:widowControl/>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val="0"/>
                      <w:bCs w:val="0"/>
                      <w:color w:val="auto"/>
                      <w:sz w:val="18"/>
                      <w:szCs w:val="18"/>
                      <w:vertAlign w:val="baseline"/>
                    </w:rPr>
                  </w:pPr>
                </w:p>
              </w:tc>
            </w:tr>
          </w:tbl>
          <w:p w14:paraId="17ED6725">
            <w:pPr>
              <w:widowControl/>
              <w:spacing w:line="360" w:lineRule="auto"/>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 xml:space="preserve">4.2 固体废物环境管理 </w:t>
            </w:r>
          </w:p>
          <w:p w14:paraId="4648399A">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r>
              <w:rPr>
                <w:rFonts w:hint="eastAsia" w:cs="Times New Roman"/>
                <w:sz w:val="24"/>
                <w:szCs w:val="24"/>
                <w:lang w:eastAsia="zh-CN"/>
              </w:rPr>
              <w:t>、</w:t>
            </w:r>
            <w:r>
              <w:rPr>
                <w:rFonts w:hint="default" w:ascii="Times New Roman" w:hAnsi="Times New Roman" w:eastAsia="宋体" w:cs="Times New Roman"/>
                <w:sz w:val="24"/>
                <w:szCs w:val="24"/>
                <w:lang w:val="en-US" w:eastAsia="zh-CN"/>
              </w:rPr>
              <w:t>生活垃圾</w:t>
            </w:r>
            <w:r>
              <w:rPr>
                <w:rFonts w:hint="default" w:ascii="Times New Roman" w:hAnsi="Times New Roman" w:eastAsia="宋体" w:cs="Times New Roman"/>
                <w:sz w:val="24"/>
                <w:szCs w:val="24"/>
              </w:rPr>
              <w:t xml:space="preserve">环境管理 </w:t>
            </w:r>
          </w:p>
          <w:p w14:paraId="3548E83C">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院</w:t>
            </w:r>
            <w:r>
              <w:rPr>
                <w:rFonts w:hint="default" w:ascii="Times New Roman" w:hAnsi="Times New Roman" w:eastAsia="宋体" w:cs="Times New Roman"/>
                <w:sz w:val="24"/>
                <w:szCs w:val="24"/>
              </w:rPr>
              <w:t>内职工日常生活产生的生活垃圾，交由环卫部门统一清运。生活垃圾应采取</w:t>
            </w:r>
            <w:r>
              <w:rPr>
                <w:rFonts w:hint="default" w:ascii="Times New Roman" w:hAnsi="Times New Roman" w:eastAsia="宋体" w:cs="Times New Roman"/>
                <w:sz w:val="24"/>
                <w:szCs w:val="24"/>
                <w:lang w:val="en-US" w:eastAsia="zh-CN"/>
              </w:rPr>
              <w:t>桶</w:t>
            </w:r>
            <w:r>
              <w:rPr>
                <w:rFonts w:hint="default" w:ascii="Times New Roman" w:hAnsi="Times New Roman" w:eastAsia="宋体" w:cs="Times New Roman"/>
                <w:sz w:val="24"/>
                <w:szCs w:val="24"/>
              </w:rPr>
              <w:t xml:space="preserve">装收集，分类处理的方式处理。 </w:t>
            </w:r>
          </w:p>
          <w:p w14:paraId="53F8BF58">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2、一般固体废物环境管理</w:t>
            </w:r>
          </w:p>
          <w:p w14:paraId="56C9E4E8">
            <w:pPr>
              <w:widowControl/>
              <w:spacing w:line="360" w:lineRule="auto"/>
              <w:ind w:firstLine="480" w:firstLineChars="200"/>
              <w:jc w:val="left"/>
              <w:rPr>
                <w:rFonts w:hint="eastAsia" w:cs="Times New Roman"/>
                <w:color w:val="auto"/>
                <w:sz w:val="24"/>
                <w:szCs w:val="24"/>
                <w:lang w:eastAsia="zh-CN"/>
              </w:rPr>
            </w:pPr>
            <w:r>
              <w:rPr>
                <w:rFonts w:hint="eastAsia" w:cs="Times New Roman"/>
                <w:color w:val="auto"/>
                <w:sz w:val="24"/>
                <w:szCs w:val="24"/>
                <w:lang w:val="en-US" w:eastAsia="zh-CN"/>
              </w:rPr>
              <w:t>本项目在辅助用房内设有一般固废暂存间，面积10m</w:t>
            </w:r>
            <w:r>
              <w:rPr>
                <w:rFonts w:hint="eastAsia" w:cs="Times New Roman"/>
                <w:color w:val="auto"/>
                <w:sz w:val="24"/>
                <w:szCs w:val="24"/>
                <w:vertAlign w:val="superscript"/>
                <w:lang w:val="en-US" w:eastAsia="zh-CN"/>
              </w:rPr>
              <w:t>2</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rPr>
              <w:t>按照《一般工业固体废物储贮存及填埋污染控制标准》（GB18599-</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rPr>
              <w:t>2020）的相关要求</w:t>
            </w:r>
            <w:r>
              <w:rPr>
                <w:rFonts w:hint="eastAsia" w:cs="Times New Roman"/>
                <w:color w:val="auto"/>
                <w:sz w:val="24"/>
                <w:szCs w:val="24"/>
                <w:lang w:val="en-US" w:eastAsia="zh-CN"/>
              </w:rPr>
              <w:t>管理</w:t>
            </w:r>
            <w:r>
              <w:rPr>
                <w:rFonts w:hint="eastAsia" w:cs="Times New Roman"/>
                <w:color w:val="auto"/>
                <w:sz w:val="24"/>
                <w:szCs w:val="24"/>
                <w:lang w:eastAsia="zh-CN"/>
              </w:rPr>
              <w:t>：</w:t>
            </w:r>
          </w:p>
          <w:p w14:paraId="53D7D503">
            <w:pPr>
              <w:widowControl/>
              <w:spacing w:line="360" w:lineRule="auto"/>
              <w:ind w:firstLine="480" w:firstLineChars="200"/>
              <w:jc w:val="left"/>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1）对固体废物实行从产生、收集、运输、贮存直至最终处理实行全过程管理，加强固体废物运输过</w:t>
            </w:r>
            <w:r>
              <w:rPr>
                <w:rFonts w:hint="eastAsia" w:cs="Times New Roman"/>
                <w:color w:val="auto"/>
                <w:sz w:val="24"/>
                <w:szCs w:val="24"/>
                <w:lang w:eastAsia="zh-CN"/>
              </w:rPr>
              <w:t>程中</w:t>
            </w:r>
            <w:r>
              <w:rPr>
                <w:rFonts w:hint="default" w:ascii="Times New Roman" w:hAnsi="Times New Roman" w:eastAsia="宋体" w:cs="Times New Roman"/>
                <w:color w:val="auto"/>
                <w:sz w:val="24"/>
                <w:szCs w:val="24"/>
              </w:rPr>
              <w:t>的事故风险防范，按照有关</w:t>
            </w:r>
            <w:r>
              <w:rPr>
                <w:rFonts w:hint="eastAsia" w:cs="Times New Roman"/>
                <w:color w:val="auto"/>
                <w:sz w:val="24"/>
                <w:szCs w:val="24"/>
                <w:lang w:eastAsia="zh-CN"/>
              </w:rPr>
              <w:t>法律法规</w:t>
            </w:r>
            <w:r>
              <w:rPr>
                <w:rFonts w:hint="default" w:ascii="Times New Roman" w:hAnsi="Times New Roman" w:eastAsia="宋体" w:cs="Times New Roman"/>
                <w:color w:val="auto"/>
                <w:sz w:val="24"/>
                <w:szCs w:val="24"/>
              </w:rPr>
              <w:t>的要求</w:t>
            </w:r>
            <w:r>
              <w:rPr>
                <w:rFonts w:hint="eastAsia" w:cs="Times New Roman"/>
                <w:color w:val="auto"/>
                <w:sz w:val="24"/>
                <w:szCs w:val="24"/>
                <w:lang w:eastAsia="zh-CN"/>
              </w:rPr>
              <w:t>；</w:t>
            </w:r>
          </w:p>
          <w:p w14:paraId="4A4404FF">
            <w:pPr>
              <w:widowControl/>
              <w:spacing w:line="360" w:lineRule="auto"/>
              <w:ind w:firstLine="480" w:firstLineChars="200"/>
              <w:jc w:val="left"/>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2）加强固体废物规范化管理，固体废物分类定点堆放，堆放场所远离办公区和周围环境敏感点</w:t>
            </w:r>
            <w:r>
              <w:rPr>
                <w:rFonts w:hint="eastAsia" w:cs="Times New Roman"/>
                <w:color w:val="auto"/>
                <w:sz w:val="24"/>
                <w:szCs w:val="24"/>
                <w:lang w:eastAsia="zh-CN"/>
              </w:rPr>
              <w:t>；</w:t>
            </w:r>
          </w:p>
          <w:p w14:paraId="02DA31C5">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3）为加强监督管理，贮存场应按GB15562.2设置环境保护图形标志；</w:t>
            </w:r>
          </w:p>
          <w:p w14:paraId="7E9B7E31">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4）一般工业固体贮存、处置场禁止危险废物和生活垃圾混入；</w:t>
            </w:r>
          </w:p>
          <w:p w14:paraId="2FAE89CC">
            <w:pPr>
              <w:widowControl/>
              <w:spacing w:line="360" w:lineRule="auto"/>
              <w:ind w:firstLine="480" w:firstLineChars="200"/>
              <w:jc w:val="left"/>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5）贮存、处置场的使用单位，应建立档案制度。应将入场的一般工业固体废物的种类和数量等资料详细记录在案，长期保存，供随时查阅</w:t>
            </w:r>
            <w:r>
              <w:rPr>
                <w:rFonts w:hint="eastAsia" w:cs="Times New Roman"/>
                <w:color w:val="auto"/>
                <w:sz w:val="24"/>
                <w:szCs w:val="24"/>
                <w:lang w:eastAsia="zh-CN"/>
              </w:rPr>
              <w:t>。</w:t>
            </w:r>
          </w:p>
          <w:p w14:paraId="14CC6A0C">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3、危险废物环境管理</w:t>
            </w:r>
          </w:p>
          <w:p w14:paraId="012B884C">
            <w:pPr>
              <w:widowControl/>
              <w:spacing w:line="360" w:lineRule="auto"/>
              <w:ind w:firstLine="480" w:firstLineChars="200"/>
              <w:jc w:val="left"/>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kern w:val="2"/>
                <w:sz w:val="24"/>
                <w:szCs w:val="24"/>
                <w:u w:val="none"/>
                <w:lang w:val="en-US" w:eastAsia="zh-CN" w:bidi="ar-SA"/>
              </w:rPr>
              <w:t>本项目</w:t>
            </w:r>
            <w:r>
              <w:rPr>
                <w:rFonts w:hint="eastAsia" w:cs="Times New Roman"/>
                <w:color w:val="auto"/>
                <w:kern w:val="2"/>
                <w:sz w:val="24"/>
                <w:szCs w:val="24"/>
                <w:u w:val="none"/>
                <w:lang w:val="en-US" w:eastAsia="zh-CN" w:bidi="ar-SA"/>
              </w:rPr>
              <w:t>利用原有</w:t>
            </w:r>
            <w:r>
              <w:rPr>
                <w:rFonts w:hint="default" w:ascii="Times New Roman" w:hAnsi="Times New Roman" w:eastAsia="宋体" w:cs="Times New Roman"/>
                <w:color w:val="auto"/>
                <w:kern w:val="2"/>
                <w:sz w:val="24"/>
                <w:szCs w:val="24"/>
                <w:u w:val="none"/>
                <w:lang w:val="en-US" w:eastAsia="zh-CN" w:bidi="ar-SA"/>
              </w:rPr>
              <w:t>危险废物暂存间，</w:t>
            </w:r>
            <w:r>
              <w:rPr>
                <w:rFonts w:hint="eastAsia" w:cs="Times New Roman"/>
                <w:color w:val="auto"/>
                <w:kern w:val="2"/>
                <w:sz w:val="24"/>
                <w:szCs w:val="24"/>
                <w:u w:val="none"/>
                <w:lang w:val="en-US" w:eastAsia="zh-CN" w:bidi="ar-SA"/>
              </w:rPr>
              <w:t>位于项目西北</w:t>
            </w:r>
            <w:r>
              <w:rPr>
                <w:rFonts w:hint="default" w:ascii="Times New Roman" w:hAnsi="Times New Roman" w:eastAsia="宋体" w:cs="Times New Roman"/>
                <w:color w:val="auto"/>
                <w:kern w:val="2"/>
                <w:sz w:val="24"/>
                <w:szCs w:val="24"/>
                <w:u w:val="none"/>
                <w:lang w:val="en-US" w:eastAsia="zh-CN" w:bidi="ar-SA"/>
              </w:rPr>
              <w:t>侧，大小为30m</w:t>
            </w:r>
            <w:r>
              <w:rPr>
                <w:rFonts w:hint="default" w:ascii="Times New Roman" w:hAnsi="Times New Roman" w:eastAsia="宋体" w:cs="Times New Roman"/>
                <w:color w:val="auto"/>
                <w:kern w:val="2"/>
                <w:sz w:val="24"/>
                <w:szCs w:val="24"/>
                <w:u w:val="none"/>
                <w:vertAlign w:val="superscript"/>
                <w:lang w:val="en-US" w:eastAsia="zh-CN" w:bidi="ar-SA"/>
              </w:rPr>
              <w:t>2</w:t>
            </w:r>
            <w:r>
              <w:rPr>
                <w:rFonts w:hint="default" w:ascii="Times New Roman" w:hAnsi="Times New Roman" w:eastAsia="宋体" w:cs="Times New Roman"/>
                <w:color w:val="auto"/>
                <w:kern w:val="2"/>
                <w:sz w:val="24"/>
                <w:szCs w:val="24"/>
                <w:u w:val="none"/>
                <w:lang w:val="en-US" w:eastAsia="zh-CN" w:bidi="ar-SA"/>
              </w:rPr>
              <w:t>，对院区产生的危险废物进行分类收集、分类暂存，</w:t>
            </w:r>
            <w:r>
              <w:rPr>
                <w:rFonts w:hint="eastAsia" w:cs="Times New Roman"/>
                <w:color w:val="auto"/>
                <w:kern w:val="2"/>
                <w:sz w:val="24"/>
                <w:szCs w:val="24"/>
                <w:u w:val="none"/>
                <w:lang w:val="en-US" w:eastAsia="zh-CN" w:bidi="ar-SA"/>
              </w:rPr>
              <w:t>废活性炭、废紫外线灯管暂存后定期委托资质单位无害化处置；医疗废物、污泥、栅渣妥善收集暂存后委托资质单位及时转运处置。</w:t>
            </w:r>
          </w:p>
          <w:p w14:paraId="7A204DB4">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根据《危险废物贮存污染控制标准》（GB18597-2023），危险废物暂存环境管理要求如下：</w:t>
            </w:r>
          </w:p>
          <w:p w14:paraId="6CAF572E">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①贮存点应具有固定的区域边界，并应采取与其他区域进行隔离的措施。</w:t>
            </w:r>
          </w:p>
          <w:p w14:paraId="75245D13">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②贮存点应采取防风、防雨、防晒和防止危险废物流失、扬散等措施。</w:t>
            </w:r>
          </w:p>
          <w:p w14:paraId="7AA6C52F">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③贮存点贮存的危险废物应置于容器或包装物中，不应直接散堆。</w:t>
            </w:r>
          </w:p>
          <w:p w14:paraId="02B688FE">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④贮存点应根据危险废物的形态、物理化学性质、包装形式等，采取防渗、防漏等污染防治措施或采用具有相应功能的装置。</w:t>
            </w:r>
          </w:p>
          <w:p w14:paraId="4D9B166E">
            <w:pPr>
              <w:widowControl/>
              <w:spacing w:line="360" w:lineRule="auto"/>
              <w:ind w:firstLine="480" w:firstLineChars="20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⑤贮存点应及时清运贮存的危险废物，实时贮存量不应超过3吨。根据《中华人民共和国固体废物污染环境防治法》中第八十一条“从事收集、贮存、利用、处置危险废物经营活动的单位，贮存危险废物不得超过一年”。</w:t>
            </w:r>
          </w:p>
          <w:p w14:paraId="4CB4511F">
            <w:pPr>
              <w:widowControl/>
              <w:spacing w:line="360" w:lineRule="auto"/>
              <w:ind w:firstLine="480" w:firstLineChars="200"/>
              <w:jc w:val="left"/>
              <w:rPr>
                <w:rFonts w:hint="eastAsia" w:cs="Times New Roman"/>
                <w:color w:val="auto"/>
                <w:sz w:val="24"/>
                <w:szCs w:val="24"/>
                <w:lang w:val="en-US" w:eastAsia="zh-CN"/>
              </w:rPr>
            </w:pPr>
            <w:r>
              <w:rPr>
                <w:rFonts w:hint="eastAsia" w:cs="Times New Roman"/>
                <w:color w:val="auto"/>
                <w:sz w:val="24"/>
                <w:szCs w:val="24"/>
                <w:lang w:val="en-US" w:eastAsia="zh-CN"/>
              </w:rPr>
              <w:t>本</w:t>
            </w:r>
            <w:r>
              <w:rPr>
                <w:rFonts w:hint="default" w:ascii="Times New Roman" w:hAnsi="Times New Roman" w:eastAsia="宋体" w:cs="Times New Roman"/>
                <w:color w:val="auto"/>
                <w:sz w:val="24"/>
                <w:szCs w:val="24"/>
              </w:rPr>
              <w:t>项目危废</w:t>
            </w:r>
            <w:r>
              <w:rPr>
                <w:rFonts w:hint="eastAsia" w:cs="Times New Roman"/>
                <w:color w:val="auto"/>
                <w:sz w:val="24"/>
                <w:szCs w:val="24"/>
                <w:lang w:val="en-US" w:eastAsia="zh-CN"/>
              </w:rPr>
              <w:t>暂存间现状及后续拟采取的措施：</w:t>
            </w:r>
          </w:p>
          <w:p w14:paraId="7EEA388E">
            <w:pPr>
              <w:widowControl/>
              <w:spacing w:line="360" w:lineRule="auto"/>
              <w:ind w:firstLine="480" w:firstLineChars="200"/>
              <w:jc w:val="left"/>
              <w:rPr>
                <w:rFonts w:hint="default" w:cs="Times New Roman"/>
                <w:color w:val="auto"/>
                <w:sz w:val="24"/>
                <w:szCs w:val="24"/>
                <w:lang w:val="en-US" w:eastAsia="zh-CN"/>
              </w:rPr>
            </w:pPr>
            <w:r>
              <w:rPr>
                <w:rFonts w:hint="eastAsia" w:cs="Times New Roman"/>
                <w:color w:val="auto"/>
                <w:sz w:val="24"/>
                <w:szCs w:val="24"/>
                <w:lang w:val="en-US" w:eastAsia="zh-CN"/>
              </w:rPr>
              <w:t>①项目设置的危险废物暂存间已与生活垃圾存放地分开，并已设有防雨、防风、防泄漏的措施；</w:t>
            </w:r>
          </w:p>
          <w:p w14:paraId="17D164A3">
            <w:pPr>
              <w:widowControl/>
              <w:spacing w:line="360" w:lineRule="auto"/>
              <w:ind w:firstLine="480" w:firstLineChars="200"/>
              <w:jc w:val="left"/>
              <w:rPr>
                <w:rFonts w:hint="default" w:cs="Times New Roman"/>
                <w:color w:val="auto"/>
                <w:sz w:val="24"/>
                <w:szCs w:val="24"/>
                <w:lang w:val="en-US" w:eastAsia="zh-CN"/>
              </w:rPr>
            </w:pPr>
            <w:r>
              <w:rPr>
                <w:rFonts w:hint="eastAsia" w:cs="Times New Roman"/>
                <w:color w:val="auto"/>
                <w:sz w:val="24"/>
                <w:szCs w:val="24"/>
                <w:lang w:val="en-US" w:eastAsia="zh-CN"/>
              </w:rPr>
              <w:t>②危险废物暂存间与院内医疗区和人员活动密集区隔开，方便危险废物的装卸、装卸人员及运送车辆的出入，危险废物暂存间已有严密的封闭措施，并已设专人管理，；</w:t>
            </w:r>
          </w:p>
          <w:p w14:paraId="334EF07B">
            <w:pPr>
              <w:widowControl/>
              <w:spacing w:line="360" w:lineRule="auto"/>
              <w:ind w:firstLine="480" w:firstLineChars="200"/>
              <w:jc w:val="left"/>
              <w:rPr>
                <w:rFonts w:hint="default" w:cs="Times New Roman"/>
                <w:color w:val="auto"/>
                <w:sz w:val="24"/>
                <w:szCs w:val="24"/>
                <w:lang w:val="en-US" w:eastAsia="zh-CN"/>
              </w:rPr>
            </w:pPr>
            <w:r>
              <w:rPr>
                <w:rFonts w:hint="eastAsia" w:cs="Times New Roman"/>
                <w:color w:val="auto"/>
                <w:sz w:val="24"/>
                <w:szCs w:val="24"/>
                <w:lang w:val="en-US" w:eastAsia="zh-CN"/>
              </w:rPr>
              <w:t>③项目拟采用密封桶、有内衬的密封封口袋储存各类危险废物，并进行分区存放；</w:t>
            </w:r>
          </w:p>
          <w:p w14:paraId="337AA719">
            <w:pPr>
              <w:widowControl/>
              <w:spacing w:line="360" w:lineRule="auto"/>
              <w:ind w:firstLine="480" w:firstLineChars="200"/>
              <w:jc w:val="left"/>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④危废间地面已进行了防渗处理，本项目后续拟使用防渗托盘容装危废容器；</w:t>
            </w:r>
          </w:p>
          <w:p w14:paraId="540F4786">
            <w:pPr>
              <w:widowControl/>
              <w:spacing w:line="360" w:lineRule="auto"/>
              <w:ind w:firstLine="480" w:firstLineChars="200"/>
              <w:jc w:val="left"/>
              <w:rPr>
                <w:rFonts w:hint="eastAsia" w:ascii="Times New Roman" w:hAnsi="Times New Roman" w:eastAsia="宋体" w:cs="Times New Roman"/>
                <w:color w:val="auto"/>
                <w:sz w:val="24"/>
                <w:szCs w:val="24"/>
                <w:lang w:eastAsia="zh-CN"/>
              </w:rPr>
            </w:pPr>
            <w:r>
              <w:rPr>
                <w:rFonts w:hint="eastAsia" w:cs="Times New Roman"/>
                <w:color w:val="auto"/>
                <w:sz w:val="24"/>
                <w:szCs w:val="24"/>
                <w:lang w:val="en-US" w:eastAsia="zh-CN"/>
              </w:rPr>
              <w:t>⑤项目医疗废物和污泥、栅渣</w:t>
            </w:r>
            <w:r>
              <w:rPr>
                <w:rFonts w:hint="eastAsia" w:cs="Times New Roman"/>
                <w:color w:val="000000" w:themeColor="text1"/>
                <w:sz w:val="24"/>
                <w:szCs w:val="24"/>
                <w:lang w:val="en-US" w:eastAsia="zh-CN"/>
              </w:rPr>
              <w:t>暂存时</w:t>
            </w:r>
            <w:r>
              <w:rPr>
                <w:rFonts w:hint="eastAsia" w:cs="Times New Roman"/>
                <w:color w:val="auto"/>
                <w:sz w:val="24"/>
                <w:szCs w:val="24"/>
                <w:lang w:val="en-US" w:eastAsia="zh-CN"/>
              </w:rPr>
              <w:t>间不超过2天，其他危险废物</w:t>
            </w:r>
            <w:r>
              <w:rPr>
                <w:rFonts w:hint="default" w:ascii="Times New Roman" w:hAnsi="Times New Roman" w:eastAsia="宋体" w:cs="Times New Roman"/>
                <w:color w:val="auto"/>
                <w:sz w:val="24"/>
                <w:szCs w:val="24"/>
              </w:rPr>
              <w:t>暂存时间不超过1年</w:t>
            </w:r>
            <w:r>
              <w:rPr>
                <w:rFonts w:hint="eastAsia" w:cs="Times New Roman"/>
                <w:color w:val="auto"/>
                <w:sz w:val="24"/>
                <w:szCs w:val="24"/>
                <w:lang w:eastAsia="zh-CN"/>
              </w:rPr>
              <w:t>。</w:t>
            </w:r>
          </w:p>
          <w:p w14:paraId="6FFED68F">
            <w:pPr>
              <w:widowControl/>
              <w:spacing w:line="360" w:lineRule="auto"/>
              <w:ind w:firstLine="480" w:firstLineChars="200"/>
              <w:jc w:val="left"/>
              <w:rPr>
                <w:rFonts w:hint="default" w:ascii="Times New Roman" w:hAnsi="Times New Roman" w:eastAsia="宋体" w:cs="Times New Roman"/>
                <w:color w:val="000000" w:themeColor="text1"/>
                <w:sz w:val="24"/>
                <w:szCs w:val="24"/>
              </w:rPr>
            </w:pPr>
            <w:r>
              <w:rPr>
                <w:rFonts w:hint="default" w:ascii="Times New Roman" w:hAnsi="Times New Roman" w:eastAsia="宋体" w:cs="Times New Roman"/>
                <w:color w:val="auto"/>
                <w:sz w:val="24"/>
                <w:szCs w:val="24"/>
              </w:rPr>
              <w:t>另外，建设单位应按照《危险废物转移管理办法》相应管理要求，制定危险废物管理计划，明确拟转移危险废物的种类、重量（数量）和流向等信息；建立危险废物管理台账，对转移的危险废物进行计量称重，如实记录、妥善保管转移危险废物的种类、重量（数量）和接受人等相关信息；填写、运行危险废物转移联单，在危险废物转移联单中如实填写移出人、承运人、</w:t>
            </w:r>
            <w:r>
              <w:rPr>
                <w:rFonts w:hint="eastAsia" w:cs="Times New Roman"/>
                <w:color w:val="auto"/>
                <w:sz w:val="24"/>
                <w:szCs w:val="24"/>
                <w:lang w:eastAsia="zh-CN"/>
              </w:rPr>
              <w:t>接收</w:t>
            </w:r>
            <w:r>
              <w:rPr>
                <w:rFonts w:hint="default" w:ascii="Times New Roman" w:hAnsi="Times New Roman" w:eastAsia="宋体" w:cs="Times New Roman"/>
                <w:color w:val="auto"/>
                <w:sz w:val="24"/>
                <w:szCs w:val="24"/>
              </w:rPr>
              <w:t>人信息，转移危险废物的种类、重量（数量）、危险特性等信息，以及突发环境事件的防范措施等；危险废物转移联</w:t>
            </w:r>
            <w:r>
              <w:rPr>
                <w:rFonts w:hint="default" w:ascii="Times New Roman" w:hAnsi="Times New Roman" w:eastAsia="宋体" w:cs="Times New Roman"/>
                <w:color w:val="000000" w:themeColor="text1"/>
                <w:sz w:val="24"/>
                <w:szCs w:val="24"/>
              </w:rPr>
              <w:t>单应当根据危险废物管理计划中填报的危险废物转移等备案信息填写、运行</w:t>
            </w:r>
            <w:r>
              <w:rPr>
                <w:rFonts w:hint="eastAsia" w:cs="Times New Roman"/>
                <w:color w:val="000000" w:themeColor="text1"/>
                <w:sz w:val="24"/>
                <w:szCs w:val="24"/>
                <w:lang w:eastAsia="zh-CN"/>
              </w:rPr>
              <w:t>。</w:t>
            </w:r>
          </w:p>
          <w:p w14:paraId="4FDC8BB8">
            <w:pPr>
              <w:widowControl/>
              <w:spacing w:line="360" w:lineRule="auto"/>
              <w:ind w:firstLine="482" w:firstLineChars="200"/>
              <w:jc w:val="left"/>
              <w:rPr>
                <w:rFonts w:hint="eastAsia" w:ascii="Times New Roman" w:hAnsi="Times New Roman" w:eastAsia="宋体" w:cs="Times New Roman"/>
                <w:b/>
                <w:bCs/>
                <w:color w:val="000000" w:themeColor="text1"/>
                <w:sz w:val="24"/>
                <w:szCs w:val="24"/>
                <w:lang w:val="en-US" w:eastAsia="zh-CN"/>
              </w:rPr>
            </w:pPr>
            <w:r>
              <w:rPr>
                <w:rFonts w:hint="default" w:ascii="Times New Roman" w:hAnsi="Times New Roman" w:eastAsia="宋体" w:cs="Times New Roman"/>
                <w:b/>
                <w:bCs/>
                <w:color w:val="000000" w:themeColor="text1"/>
                <w:sz w:val="24"/>
                <w:szCs w:val="24"/>
              </w:rPr>
              <w:t>（</w:t>
            </w:r>
            <w:r>
              <w:rPr>
                <w:rFonts w:hint="eastAsia" w:cs="Times New Roman"/>
                <w:b/>
                <w:bCs/>
                <w:color w:val="000000" w:themeColor="text1"/>
                <w:sz w:val="24"/>
                <w:szCs w:val="24"/>
                <w:lang w:val="en-US" w:eastAsia="zh-CN"/>
              </w:rPr>
              <w:t>1</w:t>
            </w:r>
            <w:r>
              <w:rPr>
                <w:rFonts w:hint="default" w:ascii="Times New Roman" w:hAnsi="Times New Roman" w:eastAsia="宋体" w:cs="Times New Roman"/>
                <w:b/>
                <w:bCs/>
                <w:color w:val="000000" w:themeColor="text1"/>
                <w:sz w:val="24"/>
                <w:szCs w:val="24"/>
              </w:rPr>
              <w:t>）医疗废物</w:t>
            </w:r>
            <w:r>
              <w:rPr>
                <w:rFonts w:hint="eastAsia" w:cs="Times New Roman"/>
                <w:b/>
                <w:bCs/>
                <w:color w:val="000000" w:themeColor="text1"/>
                <w:sz w:val="24"/>
                <w:szCs w:val="24"/>
                <w:lang w:val="en-US" w:eastAsia="zh-CN"/>
              </w:rPr>
              <w:t>管理</w:t>
            </w:r>
          </w:p>
          <w:p w14:paraId="34CEF492">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color w:val="000000" w:themeColor="text1"/>
                <w:kern w:val="2"/>
                <w:sz w:val="24"/>
                <w:szCs w:val="24"/>
                <w:u w:val="none"/>
                <w:lang w:val="en-US" w:eastAsia="zh-CN" w:bidi="ar-SA"/>
              </w:rPr>
              <w:t>除上述要求外，本项目</w:t>
            </w:r>
            <w:r>
              <w:rPr>
                <w:rFonts w:hint="default" w:ascii="Times New Roman" w:hAnsi="Times New Roman" w:eastAsia="宋体" w:cs="Times New Roman"/>
                <w:color w:val="000000" w:themeColor="text1"/>
                <w:kern w:val="2"/>
                <w:sz w:val="24"/>
                <w:szCs w:val="24"/>
                <w:highlight w:val="none"/>
                <w:u w:val="none"/>
                <w:lang w:val="en-US" w:eastAsia="zh-CN" w:bidi="ar-SA"/>
              </w:rPr>
              <w:t>医疗</w:t>
            </w:r>
            <w:r>
              <w:rPr>
                <w:rFonts w:hint="default" w:ascii="Times New Roman" w:hAnsi="Times New Roman" w:eastAsia="宋体" w:cs="Times New Roman"/>
                <w:kern w:val="2"/>
                <w:sz w:val="24"/>
                <w:szCs w:val="24"/>
                <w:highlight w:val="none"/>
                <w:u w:val="none"/>
                <w:lang w:val="en-US" w:eastAsia="zh-CN" w:bidi="ar-SA"/>
              </w:rPr>
              <w:t>废物收集、运送、贮存、中间处理和最终处置等过程，应按照《医疗卫生机构医疗废物管理方法》、《医疗废物管理条例</w:t>
            </w:r>
            <w:r>
              <w:rPr>
                <w:rFonts w:hint="default" w:ascii="Times New Roman" w:hAnsi="Times New Roman" w:eastAsia="宋体" w:cs="Times New Roman"/>
                <w:kern w:val="2"/>
                <w:sz w:val="24"/>
                <w:szCs w:val="24"/>
                <w:u w:val="none"/>
                <w:lang w:val="en-US" w:eastAsia="zh-CN" w:bidi="ar-SA"/>
              </w:rPr>
              <w:t>》，《医疗废物集中处置技术规范（试行）》《医疗废物专用包装物、容器标准和警示标识规范》、《医疗废物转运车技术要求（试行）》（GB19217-2003）等相关规范执行。</w:t>
            </w:r>
          </w:p>
          <w:p w14:paraId="4A3D49D5">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A.医疗废物收集、暂存及转运环境管理要求</w:t>
            </w:r>
          </w:p>
          <w:p w14:paraId="794F026B">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项目产生的医疗废物需与有资质单位签订医疗废物处置协议，医疗废物由有资质单位定期清运安全处置。建设单位严格按照卫生部和国家环境保护总局制定的《医疗废物分类目录》、《医疗废物处理条例》、《医疗卫生机构医疗废物管理办法》要求，对医疗废物实施分类收集、处理。</w:t>
            </w:r>
          </w:p>
          <w:p w14:paraId="7C05AA9D">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B.医疗废物的收集、包装及院内转运</w:t>
            </w:r>
          </w:p>
          <w:p w14:paraId="6FB08E25">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对医疗废物的收集应按国家标准操作，有如下要求：</w:t>
            </w:r>
          </w:p>
          <w:p w14:paraId="47B9439D">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①对一次性医疗用品使用后，必须采用严格的包装方法；在医疗过程中会有一些沾染药物、血迹的棉纱、布等废物，此类废物应有专人管理，定期清运，在收集运送过程中不得洒落；医院药品必须设置专用的保管库房或收集器，采用专人负责保管和签发制度，失效前由医药公司回收处理，不得随意流入到社会和送往无处置能力的回收单位；</w:t>
            </w:r>
          </w:p>
          <w:p w14:paraId="4591AA09">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②在病房、诊室、手术室等高危区必须采用双层废物袋或可密封处理的聚丙烯塑料桶。手术室产生的针头等锐器不应和其他废物混放，使用后要稳妥安全地放入防漏、防刺的专用锐器容器中。锐器容器要求有盖，并做好明显的标识，防止转运人员被锐器划伤引起疾病感染。</w:t>
            </w:r>
          </w:p>
          <w:p w14:paraId="22865463">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③对医疗废物必须按照国家卫生健康委和生态环境部制定的《医疗废物分类目录》进行分类收集，并及时打包、消毒。废物袋的颜色为黄色，印有盛装医疗废物的文字说明和医疗废物警示标识，装3/4后就应由专人密封清运至暂存间。废物袋口可用带子扎紧，禁止使用订书机之类的简易封口方式。</w:t>
            </w:r>
          </w:p>
          <w:p w14:paraId="637C8378">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④在盛装医疗废物前，应当对医疗废物包装物或者容器进行认真检查，确保无破损、渗漏和其它缺陷；感染性废物、损伤性废物、药物性废物及化学性废物应分类收集存储，不能混合收集，标明分类标准措施。少量的药物性废物可以混入感染性废物，但应当在标签上注明。</w:t>
            </w:r>
          </w:p>
          <w:p w14:paraId="0CFF175C">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⑤医院应在病区与废物存放点之间设计规定转运路径，设置专用运送通道以缩短废物通过的路线。要求使用专用手推车，要</w:t>
            </w:r>
            <w:r>
              <w:rPr>
                <w:rFonts w:hint="eastAsia" w:eastAsia="宋体" w:cs="Times New Roman"/>
                <w:kern w:val="2"/>
                <w:sz w:val="24"/>
                <w:szCs w:val="24"/>
                <w:u w:val="none"/>
                <w:lang w:val="en-US" w:eastAsia="zh-CN" w:bidi="ar-SA"/>
              </w:rPr>
              <w:t>盛</w:t>
            </w:r>
            <w:r>
              <w:rPr>
                <w:rFonts w:hint="default" w:ascii="Times New Roman" w:hAnsi="Times New Roman" w:eastAsia="宋体" w:cs="Times New Roman"/>
                <w:kern w:val="2"/>
                <w:sz w:val="24"/>
                <w:szCs w:val="24"/>
                <w:u w:val="none"/>
                <w:lang w:val="en-US" w:eastAsia="zh-CN" w:bidi="ar-SA"/>
              </w:rPr>
              <w:t>装方便、密封良好，废物袋破裂时不至于外漏，还要易于消毒和清洁。医疗垃圾由专人、专用垃圾车定时、按指定污物运输线路送到医疗废物暂存间，运送途中，不能有渗漏现象。医疗废物暂存间随开随锁。禁止在运送过程中丢弃医疗垃圾或者将其混入生活垃圾</w:t>
            </w:r>
            <w:r>
              <w:rPr>
                <w:rFonts w:hint="eastAsia" w:eastAsia="宋体" w:cs="Times New Roman"/>
                <w:kern w:val="2"/>
                <w:sz w:val="24"/>
                <w:szCs w:val="24"/>
                <w:u w:val="none"/>
                <w:lang w:val="en-US" w:eastAsia="zh-CN" w:bidi="ar-SA"/>
              </w:rPr>
              <w:t>。</w:t>
            </w:r>
          </w:p>
          <w:p w14:paraId="74E82928">
            <w:pPr>
              <w:pStyle w:val="6"/>
              <w:ind w:firstLine="480"/>
              <w:jc w:val="both"/>
              <w:rPr>
                <w:rFonts w:hint="default" w:ascii="Times New Roman" w:hAnsi="Times New Roman" w:eastAsia="宋体" w:cs="Times New Roman"/>
                <w:kern w:val="2"/>
                <w:sz w:val="24"/>
                <w:szCs w:val="24"/>
                <w:u w:val="none"/>
                <w:lang w:val="en-US" w:eastAsia="zh-CN" w:bidi="ar-SA"/>
              </w:rPr>
            </w:pPr>
            <w:r>
              <w:rPr>
                <w:rFonts w:hint="eastAsia" w:eastAsia="宋体" w:cs="Times New Roman"/>
                <w:kern w:val="2"/>
                <w:sz w:val="24"/>
                <w:szCs w:val="24"/>
                <w:u w:val="none"/>
                <w:lang w:val="en-US" w:eastAsia="zh-CN" w:bidi="ar-SA"/>
              </w:rPr>
              <w:t>C.</w:t>
            </w:r>
            <w:r>
              <w:rPr>
                <w:rFonts w:hint="default" w:ascii="Times New Roman" w:hAnsi="Times New Roman" w:eastAsia="宋体" w:cs="Times New Roman"/>
                <w:kern w:val="2"/>
                <w:sz w:val="24"/>
                <w:szCs w:val="24"/>
                <w:u w:val="none"/>
                <w:lang w:val="en-US" w:eastAsia="zh-CN" w:bidi="ar-SA"/>
              </w:rPr>
              <w:t>医疗废物的交接环境管理要求</w:t>
            </w:r>
          </w:p>
          <w:p w14:paraId="55955430">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①医疗废物运送人员在接收医疗废物时，应外观检查医疗卫生机构是否按规定进行包装、标识，并盛装于周转箱内，不得打开包装袋取出医疗废物。对包装破损、包装外表污染或未盛装于周转箱内的医疗废物，医疗废物运送人员应当要求医疗卫生机构重新包装、标识，并盛装于周转箱内。</w:t>
            </w:r>
          </w:p>
          <w:p w14:paraId="3DCBBA78">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②废物转运应当依照《中华人民共和国固体废物污染环境防治法》的规定，执行危险废物转移联单管理制度。做好医疗废物的台账管理，应当对医疗废物进行登记，登记内容应当包括医疗废物的来源、种类、重量或者数量、交接时间、处置方法、最终去向以及经办人签名等项目，保存时间为5年。</w:t>
            </w:r>
          </w:p>
          <w:p w14:paraId="44C09EC4">
            <w:pPr>
              <w:pStyle w:val="6"/>
              <w:ind w:firstLine="480"/>
              <w:jc w:val="both"/>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③每车每次运送的医疗废物采用《医疗废物运送登记卡》管理，一车一卡，由医疗卫生机构医疗废物管理人员交接时填写并签字。当医疗废物运至处置单位时由处置厂接收人员确认该登记卡上填写的医疗废物数量真实、准确后签收</w:t>
            </w:r>
            <w:r>
              <w:rPr>
                <w:rFonts w:hint="eastAsia" w:eastAsia="宋体" w:cs="Times New Roman"/>
                <w:kern w:val="2"/>
                <w:sz w:val="24"/>
                <w:szCs w:val="24"/>
                <w:u w:val="none"/>
                <w:lang w:val="en-US" w:eastAsia="zh-CN" w:bidi="ar-SA"/>
              </w:rPr>
              <w:t>。</w:t>
            </w:r>
          </w:p>
          <w:p w14:paraId="2C6225A6">
            <w:pPr>
              <w:widowControl/>
              <w:spacing w:line="360" w:lineRule="auto"/>
              <w:ind w:firstLine="480" w:firstLineChars="200"/>
              <w:jc w:val="left"/>
              <w:rPr>
                <w:rFonts w:hint="default" w:ascii="Times New Roman" w:hAnsi="Times New Roman" w:eastAsia="宋体" w:cs="Times New Roman"/>
                <w:sz w:val="24"/>
                <w:szCs w:val="24"/>
                <w:u w:val="single"/>
                <w:lang w:eastAsia="zh-CN"/>
              </w:rPr>
            </w:pPr>
            <w:r>
              <w:rPr>
                <w:rFonts w:hint="default" w:ascii="Times New Roman" w:hAnsi="Times New Roman" w:eastAsia="宋体" w:cs="Times New Roman"/>
                <w:kern w:val="2"/>
                <w:sz w:val="24"/>
                <w:szCs w:val="24"/>
                <w:u w:val="none"/>
                <w:lang w:val="en-US" w:eastAsia="zh-CN" w:bidi="ar-SA"/>
              </w:rPr>
              <w:t>综上，在做到以上固体废物防治措施后，本项目产生的固废均能得到合理有效的收集、存储和处置，其全过程不对外环境产生不良影响。</w:t>
            </w:r>
            <w:r>
              <w:rPr>
                <w:rFonts w:hint="default" w:ascii="Times New Roman" w:hAnsi="Times New Roman" w:cs="Times New Roman"/>
                <w:color w:val="000000" w:themeColor="text1"/>
                <w:sz w:val="24"/>
                <w:szCs w:val="32"/>
                <w:u w:val="none"/>
                <w:lang w:eastAsia="zh-CN"/>
              </w:rPr>
              <w:t>。</w:t>
            </w:r>
          </w:p>
          <w:p w14:paraId="00FAD308">
            <w:pPr>
              <w:widowControl/>
              <w:spacing w:line="360" w:lineRule="auto"/>
              <w:jc w:val="left"/>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5、地下水</w:t>
            </w:r>
            <w:r>
              <w:rPr>
                <w:rFonts w:hint="default" w:ascii="Times New Roman" w:hAnsi="Times New Roman" w:cs="Times New Roman"/>
                <w:b/>
                <w:bCs/>
                <w:sz w:val="24"/>
                <w:szCs w:val="24"/>
                <w:lang w:val="en-US" w:eastAsia="zh-CN"/>
              </w:rPr>
              <w:t>及土壤</w:t>
            </w:r>
            <w:r>
              <w:rPr>
                <w:rFonts w:hint="default" w:ascii="Times New Roman" w:hAnsi="Times New Roman" w:eastAsia="宋体" w:cs="Times New Roman"/>
                <w:b/>
                <w:bCs/>
                <w:sz w:val="24"/>
                <w:szCs w:val="24"/>
              </w:rPr>
              <w:t>环境影响</w:t>
            </w:r>
          </w:p>
          <w:p w14:paraId="38970657">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污染物对地下水</w:t>
            </w:r>
            <w:r>
              <w:rPr>
                <w:rFonts w:hint="default" w:ascii="Times New Roman" w:hAnsi="Times New Roman" w:cs="Times New Roman"/>
                <w:sz w:val="24"/>
                <w:szCs w:val="24"/>
                <w:lang w:val="en-US" w:eastAsia="zh-CN"/>
              </w:rPr>
              <w:t>及土壤</w:t>
            </w:r>
            <w:r>
              <w:rPr>
                <w:rFonts w:hint="default" w:ascii="Times New Roman" w:hAnsi="Times New Roman" w:eastAsia="宋体" w:cs="Times New Roman"/>
                <w:sz w:val="24"/>
                <w:szCs w:val="24"/>
              </w:rPr>
              <w:t>的影响主要是由于降雨或废水排放等通过垂直渗透进入包气带，进入包气带的污染物在物理、化学和生物作用下经过吸附、转化、迁移和分解后输入地下水</w:t>
            </w:r>
            <w:r>
              <w:rPr>
                <w:rFonts w:hint="default" w:ascii="Times New Roman" w:hAnsi="Times New Roman" w:cs="Times New Roman"/>
                <w:sz w:val="24"/>
                <w:szCs w:val="24"/>
                <w:lang w:val="en-US" w:eastAsia="zh-CN"/>
              </w:rPr>
              <w:t>及土壤中</w:t>
            </w:r>
            <w:r>
              <w:rPr>
                <w:rFonts w:hint="default" w:ascii="Times New Roman" w:hAnsi="Times New Roman" w:eastAsia="宋体" w:cs="Times New Roman"/>
                <w:sz w:val="24"/>
                <w:szCs w:val="24"/>
              </w:rPr>
              <w:t xml:space="preserve">。 </w:t>
            </w:r>
          </w:p>
          <w:p w14:paraId="620EAF36">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本项目可能对地下水造成影响的装置主要为污水处理站</w:t>
            </w:r>
            <w:r>
              <w:rPr>
                <w:rFonts w:hint="default" w:ascii="Times New Roman" w:hAnsi="Times New Roman" w:cs="Times New Roman"/>
                <w:sz w:val="24"/>
                <w:szCs w:val="24"/>
                <w:lang w:val="en-US" w:eastAsia="zh-CN"/>
              </w:rPr>
              <w:t>和危废暂存间</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若污水处理站设备密封性或</w:t>
            </w:r>
            <w:r>
              <w:rPr>
                <w:rFonts w:hint="default" w:ascii="Times New Roman" w:hAnsi="Times New Roman" w:cs="Times New Roman"/>
                <w:sz w:val="24"/>
                <w:szCs w:val="24"/>
                <w:lang w:val="en-US" w:eastAsia="zh-CN"/>
              </w:rPr>
              <w:t>危废暂存间</w:t>
            </w:r>
            <w:r>
              <w:rPr>
                <w:rFonts w:hint="default" w:ascii="Times New Roman" w:hAnsi="Times New Roman" w:eastAsia="宋体" w:cs="Times New Roman"/>
                <w:sz w:val="24"/>
                <w:szCs w:val="24"/>
              </w:rPr>
              <w:t>防渗性能不佳，造成跑冒滴漏，导致污水渗漏，若该处土层或岩层是透水的，则会下渗污染地下水</w:t>
            </w:r>
            <w:r>
              <w:rPr>
                <w:rFonts w:hint="default" w:ascii="Times New Roman" w:hAnsi="Times New Roman" w:cs="Times New Roman"/>
                <w:sz w:val="24"/>
                <w:szCs w:val="24"/>
                <w:lang w:val="en-US" w:eastAsia="zh-CN"/>
              </w:rPr>
              <w:t>及土壤</w:t>
            </w:r>
            <w:r>
              <w:rPr>
                <w:rFonts w:hint="default" w:ascii="Times New Roman" w:hAnsi="Times New Roman" w:eastAsia="宋体" w:cs="Times New Roman"/>
                <w:sz w:val="24"/>
                <w:szCs w:val="24"/>
              </w:rPr>
              <w:t>。污水处理产生的污泥等废物如管理不善，无法及时清运</w:t>
            </w:r>
            <w:r>
              <w:rPr>
                <w:rFonts w:hint="default" w:ascii="Times New Roman" w:hAnsi="Times New Roman" w:eastAsia="宋体" w:cs="Times New Roman"/>
                <w:color w:val="000000" w:themeColor="text1"/>
                <w:sz w:val="24"/>
                <w:szCs w:val="24"/>
              </w:rPr>
              <w:t>，其产生的渗滤液下渗，也会造</w:t>
            </w:r>
            <w:r>
              <w:rPr>
                <w:rFonts w:hint="default" w:ascii="Times New Roman" w:hAnsi="Times New Roman" w:eastAsia="宋体" w:cs="Times New Roman"/>
                <w:sz w:val="24"/>
                <w:szCs w:val="24"/>
              </w:rPr>
              <w:t>成地下水</w:t>
            </w:r>
            <w:r>
              <w:rPr>
                <w:rFonts w:hint="default" w:ascii="Times New Roman" w:hAnsi="Times New Roman" w:cs="Times New Roman"/>
                <w:sz w:val="24"/>
                <w:szCs w:val="24"/>
                <w:lang w:val="en-US" w:eastAsia="zh-CN"/>
              </w:rPr>
              <w:t>及土壤</w:t>
            </w:r>
            <w:r>
              <w:rPr>
                <w:rFonts w:hint="default" w:ascii="Times New Roman" w:hAnsi="Times New Roman" w:eastAsia="宋体" w:cs="Times New Roman"/>
                <w:sz w:val="24"/>
                <w:szCs w:val="24"/>
              </w:rPr>
              <w:t xml:space="preserve">污染。 </w:t>
            </w:r>
          </w:p>
          <w:p w14:paraId="4B39BB1A">
            <w:pPr>
              <w:widowControl/>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本项目</w:t>
            </w:r>
            <w:r>
              <w:rPr>
                <w:rFonts w:hint="default" w:ascii="Times New Roman" w:hAnsi="Times New Roman" w:cs="Times New Roman"/>
                <w:sz w:val="24"/>
                <w:szCs w:val="24"/>
                <w:lang w:val="en-US" w:eastAsia="zh-CN"/>
              </w:rPr>
              <w:t>危废暂存间、</w:t>
            </w:r>
            <w:r>
              <w:rPr>
                <w:rFonts w:hint="default" w:ascii="Times New Roman" w:hAnsi="Times New Roman" w:eastAsia="宋体" w:cs="Times New Roman"/>
                <w:sz w:val="24"/>
                <w:szCs w:val="24"/>
              </w:rPr>
              <w:t>污水处理站各类池体、池面均</w:t>
            </w:r>
            <w:r>
              <w:rPr>
                <w:rFonts w:hint="eastAsia" w:cs="Times New Roman"/>
                <w:sz w:val="24"/>
                <w:szCs w:val="24"/>
                <w:lang w:val="en-US" w:eastAsia="zh-CN"/>
              </w:rPr>
              <w:t>按相关要求</w:t>
            </w:r>
            <w:r>
              <w:rPr>
                <w:rFonts w:hint="default" w:ascii="Times New Roman" w:hAnsi="Times New Roman" w:eastAsia="宋体" w:cs="Times New Roman"/>
                <w:sz w:val="24"/>
                <w:szCs w:val="24"/>
              </w:rPr>
              <w:t>采取</w:t>
            </w:r>
            <w:r>
              <w:rPr>
                <w:rFonts w:hint="eastAsia" w:cs="Times New Roman"/>
                <w:sz w:val="24"/>
                <w:szCs w:val="24"/>
                <w:lang w:val="en-US" w:eastAsia="zh-CN"/>
              </w:rPr>
              <w:t>了</w:t>
            </w:r>
            <w:r>
              <w:rPr>
                <w:rFonts w:hint="default" w:ascii="Times New Roman" w:hAnsi="Times New Roman" w:eastAsia="宋体" w:cs="Times New Roman"/>
                <w:sz w:val="24"/>
                <w:szCs w:val="24"/>
              </w:rPr>
              <w:t>防渗措施</w:t>
            </w:r>
            <w:r>
              <w:rPr>
                <w:rFonts w:hint="eastAsia" w:cs="Times New Roman"/>
                <w:sz w:val="24"/>
                <w:szCs w:val="24"/>
                <w:lang w:eastAsia="zh-CN"/>
              </w:rPr>
              <w:t>，</w:t>
            </w:r>
            <w:r>
              <w:rPr>
                <w:rFonts w:hint="eastAsia" w:cs="Times New Roman"/>
                <w:sz w:val="24"/>
                <w:szCs w:val="24"/>
                <w:lang w:val="en-US" w:eastAsia="zh-CN"/>
              </w:rPr>
              <w:t>无地下水污染途径</w:t>
            </w:r>
            <w:r>
              <w:rPr>
                <w:rFonts w:hint="default" w:ascii="Times New Roman" w:hAnsi="Times New Roman" w:eastAsia="宋体" w:cs="Times New Roman"/>
                <w:sz w:val="24"/>
                <w:szCs w:val="24"/>
              </w:rPr>
              <w:t>。</w:t>
            </w:r>
          </w:p>
          <w:p w14:paraId="35A7D2FF">
            <w:pPr>
              <w:widowControl/>
              <w:spacing w:line="360" w:lineRule="auto"/>
              <w:ind w:firstLine="480" w:firstLineChars="200"/>
              <w:jc w:val="left"/>
              <w:rPr>
                <w:rFonts w:hint="default" w:ascii="Times New Roman" w:hAnsi="Times New Roman" w:cs="Times New Roman"/>
                <w:sz w:val="24"/>
                <w:szCs w:val="32"/>
              </w:rPr>
            </w:pPr>
            <w:r>
              <w:rPr>
                <w:rFonts w:hint="default" w:ascii="Times New Roman" w:hAnsi="Times New Roman" w:eastAsia="宋体" w:cs="Times New Roman"/>
                <w:sz w:val="24"/>
                <w:szCs w:val="24"/>
              </w:rPr>
              <w:t>本项目产生的</w:t>
            </w:r>
            <w:r>
              <w:rPr>
                <w:rFonts w:hint="eastAsia" w:cs="Times New Roman"/>
                <w:sz w:val="24"/>
                <w:szCs w:val="24"/>
                <w:lang w:val="en-US" w:eastAsia="zh-CN"/>
              </w:rPr>
              <w:t>综合</w:t>
            </w:r>
            <w:r>
              <w:rPr>
                <w:rFonts w:hint="default" w:ascii="Times New Roman" w:hAnsi="Times New Roman" w:eastAsia="宋体" w:cs="Times New Roman"/>
                <w:sz w:val="24"/>
                <w:szCs w:val="24"/>
              </w:rPr>
              <w:t>废水经市政管网排入</w:t>
            </w:r>
            <w:r>
              <w:rPr>
                <w:rFonts w:hint="default" w:ascii="Times New Roman" w:hAnsi="Times New Roman" w:cs="Times New Roman"/>
                <w:sz w:val="24"/>
                <w:szCs w:val="24"/>
                <w:lang w:val="en-US" w:eastAsia="zh-CN"/>
              </w:rPr>
              <w:t>南津港污水处理厂</w:t>
            </w:r>
            <w:r>
              <w:rPr>
                <w:rFonts w:hint="default" w:ascii="Times New Roman" w:hAnsi="Times New Roman" w:eastAsia="宋体" w:cs="Times New Roman"/>
                <w:sz w:val="24"/>
                <w:szCs w:val="24"/>
              </w:rPr>
              <w:t>进行处理，对所在地的地下水</w:t>
            </w:r>
            <w:r>
              <w:rPr>
                <w:rFonts w:hint="default" w:ascii="Times New Roman" w:hAnsi="Times New Roman" w:cs="Times New Roman"/>
                <w:sz w:val="24"/>
                <w:szCs w:val="24"/>
                <w:lang w:val="en-US" w:eastAsia="zh-CN"/>
              </w:rPr>
              <w:t>及土壤</w:t>
            </w:r>
            <w:r>
              <w:rPr>
                <w:rFonts w:hint="default" w:ascii="Times New Roman" w:hAnsi="Times New Roman" w:eastAsia="宋体" w:cs="Times New Roman"/>
                <w:sz w:val="24"/>
                <w:szCs w:val="24"/>
              </w:rPr>
              <w:t>环境基本无影响。</w:t>
            </w:r>
          </w:p>
          <w:p w14:paraId="4E6F556A">
            <w:pPr>
              <w:widowControl/>
              <w:spacing w:line="360" w:lineRule="auto"/>
              <w:jc w:val="left"/>
              <w:rPr>
                <w:rFonts w:hint="default" w:ascii="Times New Roman" w:hAnsi="Times New Roman" w:eastAsia="宋体" w:cs="Times New Roman"/>
                <w:b/>
                <w:bCs/>
                <w:sz w:val="24"/>
                <w:szCs w:val="24"/>
              </w:rPr>
            </w:pPr>
            <w:r>
              <w:rPr>
                <w:rFonts w:hint="default" w:ascii="Times New Roman" w:hAnsi="Times New Roman" w:cs="Times New Roman"/>
                <w:b/>
                <w:bCs/>
                <w:sz w:val="24"/>
                <w:szCs w:val="24"/>
                <w:lang w:val="en-US" w:eastAsia="zh-CN"/>
              </w:rPr>
              <w:t>6</w:t>
            </w:r>
            <w:r>
              <w:rPr>
                <w:rFonts w:hint="default" w:ascii="Times New Roman" w:hAnsi="Times New Roman" w:eastAsia="宋体" w:cs="Times New Roman"/>
                <w:b/>
                <w:bCs/>
                <w:sz w:val="24"/>
                <w:szCs w:val="24"/>
              </w:rPr>
              <w:t xml:space="preserve">、环境风险 </w:t>
            </w:r>
          </w:p>
          <w:p w14:paraId="4BC08F0B">
            <w:pPr>
              <w:widowControl/>
              <w:spacing w:line="360" w:lineRule="auto"/>
              <w:ind w:firstLine="482" w:firstLineChars="200"/>
              <w:jc w:val="left"/>
              <w:rPr>
                <w:rFonts w:hint="default" w:ascii="Times New Roman" w:hAnsi="Times New Roman" w:eastAsia="宋体" w:cs="Times New Roman"/>
                <w:sz w:val="24"/>
                <w:szCs w:val="24"/>
              </w:rPr>
            </w:pPr>
            <w:r>
              <w:rPr>
                <w:rFonts w:hint="default" w:ascii="Times New Roman" w:hAnsi="Times New Roman" w:cs="Times New Roman"/>
                <w:b/>
                <w:bCs/>
                <w:sz w:val="24"/>
                <w:szCs w:val="24"/>
                <w:lang w:val="en-US" w:eastAsia="zh-CN"/>
              </w:rPr>
              <w:t>6</w:t>
            </w:r>
            <w:r>
              <w:rPr>
                <w:rFonts w:hint="default" w:ascii="Times New Roman" w:hAnsi="Times New Roman" w:eastAsia="宋体" w:cs="Times New Roman"/>
                <w:b/>
                <w:bCs/>
                <w:sz w:val="24"/>
                <w:szCs w:val="24"/>
              </w:rPr>
              <w:t xml:space="preserve">.1、风险识别 </w:t>
            </w:r>
          </w:p>
          <w:p w14:paraId="74576B16">
            <w:pPr>
              <w:widowControl/>
              <w:spacing w:line="360" w:lineRule="auto"/>
              <w:ind w:firstLine="480" w:firstLineChars="200"/>
              <w:jc w:val="left"/>
              <w:rPr>
                <w:rFonts w:hint="default" w:ascii="Times New Roman" w:hAnsi="Times New Roman" w:eastAsia="宋体" w:cs="Times New Roman"/>
                <w:sz w:val="24"/>
                <w:szCs w:val="24"/>
                <w:u w:val="single"/>
              </w:rPr>
            </w:pPr>
            <w:bookmarkStart w:id="13" w:name="_Toc7229"/>
            <w:r>
              <w:rPr>
                <w:rFonts w:hint="default" w:ascii="Times New Roman" w:hAnsi="Times New Roman" w:eastAsia="宋体" w:cs="Times New Roman"/>
                <w:sz w:val="24"/>
                <w:szCs w:val="24"/>
                <w:u w:val="single"/>
              </w:rPr>
              <w:t>（1）环境风险识别</w:t>
            </w:r>
          </w:p>
          <w:p w14:paraId="26873E58">
            <w:pPr>
              <w:widowControl/>
              <w:spacing w:line="360" w:lineRule="auto"/>
              <w:ind w:firstLine="480" w:firstLineChars="200"/>
              <w:jc w:val="left"/>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u w:val="single"/>
              </w:rPr>
              <w:t>根据《建设项目环境风险评价技术导则》（HJ 169-2018）附录B</w:t>
            </w:r>
            <w:r>
              <w:rPr>
                <w:rFonts w:hint="eastAsia" w:cs="Times New Roman"/>
                <w:sz w:val="24"/>
                <w:szCs w:val="24"/>
                <w:u w:val="single"/>
                <w:lang w:val="en-US" w:eastAsia="zh-CN"/>
              </w:rPr>
              <w:t>和《危险化学品重大危险源辨识》（GB 18218-2018）</w:t>
            </w:r>
            <w:r>
              <w:rPr>
                <w:rFonts w:hint="default" w:ascii="Times New Roman" w:hAnsi="Times New Roman" w:eastAsia="宋体" w:cs="Times New Roman"/>
                <w:sz w:val="24"/>
                <w:szCs w:val="24"/>
                <w:u w:val="single"/>
              </w:rPr>
              <w:t>，对项目涉及的原辅材料、燃料、中间产品、产品、污染物等进行危险性识别。本项目使用环境风险物质主要为</w:t>
            </w:r>
            <w:r>
              <w:rPr>
                <w:rFonts w:hint="default" w:ascii="Times New Roman" w:hAnsi="Times New Roman" w:cs="Times New Roman"/>
                <w:sz w:val="24"/>
                <w:szCs w:val="24"/>
                <w:u w:val="single"/>
                <w:lang w:val="en-US" w:eastAsia="zh-CN"/>
              </w:rPr>
              <w:t>酒精</w:t>
            </w:r>
            <w:r>
              <w:rPr>
                <w:rFonts w:hint="default" w:ascii="Times New Roman" w:hAnsi="Times New Roman" w:eastAsia="宋体" w:cs="Times New Roman"/>
                <w:sz w:val="24"/>
                <w:szCs w:val="24"/>
                <w:u w:val="single"/>
              </w:rPr>
              <w:t>、二氯异氰尿酸钠、</w:t>
            </w:r>
            <w:r>
              <w:rPr>
                <w:rFonts w:hint="default" w:ascii="Times New Roman" w:hAnsi="Times New Roman" w:cs="Times New Roman"/>
                <w:sz w:val="24"/>
                <w:szCs w:val="24"/>
                <w:u w:val="single"/>
                <w:lang w:val="en-US" w:eastAsia="zh-CN"/>
              </w:rPr>
              <w:t>氢氧化钠、</w:t>
            </w:r>
            <w:r>
              <w:rPr>
                <w:rFonts w:hint="eastAsia" w:cs="Times New Roman"/>
                <w:color w:val="000000" w:themeColor="text1"/>
                <w:sz w:val="24"/>
                <w:szCs w:val="24"/>
                <w:u w:val="single"/>
                <w:lang w:val="en-US" w:eastAsia="zh-CN"/>
              </w:rPr>
              <w:t>84消毒液（84消毒液含有次氯酸钠，市售的84消毒液次氯酸钠含量通常在5.5-6.5%，本环评按6%计，84消毒液最大暂存量0.1t，则次氯酸钠最大存在量为0.006t）</w:t>
            </w:r>
            <w:r>
              <w:rPr>
                <w:rFonts w:hint="eastAsia" w:cs="Times New Roman"/>
                <w:sz w:val="24"/>
                <w:szCs w:val="24"/>
                <w:u w:val="single"/>
                <w:lang w:val="en-US" w:eastAsia="zh-CN"/>
              </w:rPr>
              <w:t>、</w:t>
            </w:r>
            <w:r>
              <w:rPr>
                <w:rFonts w:hint="default" w:ascii="Times New Roman" w:hAnsi="Times New Roman" w:cs="Times New Roman"/>
                <w:sz w:val="24"/>
                <w:szCs w:val="24"/>
                <w:u w:val="single"/>
                <w:lang w:val="en-US" w:eastAsia="zh-CN"/>
              </w:rPr>
              <w:t>柴油</w:t>
            </w:r>
            <w:r>
              <w:rPr>
                <w:rFonts w:hint="eastAsia" w:cs="Times New Roman"/>
                <w:color w:val="auto"/>
                <w:sz w:val="24"/>
                <w:szCs w:val="24"/>
                <w:u w:val="single"/>
                <w:lang w:val="en-US" w:eastAsia="zh-CN"/>
              </w:rPr>
              <w:t>、污泥、</w:t>
            </w:r>
            <w:r>
              <w:rPr>
                <w:rFonts w:hint="eastAsia" w:cs="Times New Roman"/>
                <w:color w:val="auto"/>
                <w:sz w:val="24"/>
                <w:szCs w:val="24"/>
                <w:highlight w:val="none"/>
                <w:u w:val="single"/>
                <w:lang w:val="en-US" w:eastAsia="zh-CN"/>
              </w:rPr>
              <w:t>栅</w:t>
            </w:r>
            <w:r>
              <w:rPr>
                <w:rFonts w:hint="eastAsia" w:cs="Times New Roman"/>
                <w:color w:val="000000" w:themeColor="text1"/>
                <w:sz w:val="24"/>
                <w:szCs w:val="24"/>
                <w:highlight w:val="none"/>
                <w:u w:val="single"/>
                <w:lang w:val="en-US" w:eastAsia="zh-CN"/>
              </w:rPr>
              <w:t>渣（栅渣每天清理，暂存时间不超过2天，产生量0.012t/d，最大储存量0.024t，污泥每年压滤3次，暂存时间不超过2天，产生量约0.197t/次，最大储存量0.197t）</w:t>
            </w:r>
            <w:r>
              <w:rPr>
                <w:rFonts w:hint="eastAsia" w:cs="Times New Roman"/>
                <w:color w:val="000000" w:themeColor="text1"/>
                <w:sz w:val="24"/>
                <w:szCs w:val="24"/>
                <w:u w:val="single"/>
                <w:lang w:val="en-US" w:eastAsia="zh-CN"/>
              </w:rPr>
              <w:t>、医</w:t>
            </w:r>
            <w:r>
              <w:rPr>
                <w:rFonts w:hint="eastAsia" w:cs="Times New Roman"/>
                <w:color w:val="auto"/>
                <w:sz w:val="24"/>
                <w:szCs w:val="24"/>
                <w:u w:val="single"/>
                <w:lang w:val="en-US" w:eastAsia="zh-CN"/>
              </w:rPr>
              <w:t>疗废物（医疗废物年产生量84.242t/a，暂存时间不超过2天，则医疗废物最大储存量为：0.3t）、废活性炭、废紫外线灯管、氧气</w:t>
            </w:r>
            <w:r>
              <w:rPr>
                <w:rFonts w:hint="default" w:ascii="Times New Roman" w:hAnsi="Times New Roman" w:eastAsia="宋体" w:cs="Times New Roman"/>
                <w:color w:val="auto"/>
                <w:sz w:val="24"/>
                <w:szCs w:val="24"/>
                <w:u w:val="single"/>
              </w:rPr>
              <w:t>，</w:t>
            </w:r>
            <w:r>
              <w:rPr>
                <w:rFonts w:hint="default" w:ascii="Times New Roman" w:hAnsi="Times New Roman" w:eastAsia="宋体" w:cs="Times New Roman"/>
                <w:sz w:val="24"/>
                <w:szCs w:val="24"/>
                <w:u w:val="single"/>
              </w:rPr>
              <w:t>与临界量的比值Q的计算见下表。</w:t>
            </w:r>
          </w:p>
          <w:bookmarkEnd w:id="13"/>
          <w:p w14:paraId="797AD078">
            <w:pPr>
              <w:keepNext w:val="0"/>
              <w:keepLines w:val="0"/>
              <w:pageBreakBefore w:val="0"/>
              <w:widowControl/>
              <w:kinsoku/>
              <w:wordWrap/>
              <w:overflowPunct/>
              <w:topLinePunct w:val="0"/>
              <w:autoSpaceDE/>
              <w:autoSpaceDN/>
              <w:bidi w:val="0"/>
              <w:adjustRightInd/>
              <w:snapToGrid/>
              <w:spacing w:line="360" w:lineRule="auto"/>
              <w:ind w:firstLine="422" w:firstLineChars="200"/>
              <w:jc w:val="center"/>
              <w:textAlignment w:val="auto"/>
              <w:rPr>
                <w:rFonts w:hint="default" w:ascii="Times New Roman" w:hAnsi="Times New Roman" w:eastAsia="宋体" w:cs="Times New Roman"/>
                <w:b/>
                <w:bCs/>
                <w:color w:val="000000" w:themeColor="text1"/>
                <w:u w:val="single"/>
                <w:lang w:eastAsia="zh-CN"/>
              </w:rPr>
            </w:pPr>
            <w:r>
              <w:rPr>
                <w:rFonts w:hint="default" w:ascii="Times New Roman" w:hAnsi="Times New Roman" w:eastAsia="宋体" w:cs="Times New Roman"/>
                <w:b/>
                <w:bCs/>
                <w:sz w:val="21"/>
                <w:szCs w:val="21"/>
                <w:u w:val="single"/>
              </w:rPr>
              <w:t>表4</w:t>
            </w:r>
            <w:r>
              <w:rPr>
                <w:rFonts w:hint="default" w:ascii="Times New Roman" w:hAnsi="Times New Roman" w:eastAsia="宋体" w:cs="Times New Roman"/>
                <w:b/>
                <w:bCs/>
                <w:sz w:val="21"/>
                <w:szCs w:val="21"/>
                <w:u w:val="single"/>
                <w:lang w:val="en-US" w:eastAsia="zh-CN"/>
              </w:rPr>
              <w:t>-</w:t>
            </w:r>
            <w:r>
              <w:rPr>
                <w:rFonts w:hint="eastAsia" w:cs="Times New Roman"/>
                <w:b/>
                <w:bCs/>
                <w:sz w:val="21"/>
                <w:szCs w:val="21"/>
                <w:u w:val="single"/>
                <w:lang w:val="en-US" w:eastAsia="zh-CN"/>
              </w:rPr>
              <w:t>28</w:t>
            </w:r>
            <w:r>
              <w:rPr>
                <w:rFonts w:hint="default" w:ascii="Times New Roman" w:hAnsi="Times New Roman" w:eastAsia="宋体" w:cs="Times New Roman"/>
                <w:b/>
                <w:bCs/>
                <w:sz w:val="21"/>
                <w:szCs w:val="21"/>
                <w:u w:val="single"/>
                <w:lang w:val="en-US" w:eastAsia="zh-CN"/>
              </w:rPr>
              <w:t xml:space="preserve"> </w:t>
            </w:r>
            <w:r>
              <w:rPr>
                <w:rFonts w:hint="default" w:ascii="Times New Roman" w:hAnsi="Times New Roman" w:eastAsia="宋体" w:cs="Times New Roman"/>
                <w:b/>
                <w:bCs/>
                <w:sz w:val="21"/>
                <w:szCs w:val="21"/>
                <w:u w:val="single"/>
              </w:rPr>
              <w:t>环境风险物质分布及主</w:t>
            </w:r>
            <w:r>
              <w:rPr>
                <w:rFonts w:hint="default" w:ascii="Times New Roman" w:hAnsi="Times New Roman" w:cs="Times New Roman"/>
                <w:b/>
                <w:bCs/>
                <w:color w:val="000000" w:themeColor="text1"/>
                <w:u w:val="single"/>
              </w:rPr>
              <w:t>要危险物质一览表</w:t>
            </w:r>
          </w:p>
          <w:tbl>
            <w:tblPr>
              <w:tblStyle w:val="24"/>
              <w:tblW w:w="84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73"/>
              <w:gridCol w:w="1976"/>
              <w:gridCol w:w="1645"/>
              <w:gridCol w:w="1731"/>
            </w:tblGrid>
            <w:tr w14:paraId="038EC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09" w:type="dxa"/>
                  <w:tcBorders>
                    <w:tl2br w:val="nil"/>
                    <w:tr2bl w:val="nil"/>
                  </w:tcBorders>
                  <w:vAlign w:val="center"/>
                </w:tcPr>
                <w:p w14:paraId="68BF4031">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序号</w:t>
                  </w:r>
                </w:p>
              </w:tc>
              <w:tc>
                <w:tcPr>
                  <w:tcW w:w="2373" w:type="dxa"/>
                  <w:tcBorders>
                    <w:tl2br w:val="nil"/>
                    <w:tr2bl w:val="nil"/>
                  </w:tcBorders>
                  <w:vAlign w:val="center"/>
                </w:tcPr>
                <w:p w14:paraId="5694AA2B">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物料名称</w:t>
                  </w:r>
                </w:p>
              </w:tc>
              <w:tc>
                <w:tcPr>
                  <w:tcW w:w="1976" w:type="dxa"/>
                  <w:tcBorders>
                    <w:tl2br w:val="nil"/>
                    <w:tr2bl w:val="nil"/>
                  </w:tcBorders>
                  <w:vAlign w:val="center"/>
                </w:tcPr>
                <w:p w14:paraId="349F73B9">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最大储存量（q/t）</w:t>
                  </w:r>
                </w:p>
              </w:tc>
              <w:tc>
                <w:tcPr>
                  <w:tcW w:w="1645" w:type="dxa"/>
                  <w:tcBorders>
                    <w:tl2br w:val="nil"/>
                    <w:tr2bl w:val="nil"/>
                  </w:tcBorders>
                  <w:vAlign w:val="center"/>
                </w:tcPr>
                <w:p w14:paraId="4720883C">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临界量（Qt）</w:t>
                  </w:r>
                </w:p>
              </w:tc>
              <w:tc>
                <w:tcPr>
                  <w:tcW w:w="1731" w:type="dxa"/>
                  <w:tcBorders>
                    <w:tl2br w:val="nil"/>
                    <w:tr2bl w:val="nil"/>
                  </w:tcBorders>
                  <w:vAlign w:val="center"/>
                </w:tcPr>
                <w:p w14:paraId="2CECFDBD">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q/Q</w:t>
                  </w:r>
                </w:p>
              </w:tc>
            </w:tr>
            <w:tr w14:paraId="6A55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75EACC1E">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1</w:t>
                  </w:r>
                </w:p>
              </w:tc>
              <w:tc>
                <w:tcPr>
                  <w:tcW w:w="2373" w:type="dxa"/>
                  <w:tcBorders>
                    <w:tl2br w:val="nil"/>
                    <w:tr2bl w:val="nil"/>
                  </w:tcBorders>
                  <w:vAlign w:val="center"/>
                </w:tcPr>
                <w:p w14:paraId="32DDC28C">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eastAsia="宋体" w:cs="Times New Roman"/>
                      <w:i w:val="0"/>
                      <w:iCs w:val="0"/>
                      <w:color w:val="000000" w:themeColor="text1"/>
                      <w:kern w:val="0"/>
                      <w:sz w:val="21"/>
                      <w:szCs w:val="21"/>
                      <w:u w:val="single"/>
                      <w:lang w:val="en-US" w:eastAsia="zh-CN" w:bidi="ar"/>
                    </w:rPr>
                    <w:t>酒精</w:t>
                  </w:r>
                </w:p>
              </w:tc>
              <w:tc>
                <w:tcPr>
                  <w:tcW w:w="1976" w:type="dxa"/>
                  <w:tcBorders>
                    <w:tl2br w:val="nil"/>
                    <w:tr2bl w:val="nil"/>
                  </w:tcBorders>
                  <w:vAlign w:val="center"/>
                </w:tcPr>
                <w:p w14:paraId="71AE2A89">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0.1</w:t>
                  </w:r>
                </w:p>
              </w:tc>
              <w:tc>
                <w:tcPr>
                  <w:tcW w:w="1645" w:type="dxa"/>
                  <w:tcBorders>
                    <w:tl2br w:val="nil"/>
                    <w:tr2bl w:val="nil"/>
                  </w:tcBorders>
                  <w:vAlign w:val="center"/>
                </w:tcPr>
                <w:p w14:paraId="3033E7E2">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500</w:t>
                  </w:r>
                </w:p>
              </w:tc>
              <w:tc>
                <w:tcPr>
                  <w:tcW w:w="1731" w:type="dxa"/>
                  <w:tcBorders>
                    <w:tl2br w:val="nil"/>
                    <w:tr2bl w:val="nil"/>
                  </w:tcBorders>
                  <w:vAlign w:val="center"/>
                </w:tcPr>
                <w:p w14:paraId="511709AD">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0.0002</w:t>
                  </w:r>
                </w:p>
              </w:tc>
            </w:tr>
            <w:tr w14:paraId="06AA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30F757E3">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rPr>
                    <w:t>2</w:t>
                  </w:r>
                </w:p>
              </w:tc>
              <w:tc>
                <w:tcPr>
                  <w:tcW w:w="2373" w:type="dxa"/>
                  <w:tcBorders>
                    <w:tl2br w:val="nil"/>
                    <w:tr2bl w:val="nil"/>
                  </w:tcBorders>
                  <w:vAlign w:val="center"/>
                </w:tcPr>
                <w:p w14:paraId="4E9289E5">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i w:val="0"/>
                      <w:iCs w:val="0"/>
                      <w:color w:val="000000" w:themeColor="text1"/>
                      <w:kern w:val="0"/>
                      <w:sz w:val="21"/>
                      <w:szCs w:val="21"/>
                      <w:u w:val="single"/>
                      <w:lang w:val="en-US" w:eastAsia="zh-CN" w:bidi="ar"/>
                    </w:rPr>
                  </w:pPr>
                  <w:r>
                    <w:rPr>
                      <w:rFonts w:hint="default" w:ascii="Times New Roman" w:hAnsi="Times New Roman" w:cs="Times New Roman"/>
                      <w:i w:val="0"/>
                      <w:iCs w:val="0"/>
                      <w:color w:val="000000" w:themeColor="text1"/>
                      <w:kern w:val="0"/>
                      <w:sz w:val="21"/>
                      <w:szCs w:val="21"/>
                      <w:u w:val="single"/>
                      <w:lang w:val="en-US" w:eastAsia="zh-CN" w:bidi="ar"/>
                    </w:rPr>
                    <w:t>氢氧化钠</w:t>
                  </w:r>
                </w:p>
              </w:tc>
              <w:tc>
                <w:tcPr>
                  <w:tcW w:w="1976" w:type="dxa"/>
                  <w:tcBorders>
                    <w:tl2br w:val="nil"/>
                    <w:tr2bl w:val="nil"/>
                  </w:tcBorders>
                  <w:vAlign w:val="center"/>
                </w:tcPr>
                <w:p w14:paraId="5C7DA799">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0.1</w:t>
                  </w:r>
                </w:p>
              </w:tc>
              <w:tc>
                <w:tcPr>
                  <w:tcW w:w="1645" w:type="dxa"/>
                  <w:tcBorders>
                    <w:tl2br w:val="nil"/>
                    <w:tr2bl w:val="nil"/>
                  </w:tcBorders>
                  <w:vAlign w:val="center"/>
                </w:tcPr>
                <w:p w14:paraId="029A69C0">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100</w:t>
                  </w:r>
                </w:p>
              </w:tc>
              <w:tc>
                <w:tcPr>
                  <w:tcW w:w="1731" w:type="dxa"/>
                  <w:tcBorders>
                    <w:tl2br w:val="nil"/>
                    <w:tr2bl w:val="nil"/>
                  </w:tcBorders>
                  <w:vAlign w:val="center"/>
                </w:tcPr>
                <w:p w14:paraId="014CDD85">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0.001</w:t>
                  </w:r>
                </w:p>
              </w:tc>
            </w:tr>
            <w:tr w14:paraId="470D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5E5FACDE">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lang w:val="en-US" w:eastAsia="zh-CN"/>
                    </w:rPr>
                    <w:t>3</w:t>
                  </w:r>
                </w:p>
              </w:tc>
              <w:tc>
                <w:tcPr>
                  <w:tcW w:w="2373" w:type="dxa"/>
                  <w:tcBorders>
                    <w:tl2br w:val="nil"/>
                    <w:tr2bl w:val="nil"/>
                  </w:tcBorders>
                  <w:vAlign w:val="center"/>
                </w:tcPr>
                <w:p w14:paraId="13E4E563">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i w:val="0"/>
                      <w:iCs w:val="0"/>
                      <w:color w:val="000000" w:themeColor="text1"/>
                      <w:kern w:val="0"/>
                      <w:sz w:val="21"/>
                      <w:szCs w:val="21"/>
                      <w:u w:val="single"/>
                      <w:lang w:val="en-US" w:eastAsia="zh-CN" w:bidi="ar"/>
                    </w:rPr>
                  </w:pPr>
                  <w:r>
                    <w:rPr>
                      <w:rFonts w:hint="eastAsia" w:cs="Times New Roman"/>
                      <w:i w:val="0"/>
                      <w:iCs w:val="0"/>
                      <w:color w:val="000000" w:themeColor="text1"/>
                      <w:kern w:val="0"/>
                      <w:sz w:val="21"/>
                      <w:szCs w:val="21"/>
                      <w:u w:val="single"/>
                      <w:lang w:val="en-US" w:eastAsia="zh-CN" w:bidi="ar"/>
                    </w:rPr>
                    <w:t>次氯酸钠</w:t>
                  </w:r>
                </w:p>
              </w:tc>
              <w:tc>
                <w:tcPr>
                  <w:tcW w:w="1976" w:type="dxa"/>
                  <w:tcBorders>
                    <w:tl2br w:val="nil"/>
                    <w:tr2bl w:val="nil"/>
                  </w:tcBorders>
                  <w:vAlign w:val="center"/>
                </w:tcPr>
                <w:p w14:paraId="3B1E3620">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lang w:val="en-US" w:eastAsia="zh-CN"/>
                    </w:rPr>
                  </w:pPr>
                  <w:r>
                    <w:rPr>
                      <w:rFonts w:hint="eastAsia" w:cs="Times New Roman"/>
                      <w:color w:val="000000" w:themeColor="text1"/>
                      <w:u w:val="single"/>
                      <w:lang w:val="en-US" w:eastAsia="zh-CN"/>
                    </w:rPr>
                    <w:t>0.006</w:t>
                  </w:r>
                </w:p>
              </w:tc>
              <w:tc>
                <w:tcPr>
                  <w:tcW w:w="1645" w:type="dxa"/>
                  <w:tcBorders>
                    <w:tl2br w:val="nil"/>
                    <w:tr2bl w:val="nil"/>
                  </w:tcBorders>
                  <w:vAlign w:val="center"/>
                </w:tcPr>
                <w:p w14:paraId="33761188">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lang w:val="en-US" w:eastAsia="zh-CN"/>
                    </w:rPr>
                  </w:pPr>
                  <w:r>
                    <w:rPr>
                      <w:rFonts w:hint="eastAsia" w:cs="Times New Roman"/>
                      <w:color w:val="000000" w:themeColor="text1"/>
                      <w:u w:val="single"/>
                      <w:lang w:val="en-US" w:eastAsia="zh-CN"/>
                    </w:rPr>
                    <w:t>5</w:t>
                  </w:r>
                </w:p>
              </w:tc>
              <w:tc>
                <w:tcPr>
                  <w:tcW w:w="1731" w:type="dxa"/>
                  <w:tcBorders>
                    <w:tl2br w:val="nil"/>
                    <w:tr2bl w:val="nil"/>
                  </w:tcBorders>
                  <w:vAlign w:val="center"/>
                </w:tcPr>
                <w:p w14:paraId="0FB43241">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lang w:val="en-US" w:eastAsia="zh-CN"/>
                    </w:rPr>
                  </w:pPr>
                  <w:r>
                    <w:rPr>
                      <w:rFonts w:hint="eastAsia" w:cs="Times New Roman"/>
                      <w:color w:val="000000" w:themeColor="text1"/>
                      <w:u w:val="single"/>
                      <w:lang w:val="en-US" w:eastAsia="zh-CN"/>
                    </w:rPr>
                    <w:t>0.0012</w:t>
                  </w:r>
                </w:p>
              </w:tc>
            </w:tr>
            <w:tr w14:paraId="1F4F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58C1817D">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ascii="Times New Roman" w:hAnsi="Times New Roman" w:cs="Times New Roman"/>
                      <w:color w:val="000000" w:themeColor="text1"/>
                      <w:u w:val="single"/>
                    </w:rPr>
                  </w:pPr>
                  <w:r>
                    <w:rPr>
                      <w:rFonts w:hint="default" w:ascii="Times New Roman" w:hAnsi="Times New Roman" w:cs="Times New Roman"/>
                      <w:color w:val="000000" w:themeColor="text1"/>
                      <w:u w:val="single"/>
                      <w:lang w:val="en-US" w:eastAsia="zh-CN"/>
                    </w:rPr>
                    <w:t>4</w:t>
                  </w:r>
                </w:p>
              </w:tc>
              <w:tc>
                <w:tcPr>
                  <w:tcW w:w="2373" w:type="dxa"/>
                  <w:tcBorders>
                    <w:tl2br w:val="nil"/>
                    <w:tr2bl w:val="nil"/>
                  </w:tcBorders>
                  <w:vAlign w:val="center"/>
                </w:tcPr>
                <w:p w14:paraId="7DD89838">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rPr>
                  </w:pPr>
                  <w:r>
                    <w:rPr>
                      <w:rFonts w:hint="default" w:ascii="Times New Roman" w:hAnsi="Times New Roman" w:eastAsia="宋体" w:cs="Times New Roman"/>
                      <w:color w:val="000000" w:themeColor="text1"/>
                      <w:sz w:val="21"/>
                      <w:szCs w:val="21"/>
                      <w:u w:val="single"/>
                    </w:rPr>
                    <w:t>二氯异氰尿酸钠</w:t>
                  </w:r>
                </w:p>
              </w:tc>
              <w:tc>
                <w:tcPr>
                  <w:tcW w:w="1976" w:type="dxa"/>
                  <w:tcBorders>
                    <w:tl2br w:val="nil"/>
                    <w:tr2bl w:val="nil"/>
                  </w:tcBorders>
                  <w:vAlign w:val="center"/>
                </w:tcPr>
                <w:p w14:paraId="3CC88B3F">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0.5</w:t>
                  </w:r>
                </w:p>
              </w:tc>
              <w:tc>
                <w:tcPr>
                  <w:tcW w:w="1645" w:type="dxa"/>
                  <w:tcBorders>
                    <w:tl2br w:val="nil"/>
                    <w:tr2bl w:val="nil"/>
                  </w:tcBorders>
                  <w:vAlign w:val="center"/>
                </w:tcPr>
                <w:p w14:paraId="5498686D">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eastAsia" w:cs="Times New Roman"/>
                      <w:color w:val="000000" w:themeColor="text1"/>
                      <w:u w:val="single"/>
                      <w:lang w:val="en-US" w:eastAsia="zh-CN"/>
                    </w:rPr>
                    <w:t>100</w:t>
                  </w:r>
                </w:p>
              </w:tc>
              <w:tc>
                <w:tcPr>
                  <w:tcW w:w="1731" w:type="dxa"/>
                  <w:tcBorders>
                    <w:tl2br w:val="nil"/>
                    <w:tr2bl w:val="nil"/>
                  </w:tcBorders>
                  <w:vAlign w:val="center"/>
                </w:tcPr>
                <w:p w14:paraId="455EB215">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rPr>
                    <w:t>0.</w:t>
                  </w:r>
                  <w:r>
                    <w:rPr>
                      <w:rFonts w:hint="eastAsia" w:cs="Times New Roman"/>
                      <w:color w:val="000000" w:themeColor="text1"/>
                      <w:u w:val="single"/>
                      <w:lang w:val="en-US" w:eastAsia="zh-CN"/>
                    </w:rPr>
                    <w:t>005</w:t>
                  </w:r>
                </w:p>
              </w:tc>
            </w:tr>
            <w:tr w14:paraId="1AF4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0FAB8BB2">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ascii="Times New Roman" w:hAnsi="Times New Roman" w:eastAsia="宋体" w:cs="Times New Roman"/>
                      <w:color w:val="000000" w:themeColor="text1"/>
                      <w:u w:val="single"/>
                      <w:lang w:val="en-US" w:eastAsia="zh-CN"/>
                    </w:rPr>
                  </w:pPr>
                  <w:r>
                    <w:rPr>
                      <w:rFonts w:hint="eastAsia" w:cs="Times New Roman"/>
                      <w:color w:val="000000" w:themeColor="text1"/>
                      <w:u w:val="single"/>
                      <w:lang w:val="en-US" w:eastAsia="zh-CN"/>
                    </w:rPr>
                    <w:t>5</w:t>
                  </w:r>
                </w:p>
              </w:tc>
              <w:tc>
                <w:tcPr>
                  <w:tcW w:w="2373" w:type="dxa"/>
                  <w:tcBorders>
                    <w:tl2br w:val="nil"/>
                    <w:tr2bl w:val="nil"/>
                  </w:tcBorders>
                  <w:vAlign w:val="center"/>
                </w:tcPr>
                <w:p w14:paraId="126911DD">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柴油</w:t>
                  </w:r>
                </w:p>
              </w:tc>
              <w:tc>
                <w:tcPr>
                  <w:tcW w:w="1976" w:type="dxa"/>
                  <w:tcBorders>
                    <w:tl2br w:val="nil"/>
                    <w:tr2bl w:val="nil"/>
                  </w:tcBorders>
                  <w:vAlign w:val="center"/>
                </w:tcPr>
                <w:p w14:paraId="1B838573">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0.5</w:t>
                  </w:r>
                </w:p>
              </w:tc>
              <w:tc>
                <w:tcPr>
                  <w:tcW w:w="1645" w:type="dxa"/>
                  <w:tcBorders>
                    <w:tl2br w:val="nil"/>
                    <w:tr2bl w:val="nil"/>
                  </w:tcBorders>
                  <w:vAlign w:val="center"/>
                </w:tcPr>
                <w:p w14:paraId="400B9667">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2500</w:t>
                  </w:r>
                </w:p>
              </w:tc>
              <w:tc>
                <w:tcPr>
                  <w:tcW w:w="1731" w:type="dxa"/>
                  <w:tcBorders>
                    <w:tl2br w:val="nil"/>
                    <w:tr2bl w:val="nil"/>
                  </w:tcBorders>
                  <w:vAlign w:val="center"/>
                </w:tcPr>
                <w:p w14:paraId="16037677">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000000" w:themeColor="text1"/>
                      <w:u w:val="single"/>
                      <w:lang w:val="en-US" w:eastAsia="zh-CN"/>
                    </w:rPr>
                  </w:pPr>
                  <w:r>
                    <w:rPr>
                      <w:rFonts w:hint="default" w:ascii="Times New Roman" w:hAnsi="Times New Roman" w:cs="Times New Roman"/>
                      <w:color w:val="000000" w:themeColor="text1"/>
                      <w:u w:val="single"/>
                      <w:lang w:val="en-US" w:eastAsia="zh-CN"/>
                    </w:rPr>
                    <w:t>0.0002</w:t>
                  </w:r>
                </w:p>
              </w:tc>
            </w:tr>
            <w:tr w14:paraId="5C6A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3619CF80">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ascii="Times New Roman" w:hAnsi="Times New Roman" w:cs="Times New Roman"/>
                      <w:color w:val="000000" w:themeColor="text1"/>
                      <w:u w:val="single"/>
                      <w:lang w:val="en-US" w:eastAsia="zh-CN"/>
                    </w:rPr>
                  </w:pPr>
                  <w:r>
                    <w:rPr>
                      <w:rFonts w:hint="eastAsia" w:cs="Times New Roman"/>
                      <w:color w:val="000000" w:themeColor="text1"/>
                      <w:u w:val="single"/>
                      <w:lang w:val="en-US" w:eastAsia="zh-CN"/>
                    </w:rPr>
                    <w:t>6</w:t>
                  </w:r>
                </w:p>
              </w:tc>
              <w:tc>
                <w:tcPr>
                  <w:tcW w:w="2373" w:type="dxa"/>
                  <w:tcBorders>
                    <w:tl2br w:val="nil"/>
                    <w:tr2bl w:val="nil"/>
                  </w:tcBorders>
                  <w:vAlign w:val="center"/>
                </w:tcPr>
                <w:p w14:paraId="3105060C">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highlight w:val="none"/>
                      <w:u w:val="single"/>
                      <w:lang w:val="en-US" w:eastAsia="zh-CN"/>
                    </w:rPr>
                  </w:pPr>
                  <w:r>
                    <w:rPr>
                      <w:rFonts w:hint="eastAsia" w:cs="Times New Roman"/>
                      <w:color w:val="000000" w:themeColor="text1"/>
                      <w:highlight w:val="none"/>
                      <w:u w:val="single"/>
                      <w:lang w:val="en-US" w:eastAsia="zh-CN"/>
                    </w:rPr>
                    <w:t>污泥</w:t>
                  </w:r>
                </w:p>
              </w:tc>
              <w:tc>
                <w:tcPr>
                  <w:tcW w:w="1976" w:type="dxa"/>
                  <w:tcBorders>
                    <w:tl2br w:val="nil"/>
                    <w:tr2bl w:val="nil"/>
                  </w:tcBorders>
                  <w:vAlign w:val="center"/>
                </w:tcPr>
                <w:p w14:paraId="3B978A64">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highlight w:val="none"/>
                      <w:u w:val="single"/>
                      <w:lang w:val="en-US" w:eastAsia="zh-CN"/>
                    </w:rPr>
                  </w:pPr>
                  <w:r>
                    <w:rPr>
                      <w:rFonts w:hint="eastAsia" w:cs="Times New Roman"/>
                      <w:color w:val="000000" w:themeColor="text1"/>
                      <w:highlight w:val="none"/>
                      <w:u w:val="single"/>
                      <w:lang w:val="en-US" w:eastAsia="zh-CN"/>
                    </w:rPr>
                    <w:t>0.197</w:t>
                  </w:r>
                </w:p>
              </w:tc>
              <w:tc>
                <w:tcPr>
                  <w:tcW w:w="1645" w:type="dxa"/>
                  <w:tcBorders>
                    <w:tl2br w:val="nil"/>
                    <w:tr2bl w:val="nil"/>
                  </w:tcBorders>
                  <w:vAlign w:val="center"/>
                </w:tcPr>
                <w:p w14:paraId="6A4707B0">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highlight w:val="none"/>
                      <w:u w:val="single"/>
                      <w:lang w:val="en-US" w:eastAsia="zh-CN"/>
                    </w:rPr>
                  </w:pPr>
                  <w:r>
                    <w:rPr>
                      <w:rFonts w:hint="eastAsia" w:cs="Times New Roman"/>
                      <w:color w:val="000000" w:themeColor="text1"/>
                      <w:highlight w:val="none"/>
                      <w:u w:val="single"/>
                      <w:lang w:val="en-US" w:eastAsia="zh-CN"/>
                    </w:rPr>
                    <w:t>50</w:t>
                  </w:r>
                </w:p>
              </w:tc>
              <w:tc>
                <w:tcPr>
                  <w:tcW w:w="1731" w:type="dxa"/>
                  <w:tcBorders>
                    <w:tl2br w:val="nil"/>
                    <w:tr2bl w:val="nil"/>
                  </w:tcBorders>
                  <w:vAlign w:val="center"/>
                </w:tcPr>
                <w:p w14:paraId="59CF6075">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000000" w:themeColor="text1"/>
                      <w:u w:val="single"/>
                      <w:lang w:val="en-US" w:eastAsia="zh-CN"/>
                    </w:rPr>
                  </w:pPr>
                  <w:r>
                    <w:rPr>
                      <w:rFonts w:hint="eastAsia" w:cs="Times New Roman"/>
                      <w:color w:val="000000" w:themeColor="text1"/>
                      <w:u w:val="single"/>
                      <w:lang w:val="en-US" w:eastAsia="zh-CN"/>
                    </w:rPr>
                    <w:t>0.00394</w:t>
                  </w:r>
                </w:p>
              </w:tc>
            </w:tr>
            <w:tr w14:paraId="3455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7AFED14D">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eastAsia" w:cs="Times New Roman"/>
                      <w:color w:val="000000" w:themeColor="text1"/>
                      <w:u w:val="single"/>
                      <w:lang w:val="en-US" w:eastAsia="zh-CN"/>
                    </w:rPr>
                  </w:pPr>
                  <w:r>
                    <w:rPr>
                      <w:rFonts w:hint="eastAsia" w:cs="Times New Roman"/>
                      <w:color w:val="000000" w:themeColor="text1"/>
                      <w:u w:val="single"/>
                      <w:lang w:val="en-US" w:eastAsia="zh-CN"/>
                    </w:rPr>
                    <w:t>7</w:t>
                  </w:r>
                </w:p>
              </w:tc>
              <w:tc>
                <w:tcPr>
                  <w:tcW w:w="2373" w:type="dxa"/>
                  <w:tcBorders>
                    <w:tl2br w:val="nil"/>
                    <w:tr2bl w:val="nil"/>
                  </w:tcBorders>
                  <w:vAlign w:val="center"/>
                </w:tcPr>
                <w:p w14:paraId="1064AC72">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000000" w:themeColor="text1"/>
                      <w:highlight w:val="none"/>
                      <w:u w:val="single"/>
                      <w:lang w:val="en-US" w:eastAsia="zh-CN"/>
                    </w:rPr>
                  </w:pPr>
                  <w:r>
                    <w:rPr>
                      <w:rFonts w:hint="eastAsia" w:cs="Times New Roman"/>
                      <w:color w:val="000000" w:themeColor="text1"/>
                      <w:highlight w:val="none"/>
                      <w:u w:val="single"/>
                      <w:lang w:val="en-US" w:eastAsia="zh-CN"/>
                    </w:rPr>
                    <w:t>栅渣</w:t>
                  </w:r>
                </w:p>
              </w:tc>
              <w:tc>
                <w:tcPr>
                  <w:tcW w:w="1976" w:type="dxa"/>
                  <w:tcBorders>
                    <w:tl2br w:val="nil"/>
                    <w:tr2bl w:val="nil"/>
                  </w:tcBorders>
                  <w:vAlign w:val="center"/>
                </w:tcPr>
                <w:p w14:paraId="11C70014">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000000" w:themeColor="text1"/>
                      <w:highlight w:val="none"/>
                      <w:u w:val="single"/>
                      <w:lang w:val="en-US" w:eastAsia="zh-CN"/>
                    </w:rPr>
                  </w:pPr>
                  <w:r>
                    <w:rPr>
                      <w:rFonts w:hint="eastAsia" w:cs="Times New Roman"/>
                      <w:color w:val="000000" w:themeColor="text1"/>
                      <w:highlight w:val="none"/>
                      <w:u w:val="single"/>
                      <w:lang w:val="en-US" w:eastAsia="zh-CN"/>
                    </w:rPr>
                    <w:t>0.024</w:t>
                  </w:r>
                </w:p>
              </w:tc>
              <w:tc>
                <w:tcPr>
                  <w:tcW w:w="1645" w:type="dxa"/>
                  <w:tcBorders>
                    <w:tl2br w:val="nil"/>
                    <w:tr2bl w:val="nil"/>
                  </w:tcBorders>
                  <w:vAlign w:val="center"/>
                </w:tcPr>
                <w:p w14:paraId="6DDFD93B">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000000" w:themeColor="text1"/>
                      <w:highlight w:val="none"/>
                      <w:u w:val="single"/>
                      <w:lang w:val="en-US" w:eastAsia="zh-CN"/>
                    </w:rPr>
                  </w:pPr>
                  <w:r>
                    <w:rPr>
                      <w:rFonts w:hint="eastAsia" w:cs="Times New Roman"/>
                      <w:color w:val="000000" w:themeColor="text1"/>
                      <w:highlight w:val="none"/>
                      <w:u w:val="single"/>
                      <w:lang w:val="en-US" w:eastAsia="zh-CN"/>
                    </w:rPr>
                    <w:t>50</w:t>
                  </w:r>
                </w:p>
              </w:tc>
              <w:tc>
                <w:tcPr>
                  <w:tcW w:w="1731" w:type="dxa"/>
                  <w:tcBorders>
                    <w:tl2br w:val="nil"/>
                    <w:tr2bl w:val="nil"/>
                  </w:tcBorders>
                  <w:vAlign w:val="center"/>
                </w:tcPr>
                <w:p w14:paraId="5F8B16E7">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000000" w:themeColor="text1"/>
                      <w:highlight w:val="none"/>
                      <w:u w:val="single"/>
                      <w:lang w:val="en-US" w:eastAsia="zh-CN"/>
                    </w:rPr>
                  </w:pPr>
                  <w:r>
                    <w:rPr>
                      <w:rFonts w:hint="eastAsia" w:cs="Times New Roman"/>
                      <w:color w:val="000000" w:themeColor="text1"/>
                      <w:highlight w:val="none"/>
                      <w:u w:val="single"/>
                      <w:lang w:val="en-US" w:eastAsia="zh-CN"/>
                    </w:rPr>
                    <w:t>0.00048</w:t>
                  </w:r>
                </w:p>
              </w:tc>
            </w:tr>
            <w:tr w14:paraId="5B55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31BB202E">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cs="Times New Roman"/>
                      <w:color w:val="auto"/>
                      <w:u w:val="single"/>
                      <w:lang w:val="en-US" w:eastAsia="zh-CN"/>
                    </w:rPr>
                  </w:pPr>
                  <w:r>
                    <w:rPr>
                      <w:rFonts w:hint="eastAsia" w:cs="Times New Roman"/>
                      <w:color w:val="auto"/>
                      <w:u w:val="single"/>
                      <w:lang w:val="en-US" w:eastAsia="zh-CN"/>
                    </w:rPr>
                    <w:t>8</w:t>
                  </w:r>
                </w:p>
              </w:tc>
              <w:tc>
                <w:tcPr>
                  <w:tcW w:w="2373" w:type="dxa"/>
                  <w:tcBorders>
                    <w:tl2br w:val="nil"/>
                    <w:tr2bl w:val="nil"/>
                  </w:tcBorders>
                  <w:vAlign w:val="center"/>
                </w:tcPr>
                <w:p w14:paraId="79842A13">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医疗废物</w:t>
                  </w:r>
                </w:p>
              </w:tc>
              <w:tc>
                <w:tcPr>
                  <w:tcW w:w="1976" w:type="dxa"/>
                  <w:tcBorders>
                    <w:tl2br w:val="nil"/>
                    <w:tr2bl w:val="nil"/>
                  </w:tcBorders>
                  <w:vAlign w:val="center"/>
                </w:tcPr>
                <w:p w14:paraId="6DF361AF">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u w:val="single"/>
                      <w:lang w:val="en-US" w:eastAsia="zh-CN"/>
                    </w:rPr>
                  </w:pPr>
                  <w:r>
                    <w:rPr>
                      <w:rFonts w:hint="eastAsia" w:cs="Times New Roman"/>
                      <w:color w:val="auto"/>
                      <w:u w:val="single"/>
                      <w:lang w:val="en-US" w:eastAsia="zh-CN"/>
                    </w:rPr>
                    <w:t>0.3</w:t>
                  </w:r>
                </w:p>
              </w:tc>
              <w:tc>
                <w:tcPr>
                  <w:tcW w:w="1645" w:type="dxa"/>
                  <w:tcBorders>
                    <w:tl2br w:val="nil"/>
                    <w:tr2bl w:val="nil"/>
                  </w:tcBorders>
                  <w:vAlign w:val="center"/>
                </w:tcPr>
                <w:p w14:paraId="6F9AE9CC">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u w:val="single"/>
                      <w:lang w:val="en-US" w:eastAsia="zh-CN"/>
                    </w:rPr>
                  </w:pPr>
                  <w:r>
                    <w:rPr>
                      <w:rFonts w:hint="eastAsia" w:cs="Times New Roman"/>
                      <w:color w:val="auto"/>
                      <w:u w:val="single"/>
                      <w:lang w:val="en-US" w:eastAsia="zh-CN"/>
                    </w:rPr>
                    <w:t>50</w:t>
                  </w:r>
                </w:p>
              </w:tc>
              <w:tc>
                <w:tcPr>
                  <w:tcW w:w="1731" w:type="dxa"/>
                  <w:tcBorders>
                    <w:tl2br w:val="nil"/>
                    <w:tr2bl w:val="nil"/>
                  </w:tcBorders>
                  <w:vAlign w:val="center"/>
                </w:tcPr>
                <w:p w14:paraId="3CFE2480">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u w:val="single"/>
                      <w:lang w:val="en-US" w:eastAsia="zh-CN"/>
                    </w:rPr>
                  </w:pPr>
                  <w:r>
                    <w:rPr>
                      <w:rFonts w:hint="eastAsia" w:cs="Times New Roman"/>
                      <w:color w:val="auto"/>
                      <w:u w:val="single"/>
                      <w:lang w:val="en-US" w:eastAsia="zh-CN"/>
                    </w:rPr>
                    <w:t>0.006</w:t>
                  </w:r>
                </w:p>
              </w:tc>
            </w:tr>
            <w:tr w14:paraId="3AE6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191715F6">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cs="Times New Roman"/>
                      <w:color w:val="auto"/>
                      <w:u w:val="single"/>
                      <w:lang w:val="en-US" w:eastAsia="zh-CN"/>
                    </w:rPr>
                  </w:pPr>
                  <w:r>
                    <w:rPr>
                      <w:rFonts w:hint="eastAsia" w:cs="Times New Roman"/>
                      <w:color w:val="auto"/>
                      <w:u w:val="single"/>
                      <w:lang w:val="en-US" w:eastAsia="zh-CN"/>
                    </w:rPr>
                    <w:t>9</w:t>
                  </w:r>
                </w:p>
              </w:tc>
              <w:tc>
                <w:tcPr>
                  <w:tcW w:w="2373" w:type="dxa"/>
                  <w:tcBorders>
                    <w:tl2br w:val="nil"/>
                    <w:tr2bl w:val="nil"/>
                  </w:tcBorders>
                  <w:vAlign w:val="center"/>
                </w:tcPr>
                <w:p w14:paraId="1B00CB09">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废活性炭</w:t>
                  </w:r>
                </w:p>
              </w:tc>
              <w:tc>
                <w:tcPr>
                  <w:tcW w:w="1976" w:type="dxa"/>
                  <w:tcBorders>
                    <w:tl2br w:val="nil"/>
                    <w:tr2bl w:val="nil"/>
                  </w:tcBorders>
                  <w:vAlign w:val="center"/>
                </w:tcPr>
                <w:p w14:paraId="2B0EC4DE">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highlight w:val="none"/>
                      <w:u w:val="single"/>
                      <w:lang w:val="en-US" w:eastAsia="zh-CN"/>
                    </w:rPr>
                  </w:pPr>
                  <w:r>
                    <w:rPr>
                      <w:rFonts w:hint="eastAsia" w:cs="Times New Roman"/>
                      <w:color w:val="auto"/>
                      <w:highlight w:val="none"/>
                      <w:u w:val="single"/>
                      <w:lang w:val="en-US" w:eastAsia="zh-CN"/>
                    </w:rPr>
                    <w:t>1.0</w:t>
                  </w:r>
                </w:p>
              </w:tc>
              <w:tc>
                <w:tcPr>
                  <w:tcW w:w="1645" w:type="dxa"/>
                  <w:tcBorders>
                    <w:tl2br w:val="nil"/>
                    <w:tr2bl w:val="nil"/>
                  </w:tcBorders>
                  <w:vAlign w:val="center"/>
                </w:tcPr>
                <w:p w14:paraId="54F473B3">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highlight w:val="none"/>
                      <w:u w:val="single"/>
                      <w:lang w:val="en-US" w:eastAsia="zh-CN"/>
                    </w:rPr>
                  </w:pPr>
                  <w:r>
                    <w:rPr>
                      <w:rFonts w:hint="eastAsia" w:cs="Times New Roman"/>
                      <w:color w:val="auto"/>
                      <w:highlight w:val="none"/>
                      <w:u w:val="single"/>
                      <w:lang w:val="en-US" w:eastAsia="zh-CN"/>
                    </w:rPr>
                    <w:t>50</w:t>
                  </w:r>
                </w:p>
              </w:tc>
              <w:tc>
                <w:tcPr>
                  <w:tcW w:w="1731" w:type="dxa"/>
                  <w:tcBorders>
                    <w:tl2br w:val="nil"/>
                    <w:tr2bl w:val="nil"/>
                  </w:tcBorders>
                  <w:vAlign w:val="center"/>
                </w:tcPr>
                <w:p w14:paraId="6C0BC82E">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highlight w:val="none"/>
                      <w:u w:val="single"/>
                      <w:lang w:val="en-US" w:eastAsia="zh-CN"/>
                    </w:rPr>
                  </w:pPr>
                  <w:r>
                    <w:rPr>
                      <w:rFonts w:hint="eastAsia" w:cs="Times New Roman"/>
                      <w:color w:val="auto"/>
                      <w:highlight w:val="none"/>
                      <w:u w:val="single"/>
                      <w:lang w:val="en-US" w:eastAsia="zh-CN"/>
                    </w:rPr>
                    <w:t>0.02</w:t>
                  </w:r>
                </w:p>
              </w:tc>
            </w:tr>
            <w:tr w14:paraId="3196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18B96313">
                  <w:pPr>
                    <w:pStyle w:val="82"/>
                    <w:keepNext w:val="0"/>
                    <w:keepLines w:val="0"/>
                    <w:pageBreakBefore w:val="0"/>
                    <w:widowControl/>
                    <w:kinsoku/>
                    <w:wordWrap/>
                    <w:overflowPunct/>
                    <w:topLinePunct w:val="0"/>
                    <w:autoSpaceDE/>
                    <w:autoSpaceDN/>
                    <w:bidi w:val="0"/>
                    <w:adjustRightInd/>
                    <w:snapToGrid w:val="0"/>
                    <w:spacing w:after="60"/>
                    <w:ind w:right="0" w:rightChars="0"/>
                    <w:textAlignment w:val="auto"/>
                    <w:rPr>
                      <w:rFonts w:hint="default" w:cs="Times New Roman"/>
                      <w:color w:val="auto"/>
                      <w:u w:val="single"/>
                      <w:lang w:val="en-US" w:eastAsia="zh-CN"/>
                    </w:rPr>
                  </w:pPr>
                  <w:r>
                    <w:rPr>
                      <w:rFonts w:hint="eastAsia" w:cs="Times New Roman"/>
                      <w:color w:val="auto"/>
                      <w:u w:val="single"/>
                      <w:lang w:val="en-US" w:eastAsia="zh-CN"/>
                    </w:rPr>
                    <w:t>10</w:t>
                  </w:r>
                </w:p>
              </w:tc>
              <w:tc>
                <w:tcPr>
                  <w:tcW w:w="2373" w:type="dxa"/>
                  <w:tcBorders>
                    <w:tl2br w:val="nil"/>
                    <w:tr2bl w:val="nil"/>
                  </w:tcBorders>
                  <w:vAlign w:val="center"/>
                </w:tcPr>
                <w:p w14:paraId="77296C1C">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废紫外线灯管</w:t>
                  </w:r>
                </w:p>
              </w:tc>
              <w:tc>
                <w:tcPr>
                  <w:tcW w:w="1976" w:type="dxa"/>
                  <w:tcBorders>
                    <w:tl2br w:val="nil"/>
                    <w:tr2bl w:val="nil"/>
                  </w:tcBorders>
                  <w:vAlign w:val="center"/>
                </w:tcPr>
                <w:p w14:paraId="71D2E7E7">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0.002</w:t>
                  </w:r>
                </w:p>
              </w:tc>
              <w:tc>
                <w:tcPr>
                  <w:tcW w:w="1645" w:type="dxa"/>
                  <w:tcBorders>
                    <w:tl2br w:val="nil"/>
                    <w:tr2bl w:val="nil"/>
                  </w:tcBorders>
                  <w:vAlign w:val="center"/>
                </w:tcPr>
                <w:p w14:paraId="56A7BDC7">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50</w:t>
                  </w:r>
                </w:p>
              </w:tc>
              <w:tc>
                <w:tcPr>
                  <w:tcW w:w="1731" w:type="dxa"/>
                  <w:tcBorders>
                    <w:tl2br w:val="nil"/>
                    <w:tr2bl w:val="nil"/>
                  </w:tcBorders>
                  <w:vAlign w:val="center"/>
                </w:tcPr>
                <w:p w14:paraId="4E06BE8D">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0.00004</w:t>
                  </w:r>
                </w:p>
              </w:tc>
            </w:tr>
            <w:tr w14:paraId="0E480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09" w:type="dxa"/>
                  <w:tcBorders>
                    <w:tl2br w:val="nil"/>
                    <w:tr2bl w:val="nil"/>
                  </w:tcBorders>
                  <w:vAlign w:val="center"/>
                </w:tcPr>
                <w:p w14:paraId="602FB3AE">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11</w:t>
                  </w:r>
                </w:p>
              </w:tc>
              <w:tc>
                <w:tcPr>
                  <w:tcW w:w="2373" w:type="dxa"/>
                  <w:tcBorders>
                    <w:tl2br w:val="nil"/>
                    <w:tr2bl w:val="nil"/>
                  </w:tcBorders>
                  <w:vAlign w:val="center"/>
                </w:tcPr>
                <w:p w14:paraId="4E8565F9">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cs="Times New Roman"/>
                      <w:color w:val="auto"/>
                      <w:u w:val="single"/>
                      <w:lang w:val="en-US" w:eastAsia="zh-CN"/>
                    </w:rPr>
                  </w:pPr>
                  <w:r>
                    <w:rPr>
                      <w:rFonts w:hint="eastAsia" w:cs="Times New Roman"/>
                      <w:color w:val="auto"/>
                      <w:u w:val="single"/>
                      <w:lang w:val="en-US" w:eastAsia="zh-CN"/>
                    </w:rPr>
                    <w:t>氧气</w:t>
                  </w:r>
                </w:p>
              </w:tc>
              <w:tc>
                <w:tcPr>
                  <w:tcW w:w="1976" w:type="dxa"/>
                  <w:tcBorders>
                    <w:tl2br w:val="nil"/>
                    <w:tr2bl w:val="nil"/>
                  </w:tcBorders>
                  <w:vAlign w:val="center"/>
                </w:tcPr>
                <w:p w14:paraId="4858BB82">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u w:val="single"/>
                      <w:lang w:val="en-US" w:eastAsia="zh-CN"/>
                    </w:rPr>
                  </w:pPr>
                  <w:r>
                    <w:rPr>
                      <w:rFonts w:hint="eastAsia" w:cs="Times New Roman"/>
                      <w:color w:val="auto"/>
                      <w:u w:val="single"/>
                      <w:lang w:val="en-US" w:eastAsia="zh-CN"/>
                    </w:rPr>
                    <w:t>0.171</w:t>
                  </w:r>
                </w:p>
              </w:tc>
              <w:tc>
                <w:tcPr>
                  <w:tcW w:w="1645" w:type="dxa"/>
                  <w:tcBorders>
                    <w:tl2br w:val="nil"/>
                    <w:tr2bl w:val="nil"/>
                  </w:tcBorders>
                  <w:vAlign w:val="center"/>
                </w:tcPr>
                <w:p w14:paraId="7875D241">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u w:val="single"/>
                      <w:lang w:val="en-US" w:eastAsia="zh-CN"/>
                    </w:rPr>
                  </w:pPr>
                  <w:r>
                    <w:rPr>
                      <w:rFonts w:hint="eastAsia" w:cs="Times New Roman"/>
                      <w:color w:val="auto"/>
                      <w:u w:val="single"/>
                      <w:lang w:val="en-US" w:eastAsia="zh-CN"/>
                    </w:rPr>
                    <w:t>200</w:t>
                  </w:r>
                </w:p>
              </w:tc>
              <w:tc>
                <w:tcPr>
                  <w:tcW w:w="1731" w:type="dxa"/>
                  <w:tcBorders>
                    <w:tl2br w:val="nil"/>
                    <w:tr2bl w:val="nil"/>
                  </w:tcBorders>
                  <w:vAlign w:val="center"/>
                </w:tcPr>
                <w:p w14:paraId="0EA6BF9B">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u w:val="single"/>
                      <w:lang w:val="en-US" w:eastAsia="zh-CN"/>
                    </w:rPr>
                  </w:pPr>
                  <w:r>
                    <w:rPr>
                      <w:rFonts w:hint="eastAsia" w:cs="Times New Roman"/>
                      <w:color w:val="auto"/>
                      <w:u w:val="single"/>
                      <w:lang w:val="en-US" w:eastAsia="zh-CN"/>
                    </w:rPr>
                    <w:t>0.00086</w:t>
                  </w:r>
                </w:p>
              </w:tc>
            </w:tr>
            <w:tr w14:paraId="79C4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03" w:type="dxa"/>
                  <w:gridSpan w:val="4"/>
                  <w:tcBorders>
                    <w:tl2br w:val="nil"/>
                    <w:tr2bl w:val="nil"/>
                  </w:tcBorders>
                  <w:vAlign w:val="center"/>
                </w:tcPr>
                <w:p w14:paraId="240A9A18">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cs="Times New Roman"/>
                      <w:color w:val="auto"/>
                      <w:u w:val="single"/>
                    </w:rPr>
                  </w:pPr>
                  <w:r>
                    <w:rPr>
                      <w:rFonts w:hint="default" w:ascii="Times New Roman" w:hAnsi="Times New Roman" w:cs="Times New Roman"/>
                      <w:color w:val="auto"/>
                      <w:u w:val="single"/>
                    </w:rPr>
                    <w:t>合计</w:t>
                  </w:r>
                </w:p>
              </w:tc>
              <w:tc>
                <w:tcPr>
                  <w:tcW w:w="1731" w:type="dxa"/>
                  <w:tcBorders>
                    <w:tl2br w:val="nil"/>
                    <w:tr2bl w:val="nil"/>
                  </w:tcBorders>
                  <w:vAlign w:val="center"/>
                </w:tcPr>
                <w:p w14:paraId="24A034E2">
                  <w:pPr>
                    <w:pStyle w:val="82"/>
                    <w:keepNext w:val="0"/>
                    <w:keepLines w:val="0"/>
                    <w:pageBreakBefore w:val="0"/>
                    <w:widowControl/>
                    <w:kinsoku/>
                    <w:wordWrap/>
                    <w:overflowPunct/>
                    <w:topLinePunct w:val="0"/>
                    <w:autoSpaceDE/>
                    <w:autoSpaceDN/>
                    <w:bidi w:val="0"/>
                    <w:adjustRightInd/>
                    <w:snapToGrid w:val="0"/>
                    <w:spacing w:after="60"/>
                    <w:ind w:right="0"/>
                    <w:textAlignment w:val="auto"/>
                    <w:rPr>
                      <w:rFonts w:hint="default" w:ascii="Times New Roman" w:hAnsi="Times New Roman" w:eastAsia="宋体" w:cs="Times New Roman"/>
                      <w:color w:val="auto"/>
                      <w:u w:val="single"/>
                      <w:lang w:val="en-US" w:eastAsia="zh-CN"/>
                    </w:rPr>
                  </w:pPr>
                  <w:r>
                    <w:rPr>
                      <w:rFonts w:hint="eastAsia" w:cs="Times New Roman"/>
                      <w:color w:val="auto"/>
                      <w:u w:val="single"/>
                      <w:lang w:val="en-US" w:eastAsia="zh-CN"/>
                    </w:rPr>
                    <w:t>0.03892</w:t>
                  </w:r>
                </w:p>
              </w:tc>
            </w:tr>
          </w:tbl>
          <w:p w14:paraId="2859483E">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由上表可知，本项目Q&lt;1，本项目环境风险潜势为Ⅰ,仅需开展简单分析。</w:t>
            </w:r>
          </w:p>
          <w:p w14:paraId="20F8FF59">
            <w:pPr>
              <w:pStyle w:val="6"/>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 xml:space="preserve">    </w:t>
            </w:r>
            <w:r>
              <w:rPr>
                <w:rFonts w:hint="default" w:ascii="Times New Roman" w:hAnsi="Times New Roman" w:eastAsia="宋体" w:cs="Times New Roman"/>
                <w:b/>
                <w:bCs/>
                <w:color w:val="auto"/>
                <w:kern w:val="2"/>
                <w:sz w:val="24"/>
                <w:szCs w:val="24"/>
                <w:lang w:val="en-US" w:eastAsia="zh-CN" w:bidi="ar-SA"/>
              </w:rPr>
              <w:t>6.2、环境风险分析</w:t>
            </w:r>
          </w:p>
          <w:p w14:paraId="6C892BB8">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本项目存在的主要环境风险如下：</w:t>
            </w:r>
          </w:p>
          <w:p w14:paraId="3B2D98A0">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（1）恶臭废气</w:t>
            </w:r>
            <w:r>
              <w:rPr>
                <w:rFonts w:hint="eastAsia" w:eastAsia="宋体" w:cs="Times New Roman"/>
                <w:color w:val="auto"/>
                <w:kern w:val="2"/>
                <w:sz w:val="24"/>
                <w:szCs w:val="24"/>
                <w:lang w:val="en-US" w:eastAsia="zh-CN" w:bidi="ar-SA"/>
              </w:rPr>
              <w:t>事故排放</w:t>
            </w:r>
            <w:r>
              <w:rPr>
                <w:rFonts w:hint="default" w:ascii="Times New Roman" w:hAnsi="Times New Roman" w:eastAsia="宋体" w:cs="Times New Roman"/>
                <w:color w:val="auto"/>
                <w:kern w:val="2"/>
                <w:sz w:val="24"/>
                <w:szCs w:val="24"/>
                <w:lang w:val="en-US" w:eastAsia="zh-CN" w:bidi="ar-SA"/>
              </w:rPr>
              <w:t>环境风险</w:t>
            </w:r>
          </w:p>
          <w:p w14:paraId="7484FA6D">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本项目恶臭源主要源于污水处理站，产生的主要恶臭气体是氨和硫化氢。</w:t>
            </w:r>
            <w:r>
              <w:rPr>
                <w:rFonts w:hint="eastAsia" w:eastAsia="宋体" w:cs="Times New Roman"/>
                <w:color w:val="auto"/>
                <w:kern w:val="2"/>
                <w:sz w:val="24"/>
                <w:szCs w:val="24"/>
                <w:lang w:val="en-US" w:eastAsia="zh-CN" w:bidi="ar-SA"/>
              </w:rPr>
              <w:t>若</w:t>
            </w:r>
            <w:r>
              <w:rPr>
                <w:rFonts w:hint="default" w:ascii="Times New Roman" w:hAnsi="Times New Roman" w:eastAsia="宋体" w:cs="Times New Roman"/>
                <w:color w:val="auto"/>
                <w:kern w:val="2"/>
                <w:sz w:val="24"/>
                <w:szCs w:val="24"/>
                <w:lang w:val="en-US" w:eastAsia="zh-CN" w:bidi="ar-SA"/>
              </w:rPr>
              <w:t>项目污水处理站除臭系统处理</w:t>
            </w:r>
            <w:r>
              <w:rPr>
                <w:rFonts w:hint="eastAsia" w:eastAsia="宋体" w:cs="Times New Roman"/>
                <w:color w:val="auto"/>
                <w:kern w:val="2"/>
                <w:sz w:val="24"/>
                <w:szCs w:val="24"/>
                <w:lang w:val="en-US" w:eastAsia="zh-CN" w:bidi="ar-SA"/>
              </w:rPr>
              <w:t>故障导致除臭系统失效</w:t>
            </w:r>
            <w:r>
              <w:rPr>
                <w:rFonts w:hint="default" w:ascii="Times New Roman" w:hAnsi="Times New Roman" w:eastAsia="宋体" w:cs="Times New Roman"/>
                <w:color w:val="auto"/>
                <w:kern w:val="2"/>
                <w:sz w:val="24"/>
                <w:szCs w:val="24"/>
                <w:lang w:val="en-US" w:eastAsia="zh-CN" w:bidi="ar-SA"/>
              </w:rPr>
              <w:t>，废气未处理</w:t>
            </w:r>
            <w:r>
              <w:rPr>
                <w:rFonts w:hint="eastAsia" w:eastAsia="宋体" w:cs="Times New Roman"/>
                <w:color w:val="auto"/>
                <w:kern w:val="2"/>
                <w:sz w:val="24"/>
                <w:szCs w:val="24"/>
                <w:lang w:val="en-US" w:eastAsia="zh-CN" w:bidi="ar-SA"/>
              </w:rPr>
              <w:t>直接</w:t>
            </w:r>
            <w:r>
              <w:rPr>
                <w:rFonts w:hint="default" w:ascii="Times New Roman" w:hAnsi="Times New Roman" w:eastAsia="宋体" w:cs="Times New Roman"/>
                <w:color w:val="auto"/>
                <w:kern w:val="2"/>
                <w:sz w:val="24"/>
                <w:szCs w:val="24"/>
                <w:lang w:val="en-US" w:eastAsia="zh-CN" w:bidi="ar-SA"/>
              </w:rPr>
              <w:t>排放，会对局部大气环境造成污染。</w:t>
            </w:r>
          </w:p>
          <w:p w14:paraId="3E9E75F1">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（2）废水事故性排放环境风险</w:t>
            </w:r>
          </w:p>
          <w:p w14:paraId="25FC5B48">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eastAsia"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废水事故排放主要为</w:t>
            </w:r>
            <w:r>
              <w:rPr>
                <w:rFonts w:hint="eastAsia" w:eastAsia="宋体" w:cs="Times New Roman"/>
                <w:color w:val="auto"/>
                <w:kern w:val="2"/>
                <w:sz w:val="24"/>
                <w:szCs w:val="24"/>
                <w:lang w:val="en-US" w:eastAsia="zh-CN" w:bidi="ar-SA"/>
              </w:rPr>
              <w:t>污水站管道破损、</w:t>
            </w:r>
            <w:r>
              <w:rPr>
                <w:rFonts w:hint="default" w:ascii="Times New Roman" w:hAnsi="Times New Roman" w:eastAsia="宋体" w:cs="Times New Roman"/>
                <w:color w:val="auto"/>
                <w:kern w:val="2"/>
                <w:sz w:val="24"/>
                <w:szCs w:val="24"/>
                <w:lang w:val="en-US" w:eastAsia="zh-CN" w:bidi="ar-SA"/>
              </w:rPr>
              <w:t>泄漏</w:t>
            </w:r>
            <w:r>
              <w:rPr>
                <w:rFonts w:hint="eastAsia" w:eastAsia="宋体" w:cs="Times New Roman"/>
                <w:color w:val="auto"/>
                <w:kern w:val="2"/>
                <w:sz w:val="24"/>
                <w:szCs w:val="24"/>
                <w:lang w:val="en-US" w:eastAsia="zh-CN" w:bidi="ar-SA"/>
              </w:rPr>
              <w:t>或</w:t>
            </w:r>
            <w:r>
              <w:rPr>
                <w:rFonts w:hint="default" w:ascii="Times New Roman" w:hAnsi="Times New Roman" w:eastAsia="宋体" w:cs="Times New Roman"/>
                <w:color w:val="auto"/>
                <w:kern w:val="2"/>
                <w:sz w:val="24"/>
                <w:szCs w:val="24"/>
                <w:lang w:val="en-US" w:eastAsia="zh-CN" w:bidi="ar-SA"/>
              </w:rPr>
              <w:t>废水处理设施不能正常运转，造成</w:t>
            </w:r>
            <w:r>
              <w:rPr>
                <w:rFonts w:hint="eastAsia" w:eastAsia="宋体" w:cs="Times New Roman"/>
                <w:color w:val="auto"/>
                <w:kern w:val="2"/>
                <w:sz w:val="24"/>
                <w:szCs w:val="24"/>
                <w:lang w:val="en-US" w:eastAsia="zh-CN" w:bidi="ar-SA"/>
              </w:rPr>
              <w:t>未经</w:t>
            </w:r>
            <w:r>
              <w:rPr>
                <w:rFonts w:hint="default" w:ascii="Times New Roman" w:hAnsi="Times New Roman" w:eastAsia="宋体" w:cs="Times New Roman"/>
                <w:color w:val="auto"/>
                <w:kern w:val="2"/>
                <w:sz w:val="24"/>
                <w:szCs w:val="24"/>
                <w:lang w:val="en-US" w:eastAsia="zh-CN" w:bidi="ar-SA"/>
              </w:rPr>
              <w:t>处理</w:t>
            </w:r>
            <w:r>
              <w:rPr>
                <w:rFonts w:hint="eastAsia" w:eastAsia="宋体" w:cs="Times New Roman"/>
                <w:color w:val="auto"/>
                <w:kern w:val="2"/>
                <w:sz w:val="24"/>
                <w:szCs w:val="24"/>
                <w:lang w:val="en-US" w:eastAsia="zh-CN" w:bidi="ar-SA"/>
              </w:rPr>
              <w:t>的医疗废</w:t>
            </w:r>
            <w:r>
              <w:rPr>
                <w:rFonts w:hint="default" w:ascii="Times New Roman" w:hAnsi="Times New Roman" w:eastAsia="宋体" w:cs="Times New Roman"/>
                <w:color w:val="auto"/>
                <w:kern w:val="2"/>
                <w:sz w:val="24"/>
                <w:szCs w:val="24"/>
                <w:lang w:val="en-US" w:eastAsia="zh-CN" w:bidi="ar-SA"/>
              </w:rPr>
              <w:t>水</w:t>
            </w:r>
            <w:r>
              <w:rPr>
                <w:rFonts w:hint="eastAsia" w:eastAsia="宋体" w:cs="Times New Roman"/>
                <w:color w:val="auto"/>
                <w:kern w:val="2"/>
                <w:sz w:val="24"/>
                <w:szCs w:val="24"/>
                <w:lang w:val="en-US" w:eastAsia="zh-CN" w:bidi="ar-SA"/>
              </w:rPr>
              <w:t>直接排放</w:t>
            </w:r>
            <w:r>
              <w:rPr>
                <w:rFonts w:hint="default" w:ascii="Times New Roman" w:hAnsi="Times New Roman" w:eastAsia="宋体"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若污水站处理系统失效</w:t>
            </w:r>
            <w:r>
              <w:rPr>
                <w:rFonts w:hint="default" w:ascii="Times New Roman" w:hAnsi="Times New Roman" w:eastAsia="宋体" w:cs="Times New Roman"/>
                <w:color w:val="auto"/>
                <w:kern w:val="2"/>
                <w:sz w:val="24"/>
                <w:szCs w:val="24"/>
                <w:lang w:val="en-US" w:eastAsia="zh-CN" w:bidi="ar-SA"/>
              </w:rPr>
              <w:t>，</w:t>
            </w:r>
            <w:r>
              <w:rPr>
                <w:rFonts w:hint="eastAsia" w:eastAsia="宋体" w:cs="Times New Roman"/>
                <w:color w:val="auto"/>
                <w:kern w:val="2"/>
                <w:sz w:val="24"/>
                <w:szCs w:val="24"/>
                <w:lang w:val="en-US" w:eastAsia="zh-CN" w:bidi="ar-SA"/>
              </w:rPr>
              <w:t>未处理的医疗废水</w:t>
            </w:r>
            <w:r>
              <w:rPr>
                <w:rFonts w:hint="default" w:ascii="Times New Roman" w:hAnsi="Times New Roman" w:eastAsia="宋体" w:cs="Times New Roman"/>
                <w:color w:val="auto"/>
                <w:kern w:val="2"/>
                <w:sz w:val="24"/>
                <w:szCs w:val="24"/>
                <w:lang w:val="en-US" w:eastAsia="zh-CN" w:bidi="ar-SA"/>
              </w:rPr>
              <w:t>通过市政污水管道进入污水处理厂后，</w:t>
            </w:r>
            <w:r>
              <w:rPr>
                <w:rFonts w:hint="eastAsia" w:eastAsia="宋体" w:cs="Times New Roman"/>
                <w:color w:val="auto"/>
                <w:kern w:val="2"/>
                <w:sz w:val="24"/>
                <w:szCs w:val="24"/>
                <w:lang w:val="en-US" w:eastAsia="zh-CN" w:bidi="ar-SA"/>
              </w:rPr>
              <w:t>可能会对南津港污水处理厂处理系统造成一定冲击；若污水站管道破损、</w:t>
            </w:r>
            <w:r>
              <w:rPr>
                <w:rFonts w:hint="default" w:ascii="Times New Roman" w:hAnsi="Times New Roman" w:eastAsia="宋体" w:cs="Times New Roman"/>
                <w:color w:val="auto"/>
                <w:kern w:val="2"/>
                <w:sz w:val="24"/>
                <w:szCs w:val="24"/>
                <w:lang w:val="en-US" w:eastAsia="zh-CN" w:bidi="ar-SA"/>
              </w:rPr>
              <w:t>泄漏</w:t>
            </w:r>
            <w:r>
              <w:rPr>
                <w:rFonts w:hint="eastAsia" w:eastAsia="宋体" w:cs="Times New Roman"/>
                <w:color w:val="auto"/>
                <w:kern w:val="2"/>
                <w:sz w:val="24"/>
                <w:szCs w:val="24"/>
                <w:lang w:val="en-US" w:eastAsia="zh-CN" w:bidi="ar-SA"/>
              </w:rPr>
              <w:t>可能会导致污水流入周边雨水沟，后排入雨水管网最终进入下游地表水体，对下游地表水体水质产生一定影响。</w:t>
            </w:r>
          </w:p>
          <w:p w14:paraId="631572C6">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（3）医疗废物在收集、贮存、运送过程中的风险</w:t>
            </w:r>
          </w:p>
          <w:p w14:paraId="206636B7">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宋体" w:cs="Times New Roman"/>
                <w:kern w:val="2"/>
                <w:sz w:val="24"/>
                <w:szCs w:val="24"/>
                <w:lang w:val="en-US" w:eastAsia="zh-CN" w:bidi="ar-SA"/>
              </w:rPr>
              <w:t>医疗废物中可能存在传染性病菌、病毒、化学污染物等有害物质，由于医疗废物具有空间污染、急性传染和</w:t>
            </w:r>
            <w:r>
              <w:rPr>
                <w:rFonts w:hint="default" w:ascii="Times New Roman" w:hAnsi="Times New Roman" w:eastAsia="宋体" w:cs="Times New Roman"/>
                <w:kern w:val="2"/>
                <w:sz w:val="24"/>
                <w:szCs w:val="24"/>
                <w:highlight w:val="none"/>
                <w:lang w:val="en-US" w:eastAsia="zh-CN" w:bidi="ar-SA"/>
              </w:rPr>
              <w:t>潜伏性污染等特征，其病毒、病菌的危害性是普通生活垃圾的几十、几百甚至上千倍，且基本没有回收再利用的价值。医疗废物在转运的过程中可能会发生</w:t>
            </w:r>
            <w:r>
              <w:rPr>
                <w:rFonts w:hint="eastAsia" w:eastAsia="宋体" w:cs="Times New Roman"/>
                <w:kern w:val="2"/>
                <w:sz w:val="24"/>
                <w:szCs w:val="24"/>
                <w:highlight w:val="none"/>
                <w:lang w:val="en-US" w:eastAsia="zh-CN" w:bidi="ar-SA"/>
              </w:rPr>
              <w:t>泄漏</w:t>
            </w:r>
            <w:r>
              <w:rPr>
                <w:rFonts w:hint="default" w:ascii="Times New Roman" w:hAnsi="Times New Roman" w:eastAsia="宋体" w:cs="Times New Roman"/>
                <w:kern w:val="2"/>
                <w:sz w:val="24"/>
                <w:szCs w:val="24"/>
                <w:highlight w:val="none"/>
                <w:lang w:val="en-US" w:eastAsia="zh-CN" w:bidi="ar-SA"/>
              </w:rPr>
              <w:t>、滴漏现象，如处理不当，会对周围环境存在风险。</w:t>
            </w:r>
          </w:p>
          <w:p w14:paraId="47643FCA">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highlight w:val="none"/>
                <w:lang w:val="en-US" w:eastAsia="zh-CN" w:bidi="ar-SA"/>
              </w:rPr>
              <w:t>本项目医疗废物产生后分类收集后，各类医疗废物分开存放于危废收纳箱中，再贮存于医院的医疗废物暂存间，医疗废物暂存间内均为硬化地面，即使在发生少量</w:t>
            </w:r>
            <w:r>
              <w:rPr>
                <w:rFonts w:hint="eastAsia" w:eastAsia="宋体" w:cs="Times New Roman"/>
                <w:kern w:val="2"/>
                <w:sz w:val="24"/>
                <w:szCs w:val="24"/>
                <w:highlight w:val="none"/>
                <w:lang w:val="en-US" w:eastAsia="zh-CN" w:bidi="ar-SA"/>
              </w:rPr>
              <w:t>泄漏</w:t>
            </w:r>
            <w:r>
              <w:rPr>
                <w:rFonts w:hint="default" w:ascii="Times New Roman" w:hAnsi="Times New Roman" w:eastAsia="宋体" w:cs="Times New Roman"/>
                <w:kern w:val="2"/>
                <w:sz w:val="24"/>
                <w:szCs w:val="24"/>
                <w:highlight w:val="none"/>
                <w:lang w:val="en-US" w:eastAsia="zh-CN" w:bidi="ar-SA"/>
              </w:rPr>
              <w:t>，</w:t>
            </w:r>
            <w:r>
              <w:rPr>
                <w:rFonts w:hint="default" w:ascii="Times New Roman" w:hAnsi="Times New Roman" w:eastAsia="宋体" w:cs="Times New Roman"/>
                <w:kern w:val="2"/>
                <w:sz w:val="24"/>
                <w:szCs w:val="24"/>
                <w:lang w:val="en-US" w:eastAsia="zh-CN" w:bidi="ar-SA"/>
              </w:rPr>
              <w:t>采取相应的处理措施，不会渗漏到地下对土壤及地下水造成污染，同时做好消毒防范措施，也不会对人群造成危害。</w:t>
            </w:r>
          </w:p>
          <w:p w14:paraId="0D039E9B">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（4）</w:t>
            </w:r>
            <w:r>
              <w:rPr>
                <w:rFonts w:hint="eastAsia" w:eastAsia="宋体" w:cs="Times New Roman"/>
                <w:kern w:val="2"/>
                <w:sz w:val="24"/>
                <w:szCs w:val="24"/>
                <w:lang w:val="en-US" w:eastAsia="zh-CN" w:bidi="ar-SA"/>
              </w:rPr>
              <w:t>危险废物泄漏</w:t>
            </w:r>
            <w:r>
              <w:rPr>
                <w:rFonts w:hint="default" w:ascii="Times New Roman" w:hAnsi="Times New Roman" w:eastAsia="宋体" w:cs="Times New Roman"/>
                <w:kern w:val="2"/>
                <w:sz w:val="24"/>
                <w:szCs w:val="24"/>
                <w:lang w:val="en-US" w:eastAsia="zh-CN" w:bidi="ar-SA"/>
              </w:rPr>
              <w:t>事故风险</w:t>
            </w:r>
          </w:p>
          <w:p w14:paraId="6A2B5347">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eastAsia" w:eastAsia="宋体" w:cs="Times New Roman"/>
                <w:color w:val="auto"/>
                <w:kern w:val="2"/>
                <w:sz w:val="24"/>
                <w:szCs w:val="24"/>
                <w:lang w:val="en-US" w:eastAsia="zh-CN" w:bidi="ar-SA"/>
              </w:rPr>
              <w:t>①危险废物</w:t>
            </w:r>
            <w:r>
              <w:rPr>
                <w:rFonts w:hint="default" w:ascii="Times New Roman" w:hAnsi="Times New Roman" w:eastAsia="宋体" w:cs="Times New Roman"/>
                <w:color w:val="auto"/>
                <w:kern w:val="2"/>
                <w:sz w:val="24"/>
                <w:szCs w:val="24"/>
                <w:lang w:val="en-US" w:eastAsia="zh-CN" w:bidi="ar-SA"/>
              </w:rPr>
              <w:t xml:space="preserve">运输、储存、装卸过程 </w:t>
            </w:r>
          </w:p>
          <w:p w14:paraId="5498EF6D">
            <w:pPr>
              <w:pStyle w:val="6"/>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4"/>
                <w:szCs w:val="24"/>
                <w:lang w:val="en-US" w:eastAsia="zh-CN" w:bidi="ar-SA"/>
              </w:rPr>
              <w:t>本项目</w:t>
            </w:r>
            <w:r>
              <w:rPr>
                <w:rFonts w:hint="eastAsia" w:eastAsia="宋体" w:cs="Times New Roman"/>
                <w:color w:val="auto"/>
                <w:kern w:val="2"/>
                <w:sz w:val="24"/>
                <w:szCs w:val="24"/>
                <w:lang w:val="en-US" w:eastAsia="zh-CN" w:bidi="ar-SA"/>
              </w:rPr>
              <w:t>危险废物</w:t>
            </w:r>
            <w:r>
              <w:rPr>
                <w:rFonts w:hint="default" w:ascii="Times New Roman" w:hAnsi="Times New Roman" w:eastAsia="宋体" w:cs="Times New Roman"/>
                <w:color w:val="auto"/>
                <w:kern w:val="2"/>
                <w:sz w:val="24"/>
                <w:szCs w:val="24"/>
                <w:lang w:val="en-US" w:eastAsia="zh-CN" w:bidi="ar-SA"/>
              </w:rPr>
              <w:t>在装卸、运输过</w:t>
            </w:r>
            <w:r>
              <w:rPr>
                <w:rFonts w:hint="eastAsia" w:eastAsia="宋体" w:cs="Times New Roman"/>
                <w:color w:val="auto"/>
                <w:kern w:val="2"/>
                <w:sz w:val="24"/>
                <w:szCs w:val="24"/>
                <w:lang w:val="en-US" w:eastAsia="zh-CN" w:bidi="ar-SA"/>
              </w:rPr>
              <w:t>程中</w:t>
            </w:r>
            <w:r>
              <w:rPr>
                <w:rFonts w:hint="default" w:ascii="Times New Roman" w:hAnsi="Times New Roman" w:eastAsia="宋体" w:cs="Times New Roman"/>
                <w:color w:val="auto"/>
                <w:kern w:val="2"/>
                <w:sz w:val="24"/>
                <w:szCs w:val="24"/>
                <w:lang w:val="en-US" w:eastAsia="zh-CN" w:bidi="ar-SA"/>
              </w:rPr>
              <w:t>可能潜在的风险事故</w:t>
            </w:r>
            <w:r>
              <w:rPr>
                <w:rFonts w:hint="eastAsia" w:eastAsia="宋体" w:cs="Times New Roman"/>
                <w:color w:val="auto"/>
                <w:kern w:val="2"/>
                <w:sz w:val="24"/>
                <w:szCs w:val="24"/>
                <w:lang w:val="en-US" w:eastAsia="zh-CN" w:bidi="ar-SA"/>
              </w:rPr>
              <w:t>如下</w:t>
            </w:r>
            <w:r>
              <w:rPr>
                <w:rFonts w:hint="default" w:ascii="Times New Roman" w:hAnsi="Times New Roman" w:eastAsia="宋体" w:cs="Times New Roman"/>
                <w:color w:val="auto"/>
                <w:kern w:val="2"/>
                <w:sz w:val="24"/>
                <w:szCs w:val="24"/>
                <w:lang w:val="en-US" w:eastAsia="zh-CN" w:bidi="ar-SA"/>
              </w:rPr>
              <w:t>：运输过程中因长时间震动可造成</w:t>
            </w:r>
            <w:r>
              <w:rPr>
                <w:rFonts w:hint="eastAsia" w:eastAsia="宋体" w:cs="Times New Roman"/>
                <w:color w:val="auto"/>
                <w:kern w:val="2"/>
                <w:sz w:val="24"/>
                <w:szCs w:val="24"/>
                <w:lang w:val="en-US" w:eastAsia="zh-CN" w:bidi="ar-SA"/>
              </w:rPr>
              <w:t>危险废物</w:t>
            </w:r>
            <w:r>
              <w:rPr>
                <w:rFonts w:hint="default" w:ascii="Times New Roman" w:hAnsi="Times New Roman" w:eastAsia="宋体" w:cs="Times New Roman"/>
                <w:color w:val="auto"/>
                <w:kern w:val="2"/>
                <w:sz w:val="24"/>
                <w:szCs w:val="24"/>
                <w:lang w:val="en-US" w:eastAsia="zh-CN" w:bidi="ar-SA"/>
              </w:rPr>
              <w:t>逸散、泄漏，导致沿途环境污染和人员中毒。</w:t>
            </w:r>
          </w:p>
          <w:p w14:paraId="233E703B">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eastAsia" w:eastAsia="宋体" w:cs="Times New Roman"/>
                <w:color w:val="auto"/>
                <w:kern w:val="2"/>
                <w:sz w:val="24"/>
                <w:szCs w:val="24"/>
                <w:lang w:val="en-US" w:eastAsia="zh-CN" w:bidi="ar-SA"/>
              </w:rPr>
              <w:t>②危险废物</w:t>
            </w:r>
            <w:r>
              <w:rPr>
                <w:rFonts w:hint="default" w:ascii="Times New Roman" w:hAnsi="Times New Roman" w:eastAsia="宋体" w:cs="Times New Roman"/>
                <w:color w:val="auto"/>
                <w:kern w:val="2"/>
                <w:sz w:val="24"/>
                <w:szCs w:val="24"/>
                <w:lang w:val="en-US" w:eastAsia="zh-CN" w:bidi="ar-SA"/>
              </w:rPr>
              <w:t xml:space="preserve">贮存过程 </w:t>
            </w:r>
          </w:p>
          <w:p w14:paraId="64742040">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kern w:val="2"/>
                <w:sz w:val="24"/>
                <w:szCs w:val="24"/>
                <w:lang w:val="en-US" w:eastAsia="zh-CN" w:bidi="ar-SA"/>
              </w:rPr>
              <w:t>由于贮存装置破裂、或操作不当，造成泄漏，导致人员中毒和环境污染</w:t>
            </w:r>
            <w:r>
              <w:rPr>
                <w:rFonts w:hint="eastAsia" w:eastAsia="宋体" w:cs="Times New Roman"/>
                <w:color w:val="auto"/>
                <w:kern w:val="2"/>
                <w:sz w:val="24"/>
                <w:szCs w:val="24"/>
                <w:lang w:val="en-US" w:eastAsia="zh-CN" w:bidi="ar-SA"/>
              </w:rPr>
              <w:t>。</w:t>
            </w:r>
          </w:p>
          <w:p w14:paraId="2113C116">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eastAsia" w:eastAsia="宋体" w:cs="Times New Roman"/>
                <w:color w:val="auto"/>
                <w:kern w:val="2"/>
                <w:sz w:val="24"/>
                <w:szCs w:val="24"/>
                <w:lang w:val="en-US" w:eastAsia="zh-CN" w:bidi="ar-SA"/>
              </w:rPr>
              <w:t>（5）火灾爆炸事故</w:t>
            </w:r>
          </w:p>
          <w:p w14:paraId="4D1971E5">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lang w:val="en-US" w:eastAsia="zh-CN" w:bidi="ar-SA"/>
              </w:rPr>
            </w:pPr>
            <w:r>
              <w:rPr>
                <w:rFonts w:hint="eastAsia" w:eastAsia="宋体" w:cs="Times New Roman"/>
                <w:color w:val="auto"/>
                <w:kern w:val="2"/>
                <w:sz w:val="24"/>
                <w:szCs w:val="24"/>
                <w:lang w:val="en-US" w:eastAsia="zh-CN" w:bidi="ar-SA"/>
              </w:rPr>
              <w:t>项目运行过程中，若发生氧气、柴油泄漏，遇到高温、明火、电火花可能导致发生火灾、爆炸，从而引起大气、地表水、土壤污染。</w:t>
            </w:r>
          </w:p>
          <w:p w14:paraId="08669D63">
            <w:pPr>
              <w:pStyle w:val="6"/>
              <w:keepNext w:val="0"/>
              <w:keepLines w:val="0"/>
              <w:pageBreakBefore w:val="0"/>
              <w:widowControl w:val="0"/>
              <w:kinsoku/>
              <w:wordWrap/>
              <w:overflowPunct/>
              <w:topLinePunct w:val="0"/>
              <w:autoSpaceDE/>
              <w:autoSpaceDN/>
              <w:bidi w:val="0"/>
              <w:spacing w:line="360" w:lineRule="auto"/>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1"/>
                <w:szCs w:val="21"/>
                <w:lang w:val="en-US" w:eastAsia="zh-CN" w:bidi="ar-SA"/>
              </w:rPr>
              <w:t xml:space="preserve">  </w:t>
            </w:r>
            <w:r>
              <w:rPr>
                <w:rFonts w:hint="default" w:ascii="Times New Roman" w:hAnsi="Times New Roman" w:eastAsia="宋体" w:cs="Times New Roman"/>
                <w:b/>
                <w:bCs/>
                <w:kern w:val="2"/>
                <w:sz w:val="21"/>
                <w:szCs w:val="21"/>
                <w:lang w:val="en-US" w:eastAsia="zh-CN" w:bidi="ar-SA"/>
              </w:rPr>
              <w:t xml:space="preserve"> </w:t>
            </w:r>
            <w:r>
              <w:rPr>
                <w:rFonts w:hint="default" w:ascii="Times New Roman" w:hAnsi="Times New Roman" w:eastAsia="宋体" w:cs="Times New Roman"/>
                <w:b/>
                <w:bCs/>
                <w:kern w:val="2"/>
                <w:sz w:val="24"/>
                <w:szCs w:val="24"/>
                <w:lang w:val="en-US" w:eastAsia="zh-CN" w:bidi="ar-SA"/>
              </w:rPr>
              <w:t xml:space="preserve"> 6.3、环境风险防范措施</w:t>
            </w:r>
          </w:p>
          <w:p w14:paraId="4F4E1DC2">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针对本项目的风险事故情况，拟采取以下风险防范措施：</w:t>
            </w:r>
          </w:p>
          <w:p w14:paraId="568C1A94">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u w:val="single"/>
                <w:lang w:val="en-US" w:eastAsia="zh-CN" w:bidi="ar-SA"/>
              </w:rPr>
            </w:pPr>
            <w:r>
              <w:rPr>
                <w:rFonts w:hint="default" w:ascii="Times New Roman" w:hAnsi="Times New Roman" w:eastAsia="宋体" w:cs="Times New Roman"/>
                <w:kern w:val="2"/>
                <w:sz w:val="24"/>
                <w:szCs w:val="24"/>
                <w:u w:val="single"/>
                <w:lang w:val="en-US" w:eastAsia="zh-CN" w:bidi="ar-SA"/>
              </w:rPr>
              <w:t>（1）对污水站内除臭系统进行日常检修维护，确保正常运行，若除臭系统故障，及时对格栅操作孔、检修孔加盖、封闭、喷洒除臭剂，并尽快修复除臭系统；</w:t>
            </w:r>
          </w:p>
          <w:p w14:paraId="25ED55F6">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u w:val="single"/>
                <w:lang w:val="en-US" w:eastAsia="zh-CN" w:bidi="ar-SA"/>
              </w:rPr>
            </w:pPr>
            <w:r>
              <w:rPr>
                <w:rFonts w:hint="default" w:ascii="Times New Roman" w:hAnsi="Times New Roman" w:eastAsia="宋体" w:cs="Times New Roman"/>
                <w:kern w:val="2"/>
                <w:sz w:val="24"/>
                <w:szCs w:val="24"/>
                <w:u w:val="single"/>
                <w:lang w:val="en-US" w:eastAsia="zh-CN" w:bidi="ar-SA"/>
              </w:rPr>
              <w:t>（2）加强对污水处理站的监控，若出现故障，立即关闭出水阀门，将废水引至事故池</w:t>
            </w:r>
            <w:r>
              <w:rPr>
                <w:rFonts w:hint="eastAsia" w:eastAsia="宋体" w:cs="Times New Roman"/>
                <w:kern w:val="2"/>
                <w:sz w:val="24"/>
                <w:szCs w:val="24"/>
                <w:u w:val="single"/>
                <w:lang w:val="en-US" w:eastAsia="zh-CN" w:bidi="ar-SA"/>
              </w:rPr>
              <w:t>并及时检修</w:t>
            </w:r>
            <w:r>
              <w:rPr>
                <w:rFonts w:hint="default" w:ascii="Times New Roman" w:hAnsi="Times New Roman" w:eastAsia="宋体" w:cs="Times New Roman"/>
                <w:kern w:val="2"/>
                <w:sz w:val="24"/>
                <w:szCs w:val="24"/>
                <w:u w:val="single"/>
                <w:lang w:val="en-US" w:eastAsia="zh-CN" w:bidi="ar-SA"/>
              </w:rPr>
              <w:t>（目前污水站风机、泵、污泥阀等主要关键设备均为一用一备，污水处理供电系统实行双回路控制，确保污水处理站的运行率</w:t>
            </w:r>
            <w:r>
              <w:rPr>
                <w:rFonts w:hint="eastAsia" w:eastAsia="宋体" w:cs="Times New Roman"/>
                <w:kern w:val="2"/>
                <w:sz w:val="24"/>
                <w:szCs w:val="24"/>
                <w:u w:val="single"/>
                <w:lang w:val="en-US" w:eastAsia="zh-CN" w:bidi="ar-SA"/>
              </w:rPr>
              <w:t>）</w:t>
            </w:r>
            <w:r>
              <w:rPr>
                <w:rFonts w:hint="default" w:ascii="Times New Roman" w:hAnsi="Times New Roman" w:eastAsia="宋体" w:cs="Times New Roman"/>
                <w:kern w:val="2"/>
                <w:sz w:val="24"/>
                <w:szCs w:val="24"/>
                <w:u w:val="single"/>
                <w:lang w:val="en-US" w:eastAsia="zh-CN" w:bidi="ar-SA"/>
              </w:rPr>
              <w:t>。</w:t>
            </w:r>
          </w:p>
          <w:p w14:paraId="2A8B00C4">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u w:val="single"/>
                <w:lang w:val="en-US" w:eastAsia="zh-CN" w:bidi="ar-SA"/>
              </w:rPr>
            </w:pPr>
            <w:r>
              <w:rPr>
                <w:rFonts w:hint="eastAsia" w:eastAsia="宋体" w:cs="Times New Roman"/>
                <w:kern w:val="2"/>
                <w:sz w:val="24"/>
                <w:szCs w:val="24"/>
                <w:u w:val="single"/>
                <w:lang w:val="en-US" w:eastAsia="zh-CN" w:bidi="ar-SA"/>
              </w:rPr>
              <w:t>本项目将按照《医院污水处理工程技术规范》HJ2029-2013中“12.4.1 医院污水处理工程应急事故池容积不小于日排放量的30%”要求，将现有30m</w:t>
            </w:r>
            <w:r>
              <w:rPr>
                <w:rFonts w:hint="eastAsia" w:eastAsia="宋体" w:cs="Times New Roman"/>
                <w:kern w:val="2"/>
                <w:sz w:val="24"/>
                <w:szCs w:val="24"/>
                <w:u w:val="single"/>
                <w:vertAlign w:val="superscript"/>
                <w:lang w:val="en-US" w:eastAsia="zh-CN" w:bidi="ar-SA"/>
              </w:rPr>
              <w:t>3</w:t>
            </w:r>
            <w:r>
              <w:rPr>
                <w:rFonts w:hint="eastAsia" w:eastAsia="宋体" w:cs="Times New Roman"/>
                <w:kern w:val="2"/>
                <w:sz w:val="24"/>
                <w:szCs w:val="24"/>
                <w:u w:val="single"/>
                <w:lang w:val="en-US" w:eastAsia="zh-CN" w:bidi="ar-SA"/>
              </w:rPr>
              <w:t>的应急池扩建至90m</w:t>
            </w:r>
            <w:r>
              <w:rPr>
                <w:rFonts w:hint="eastAsia" w:eastAsia="宋体" w:cs="Times New Roman"/>
                <w:kern w:val="2"/>
                <w:sz w:val="24"/>
                <w:szCs w:val="24"/>
                <w:u w:val="single"/>
                <w:vertAlign w:val="superscript"/>
                <w:lang w:val="en-US" w:eastAsia="zh-CN" w:bidi="ar-SA"/>
              </w:rPr>
              <w:t>3</w:t>
            </w:r>
            <w:r>
              <w:rPr>
                <w:rFonts w:hint="eastAsia" w:eastAsia="宋体" w:cs="Times New Roman"/>
                <w:kern w:val="2"/>
                <w:sz w:val="24"/>
                <w:szCs w:val="24"/>
                <w:u w:val="single"/>
                <w:lang w:val="en-US" w:eastAsia="zh-CN" w:bidi="ar-SA"/>
              </w:rPr>
              <w:t>，扩建完成后，能容纳本污水站最大日处理能力的30%的水量，即污水最短容纳时间为8h，同时，根据工程分析，本项目污水排放量为161.6m</w:t>
            </w:r>
            <w:r>
              <w:rPr>
                <w:rFonts w:hint="eastAsia" w:eastAsia="宋体" w:cs="Times New Roman"/>
                <w:kern w:val="2"/>
                <w:sz w:val="24"/>
                <w:szCs w:val="24"/>
                <w:u w:val="single"/>
                <w:vertAlign w:val="superscript"/>
                <w:lang w:val="en-US" w:eastAsia="zh-CN" w:bidi="ar-SA"/>
              </w:rPr>
              <w:t>3</w:t>
            </w:r>
            <w:r>
              <w:rPr>
                <w:rFonts w:hint="eastAsia" w:eastAsia="宋体" w:cs="Times New Roman"/>
                <w:kern w:val="2"/>
                <w:sz w:val="24"/>
                <w:szCs w:val="24"/>
                <w:u w:val="single"/>
                <w:lang w:val="en-US" w:eastAsia="zh-CN" w:bidi="ar-SA"/>
              </w:rPr>
              <w:t>/d，则应急池实际污水容纳时间约为13.4h，满足污水站设备应急检修的时间需求。</w:t>
            </w:r>
          </w:p>
          <w:p w14:paraId="09A6C328">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u w:val="single"/>
                <w:lang w:val="en-US" w:eastAsia="zh-CN" w:bidi="ar-SA"/>
              </w:rPr>
            </w:pPr>
            <w:r>
              <w:rPr>
                <w:rFonts w:hint="default" w:ascii="Times New Roman" w:hAnsi="Times New Roman" w:eastAsia="宋体" w:cs="Times New Roman"/>
                <w:kern w:val="2"/>
                <w:sz w:val="24"/>
                <w:szCs w:val="24"/>
                <w:u w:val="single"/>
                <w:lang w:val="en-US" w:eastAsia="zh-CN" w:bidi="ar-SA"/>
              </w:rPr>
              <w:t>（</w:t>
            </w:r>
            <w:r>
              <w:rPr>
                <w:rFonts w:hint="default" w:ascii="Times New Roman" w:hAnsi="Times New Roman" w:eastAsia="宋体" w:cs="Times New Roman"/>
                <w:color w:val="auto"/>
                <w:kern w:val="2"/>
                <w:sz w:val="24"/>
                <w:szCs w:val="24"/>
                <w:u w:val="single"/>
                <w:lang w:val="en-US" w:eastAsia="zh-CN" w:bidi="ar-SA"/>
              </w:rPr>
              <w:t>3）</w:t>
            </w:r>
            <w:r>
              <w:rPr>
                <w:rFonts w:hint="eastAsia" w:ascii="Times New Roman" w:hAnsi="Times New Roman" w:eastAsia="宋体" w:cs="Times New Roman"/>
                <w:color w:val="auto"/>
                <w:kern w:val="2"/>
                <w:sz w:val="24"/>
                <w:szCs w:val="24"/>
                <w:u w:val="single"/>
                <w:lang w:val="en-US" w:eastAsia="zh-CN" w:bidi="ar-SA"/>
              </w:rPr>
              <w:t>危险废物暂存间应</w:t>
            </w:r>
            <w:r>
              <w:rPr>
                <w:rFonts w:hint="default" w:ascii="Times New Roman" w:hAnsi="Times New Roman" w:eastAsia="宋体" w:cs="Times New Roman"/>
                <w:color w:val="auto"/>
                <w:kern w:val="2"/>
                <w:sz w:val="24"/>
                <w:szCs w:val="24"/>
                <w:u w:val="single"/>
                <w:lang w:val="en-US" w:eastAsia="zh-CN" w:bidi="ar-SA"/>
              </w:rPr>
              <w:t>按照《医疗废物管理条例》（</w:t>
            </w:r>
            <w:r>
              <w:rPr>
                <w:rFonts w:hint="eastAsia" w:ascii="Times New Roman" w:hAnsi="Times New Roman" w:eastAsia="宋体" w:cs="Times New Roman"/>
                <w:color w:val="auto"/>
                <w:kern w:val="2"/>
                <w:sz w:val="24"/>
                <w:szCs w:val="24"/>
                <w:u w:val="single"/>
                <w:lang w:val="en-US" w:eastAsia="zh-CN" w:bidi="ar-SA"/>
              </w:rPr>
              <w:t>2011年修订</w:t>
            </w:r>
            <w:r>
              <w:rPr>
                <w:rFonts w:hint="default" w:ascii="Times New Roman" w:hAnsi="Times New Roman" w:eastAsia="宋体" w:cs="Times New Roman"/>
                <w:color w:val="auto"/>
                <w:kern w:val="2"/>
                <w:sz w:val="24"/>
                <w:szCs w:val="24"/>
                <w:u w:val="single"/>
                <w:lang w:val="en-US" w:eastAsia="zh-CN" w:bidi="ar-SA"/>
              </w:rPr>
              <w:t>）、《危险废物贮存污染控制标准》（GB 18597-2023）的要求建设，</w:t>
            </w:r>
            <w:r>
              <w:rPr>
                <w:rFonts w:hint="eastAsia" w:ascii="Times New Roman" w:hAnsi="Times New Roman" w:eastAsia="宋体" w:cs="Times New Roman"/>
                <w:color w:val="auto"/>
                <w:kern w:val="2"/>
                <w:sz w:val="24"/>
                <w:szCs w:val="24"/>
                <w:u w:val="single"/>
                <w:lang w:val="en-US" w:eastAsia="zh-CN" w:bidi="ar-SA"/>
              </w:rPr>
              <w:t>建立、健全危废管理制度，分类收集、贮存各类危险废物，一旦发生</w:t>
            </w:r>
            <w:r>
              <w:rPr>
                <w:rFonts w:hint="eastAsia" w:eastAsia="宋体" w:cs="Times New Roman"/>
                <w:color w:val="auto"/>
                <w:kern w:val="2"/>
                <w:sz w:val="24"/>
                <w:szCs w:val="24"/>
                <w:u w:val="single"/>
                <w:lang w:val="en-US" w:eastAsia="zh-CN" w:bidi="ar-SA"/>
              </w:rPr>
              <w:t>泄漏</w:t>
            </w:r>
            <w:r>
              <w:rPr>
                <w:rFonts w:hint="eastAsia" w:ascii="Times New Roman" w:hAnsi="Times New Roman" w:eastAsia="宋体" w:cs="Times New Roman"/>
                <w:color w:val="auto"/>
                <w:kern w:val="2"/>
                <w:sz w:val="24"/>
                <w:szCs w:val="24"/>
                <w:u w:val="single"/>
                <w:lang w:val="en-US" w:eastAsia="zh-CN" w:bidi="ar-SA"/>
              </w:rPr>
              <w:t>，应立即启动应急预案，遵循 “隔离、防护、清理、消毒、报告”的原则</w:t>
            </w:r>
            <w:r>
              <w:rPr>
                <w:rFonts w:hint="default" w:ascii="Times New Roman" w:hAnsi="Times New Roman" w:eastAsia="宋体" w:cs="Times New Roman"/>
                <w:color w:val="auto"/>
                <w:kern w:val="2"/>
                <w:sz w:val="24"/>
                <w:szCs w:val="24"/>
                <w:u w:val="single"/>
                <w:lang w:val="en-US" w:eastAsia="zh-CN" w:bidi="ar-SA"/>
              </w:rPr>
              <w:t>及时、有效地处理。</w:t>
            </w:r>
          </w:p>
          <w:p w14:paraId="4CF10194">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u w:val="single"/>
                <w:lang w:val="en-US" w:eastAsia="zh-CN" w:bidi="ar-SA"/>
              </w:rPr>
            </w:pPr>
            <w:r>
              <w:rPr>
                <w:rFonts w:hint="default" w:ascii="Times New Roman" w:hAnsi="Times New Roman" w:eastAsia="宋体" w:cs="Times New Roman"/>
                <w:color w:val="auto"/>
                <w:kern w:val="2"/>
                <w:sz w:val="24"/>
                <w:szCs w:val="24"/>
                <w:u w:val="single"/>
                <w:lang w:val="en-US" w:eastAsia="zh-CN" w:bidi="ar-SA"/>
              </w:rPr>
              <w:t>（4）氧</w:t>
            </w:r>
            <w:r>
              <w:rPr>
                <w:rFonts w:hint="eastAsia" w:eastAsia="宋体" w:cs="Times New Roman"/>
                <w:color w:val="auto"/>
                <w:kern w:val="2"/>
                <w:sz w:val="24"/>
                <w:szCs w:val="24"/>
                <w:u w:val="single"/>
                <w:lang w:val="en-US" w:eastAsia="zh-CN" w:bidi="ar-SA"/>
              </w:rPr>
              <w:t>气罐</w:t>
            </w:r>
            <w:r>
              <w:rPr>
                <w:rFonts w:hint="default" w:ascii="Times New Roman" w:hAnsi="Times New Roman" w:eastAsia="宋体" w:cs="Times New Roman"/>
                <w:color w:val="auto"/>
                <w:kern w:val="2"/>
                <w:sz w:val="24"/>
                <w:szCs w:val="24"/>
                <w:u w:val="single"/>
                <w:lang w:val="en-US" w:eastAsia="zh-CN" w:bidi="ar-SA"/>
              </w:rPr>
              <w:t>使用时，首先要做外部检查，检查重点是瓶阀、</w:t>
            </w:r>
            <w:r>
              <w:rPr>
                <w:rFonts w:hint="eastAsia" w:eastAsia="宋体" w:cs="Times New Roman"/>
                <w:color w:val="auto"/>
                <w:kern w:val="2"/>
                <w:sz w:val="24"/>
                <w:szCs w:val="24"/>
                <w:u w:val="single"/>
                <w:lang w:val="en-US" w:eastAsia="zh-CN" w:bidi="ar-SA"/>
              </w:rPr>
              <w:t>接管</w:t>
            </w:r>
            <w:r>
              <w:rPr>
                <w:rFonts w:hint="default" w:ascii="Times New Roman" w:hAnsi="Times New Roman" w:eastAsia="宋体" w:cs="Times New Roman"/>
                <w:color w:val="auto"/>
                <w:kern w:val="2"/>
                <w:sz w:val="24"/>
                <w:szCs w:val="24"/>
                <w:u w:val="single"/>
                <w:lang w:val="en-US" w:eastAsia="zh-CN" w:bidi="ar-SA"/>
              </w:rPr>
              <w:t>螺纹、减压器等。如果发现有漏气、滑扣、表针动作不灵或“爬高”等，应及时维修，切忌随便处理。禁止带压拧紧阀杆，调整垫料。检查漏气时应用肥皂水，不得使用明火。</w:t>
            </w:r>
            <w:r>
              <w:rPr>
                <w:rFonts w:hint="eastAsia" w:eastAsia="宋体" w:cs="Times New Roman"/>
                <w:color w:val="auto"/>
                <w:kern w:val="2"/>
                <w:sz w:val="24"/>
                <w:szCs w:val="24"/>
                <w:u w:val="single"/>
                <w:lang w:val="en-US" w:eastAsia="zh-CN" w:bidi="ar-SA"/>
              </w:rPr>
              <w:t>气罐</w:t>
            </w:r>
            <w:r>
              <w:rPr>
                <w:rFonts w:hint="default" w:ascii="Times New Roman" w:hAnsi="Times New Roman" w:eastAsia="宋体" w:cs="Times New Roman"/>
                <w:color w:val="auto"/>
                <w:kern w:val="2"/>
                <w:sz w:val="24"/>
                <w:szCs w:val="24"/>
                <w:u w:val="single"/>
                <w:lang w:val="en-US" w:eastAsia="zh-CN" w:bidi="ar-SA"/>
              </w:rPr>
              <w:t>与电焊在同一场所使用时，瓶底应垫上绝缘物，以防</w:t>
            </w:r>
            <w:r>
              <w:rPr>
                <w:rFonts w:hint="eastAsia" w:eastAsia="宋体" w:cs="Times New Roman"/>
                <w:color w:val="auto"/>
                <w:kern w:val="2"/>
                <w:sz w:val="24"/>
                <w:szCs w:val="24"/>
                <w:u w:val="single"/>
                <w:lang w:val="en-US" w:eastAsia="zh-CN" w:bidi="ar-SA"/>
              </w:rPr>
              <w:t>气罐</w:t>
            </w:r>
            <w:r>
              <w:rPr>
                <w:rFonts w:hint="default" w:ascii="Times New Roman" w:hAnsi="Times New Roman" w:eastAsia="宋体" w:cs="Times New Roman"/>
                <w:color w:val="auto"/>
                <w:kern w:val="2"/>
                <w:sz w:val="24"/>
                <w:szCs w:val="24"/>
                <w:u w:val="single"/>
                <w:lang w:val="en-US" w:eastAsia="zh-CN" w:bidi="ar-SA"/>
              </w:rPr>
              <w:t>带电。与</w:t>
            </w:r>
            <w:r>
              <w:rPr>
                <w:rFonts w:hint="eastAsia" w:eastAsia="宋体" w:cs="Times New Roman"/>
                <w:color w:val="auto"/>
                <w:kern w:val="2"/>
                <w:sz w:val="24"/>
                <w:szCs w:val="24"/>
                <w:u w:val="single"/>
                <w:lang w:val="en-US" w:eastAsia="zh-CN" w:bidi="ar-SA"/>
              </w:rPr>
              <w:t>气罐</w:t>
            </w:r>
            <w:r>
              <w:rPr>
                <w:rFonts w:hint="default" w:ascii="Times New Roman" w:hAnsi="Times New Roman" w:eastAsia="宋体" w:cs="Times New Roman"/>
                <w:color w:val="auto"/>
                <w:kern w:val="2"/>
                <w:sz w:val="24"/>
                <w:szCs w:val="24"/>
                <w:u w:val="single"/>
                <w:lang w:val="en-US" w:eastAsia="zh-CN" w:bidi="ar-SA"/>
              </w:rPr>
              <w:t>接触的管道和设备要有接地装置，防止由于产生静电造成燃烧或爆炸。</w:t>
            </w:r>
          </w:p>
          <w:p w14:paraId="43357B24">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color w:val="auto"/>
                <w:kern w:val="2"/>
                <w:sz w:val="24"/>
                <w:szCs w:val="24"/>
                <w:u w:val="single"/>
                <w:lang w:val="en-US" w:eastAsia="zh-CN" w:bidi="ar-SA"/>
              </w:rPr>
            </w:pPr>
            <w:r>
              <w:rPr>
                <w:rFonts w:hint="eastAsia" w:eastAsia="宋体" w:cs="Times New Roman"/>
                <w:color w:val="auto"/>
                <w:kern w:val="2"/>
                <w:sz w:val="24"/>
                <w:szCs w:val="24"/>
                <w:u w:val="single"/>
                <w:lang w:val="en-US" w:eastAsia="zh-CN" w:bidi="ar-SA"/>
              </w:rPr>
              <w:t>（5）发生火灾、爆炸事故时，及时疏散院内病患、医务人员和周边居民；扑灭外围被火源引燃的物质，切断火势蔓延途径，控制燃烧范围，并积极抢救受伤和被困人员，避免发生次生、伴生污染事件，最大程度地消除或减轻环境污染事件造成的中长期影响。</w:t>
            </w:r>
          </w:p>
          <w:p w14:paraId="1A69AF33">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4"/>
                <w:szCs w:val="24"/>
                <w:u w:val="single"/>
                <w:lang w:val="en-US" w:eastAsia="zh-CN" w:bidi="ar-SA"/>
              </w:rPr>
            </w:pPr>
            <w:r>
              <w:rPr>
                <w:rFonts w:hint="default" w:ascii="Times New Roman" w:hAnsi="Times New Roman" w:eastAsia="宋体" w:cs="Times New Roman"/>
                <w:kern w:val="2"/>
                <w:sz w:val="24"/>
                <w:szCs w:val="24"/>
                <w:u w:val="single"/>
                <w:lang w:val="en-US" w:eastAsia="zh-CN" w:bidi="ar-SA"/>
              </w:rPr>
              <w:t>（</w:t>
            </w:r>
            <w:r>
              <w:rPr>
                <w:rFonts w:hint="eastAsia" w:eastAsia="宋体" w:cs="Times New Roman"/>
                <w:kern w:val="2"/>
                <w:sz w:val="24"/>
                <w:szCs w:val="24"/>
                <w:u w:val="single"/>
                <w:lang w:val="en-US" w:eastAsia="zh-CN" w:bidi="ar-SA"/>
              </w:rPr>
              <w:t>6</w:t>
            </w:r>
            <w:r>
              <w:rPr>
                <w:rFonts w:hint="default" w:ascii="Times New Roman" w:hAnsi="Times New Roman" w:eastAsia="宋体" w:cs="Times New Roman"/>
                <w:kern w:val="2"/>
                <w:sz w:val="24"/>
                <w:szCs w:val="24"/>
                <w:u w:val="single"/>
                <w:lang w:val="en-US" w:eastAsia="zh-CN" w:bidi="ar-SA"/>
              </w:rPr>
              <w:t>）</w:t>
            </w:r>
            <w:r>
              <w:rPr>
                <w:rFonts w:hint="default" w:ascii="Times New Roman" w:hAnsi="Times New Roman" w:eastAsia="宋体" w:cs="Times New Roman"/>
                <w:color w:val="000000"/>
                <w:kern w:val="0"/>
                <w:sz w:val="24"/>
                <w:szCs w:val="24"/>
                <w:u w:val="single"/>
                <w:lang w:val="en-US" w:eastAsia="zh-CN" w:bidi="ar"/>
              </w:rPr>
              <w:t>编制企业突发环境事件应急预案。</w:t>
            </w:r>
          </w:p>
          <w:p w14:paraId="3E6EBB3E">
            <w:pPr>
              <w:pStyle w:val="6"/>
              <w:keepNext w:val="0"/>
              <w:keepLines w:val="0"/>
              <w:pageBreakBefore w:val="0"/>
              <w:widowControl w:val="0"/>
              <w:kinsoku/>
              <w:wordWrap/>
              <w:overflowPunct/>
              <w:topLinePunct w:val="0"/>
              <w:autoSpaceDE/>
              <w:autoSpaceDN/>
              <w:bidi w:val="0"/>
              <w:spacing w:line="360" w:lineRule="auto"/>
              <w:ind w:firstLine="480"/>
              <w:jc w:val="both"/>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4"/>
                <w:szCs w:val="24"/>
                <w:u w:val="single"/>
                <w:lang w:val="en-US" w:eastAsia="zh-CN" w:bidi="ar-SA"/>
              </w:rPr>
              <w:t>只要上述措施落实到位，医院的</w:t>
            </w:r>
            <w:r>
              <w:rPr>
                <w:rFonts w:hint="eastAsia" w:ascii="Times New Roman" w:hAnsi="Times New Roman" w:eastAsia="宋体" w:cs="Times New Roman"/>
                <w:kern w:val="2"/>
                <w:sz w:val="24"/>
                <w:szCs w:val="24"/>
                <w:u w:val="single"/>
                <w:lang w:val="en-US" w:eastAsia="zh-CN" w:bidi="ar-SA"/>
              </w:rPr>
              <w:t>环境风险</w:t>
            </w:r>
            <w:r>
              <w:rPr>
                <w:rFonts w:hint="default" w:ascii="Times New Roman" w:hAnsi="Times New Roman" w:eastAsia="宋体" w:cs="Times New Roman"/>
                <w:kern w:val="2"/>
                <w:sz w:val="24"/>
                <w:szCs w:val="24"/>
                <w:u w:val="single"/>
                <w:lang w:val="en-US" w:eastAsia="zh-CN" w:bidi="ar-SA"/>
              </w:rPr>
              <w:t>是可以控制在较低水平之内的，这一类的风险事故发生概率极低。评价认为项目环境风险发生概率是可以控制在可接受水平之内的</w:t>
            </w:r>
            <w:r>
              <w:rPr>
                <w:rFonts w:hint="default" w:ascii="Times New Roman" w:hAnsi="Times New Roman" w:eastAsia="宋体" w:cs="Times New Roman"/>
                <w:kern w:val="2"/>
                <w:sz w:val="24"/>
                <w:szCs w:val="24"/>
                <w:lang w:val="en-US" w:eastAsia="zh-CN" w:bidi="ar-SA"/>
              </w:rPr>
              <w:t>。</w:t>
            </w:r>
          </w:p>
          <w:p w14:paraId="28A2B261">
            <w:pPr>
              <w:keepNext w:val="0"/>
              <w:keepLines w:val="0"/>
              <w:pageBreakBefore w:val="0"/>
              <w:widowControl w:val="0"/>
              <w:numPr>
                <w:ilvl w:val="0"/>
                <w:numId w:val="0"/>
              </w:numPr>
              <w:kinsoku/>
              <w:wordWrap/>
              <w:overflowPunct/>
              <w:topLinePunct w:val="0"/>
              <w:autoSpaceDE/>
              <w:autoSpaceDN/>
              <w:bidi w:val="0"/>
              <w:spacing w:line="360" w:lineRule="auto"/>
              <w:jc w:val="both"/>
              <w:textAlignment w:val="auto"/>
              <w:rPr>
                <w:rFonts w:hint="default" w:ascii="Times New Roman" w:hAnsi="Times New Roman" w:eastAsia="宋体" w:cs="Times New Roman"/>
                <w:b/>
                <w:bCs/>
                <w:kern w:val="0"/>
                <w:sz w:val="24"/>
                <w:szCs w:val="24"/>
                <w:u w:val="none"/>
                <w:lang w:val="en-US" w:eastAsia="zh-CN" w:bidi="ar-SA"/>
              </w:rPr>
            </w:pPr>
            <w:r>
              <w:rPr>
                <w:rFonts w:hint="default" w:ascii="Times New Roman" w:hAnsi="Times New Roman" w:cs="Times New Roman"/>
                <w:b/>
                <w:bCs/>
                <w:kern w:val="0"/>
                <w:sz w:val="24"/>
                <w:szCs w:val="24"/>
                <w:u w:val="none"/>
                <w:lang w:val="en-US" w:eastAsia="zh-CN" w:bidi="ar-SA"/>
              </w:rPr>
              <w:t>7、</w:t>
            </w:r>
            <w:r>
              <w:rPr>
                <w:rFonts w:hint="default" w:ascii="Times New Roman" w:hAnsi="Times New Roman" w:eastAsia="宋体" w:cs="Times New Roman"/>
                <w:b/>
                <w:bCs/>
                <w:kern w:val="0"/>
                <w:sz w:val="24"/>
                <w:szCs w:val="24"/>
                <w:u w:val="none"/>
                <w:lang w:val="en-US" w:eastAsia="zh-CN" w:bidi="ar-SA"/>
              </w:rPr>
              <w:t>环境管理</w:t>
            </w:r>
          </w:p>
          <w:p w14:paraId="67CCF6CA">
            <w:pPr>
              <w:keepNext w:val="0"/>
              <w:keepLines w:val="0"/>
              <w:pageBreakBefore w:val="0"/>
              <w:widowControl w:val="0"/>
              <w:kinsoku/>
              <w:wordWrap/>
              <w:overflowPunct/>
              <w:topLinePunct w:val="0"/>
              <w:autoSpaceDE/>
              <w:autoSpaceDN/>
              <w:bidi w:val="0"/>
              <w:adjustRightInd w:val="0"/>
              <w:snapToGrid w:val="0"/>
              <w:spacing w:line="360" w:lineRule="auto"/>
              <w:ind w:firstLine="482"/>
              <w:jc w:val="both"/>
              <w:textAlignment w:val="auto"/>
              <w:rPr>
                <w:rFonts w:hint="default" w:ascii="Times New Roman" w:hAnsi="Times New Roman" w:eastAsia="宋体" w:cs="Times New Roman"/>
                <w:kern w:val="2"/>
                <w:sz w:val="24"/>
                <w:szCs w:val="24"/>
                <w:u w:val="none"/>
                <w:lang w:val="en-US" w:eastAsia="zh-CN" w:bidi="ar-SA"/>
              </w:rPr>
            </w:pPr>
            <w:r>
              <w:rPr>
                <w:rFonts w:hint="default" w:ascii="Times New Roman" w:hAnsi="Times New Roman" w:eastAsia="宋体" w:cs="Times New Roman"/>
                <w:kern w:val="2"/>
                <w:sz w:val="24"/>
                <w:szCs w:val="24"/>
                <w:u w:val="none"/>
                <w:lang w:val="en-US" w:eastAsia="zh-CN" w:bidi="ar-SA"/>
              </w:rPr>
              <w:t>为了更</w:t>
            </w:r>
            <w:r>
              <w:rPr>
                <w:rFonts w:hint="eastAsia" w:cs="Times New Roman"/>
                <w:kern w:val="2"/>
                <w:sz w:val="24"/>
                <w:szCs w:val="24"/>
                <w:u w:val="none"/>
                <w:lang w:val="en-US" w:eastAsia="zh-CN" w:bidi="ar-SA"/>
              </w:rPr>
              <w:t>好地</w:t>
            </w:r>
            <w:r>
              <w:rPr>
                <w:rFonts w:hint="default" w:ascii="Times New Roman" w:hAnsi="Times New Roman" w:eastAsia="宋体" w:cs="Times New Roman"/>
                <w:kern w:val="2"/>
                <w:sz w:val="24"/>
                <w:szCs w:val="24"/>
                <w:u w:val="none"/>
                <w:lang w:val="en-US" w:eastAsia="zh-CN" w:bidi="ar-SA"/>
              </w:rPr>
              <w:t>贯彻执行国家环境保护法律法规、政策与标准，及时掌握和了解工程污染治理措施的效果，以及工程所在区域环境质量状况，更好地监控环保设施的运行情况，协调</w:t>
            </w:r>
            <w:r>
              <w:rPr>
                <w:rFonts w:hint="eastAsia" w:ascii="Times New Roman" w:hAnsi="Times New Roman" w:eastAsia="宋体" w:cs="Times New Roman"/>
                <w:kern w:val="2"/>
                <w:sz w:val="24"/>
                <w:szCs w:val="24"/>
                <w:u w:val="none"/>
                <w:lang w:val="en-US" w:eastAsia="zh-CN" w:bidi="ar-SA"/>
              </w:rPr>
              <w:t>医院</w:t>
            </w:r>
            <w:r>
              <w:rPr>
                <w:rFonts w:hint="default" w:ascii="Times New Roman" w:hAnsi="Times New Roman" w:eastAsia="宋体" w:cs="Times New Roman"/>
                <w:kern w:val="2"/>
                <w:sz w:val="24"/>
                <w:szCs w:val="24"/>
                <w:u w:val="none"/>
                <w:lang w:val="en-US" w:eastAsia="zh-CN" w:bidi="ar-SA"/>
              </w:rPr>
              <w:t>与地方环保职能部门的工作，同时保证</w:t>
            </w:r>
            <w:r>
              <w:rPr>
                <w:rFonts w:hint="eastAsia" w:ascii="Times New Roman" w:hAnsi="Times New Roman" w:eastAsia="宋体" w:cs="Times New Roman"/>
                <w:kern w:val="2"/>
                <w:sz w:val="24"/>
                <w:szCs w:val="24"/>
                <w:u w:val="none"/>
                <w:lang w:val="en-US" w:eastAsia="zh-CN" w:bidi="ar-SA"/>
              </w:rPr>
              <w:t>医院运行</w:t>
            </w:r>
            <w:r>
              <w:rPr>
                <w:rFonts w:hint="default" w:ascii="Times New Roman" w:hAnsi="Times New Roman" w:eastAsia="宋体" w:cs="Times New Roman"/>
                <w:kern w:val="2"/>
                <w:sz w:val="24"/>
                <w:szCs w:val="24"/>
                <w:u w:val="none"/>
                <w:lang w:val="en-US" w:eastAsia="zh-CN" w:bidi="ar-SA"/>
              </w:rPr>
              <w:t>管理和环境管理的正常运作，建立环境管理体系与监测制度是非常必要和重要的，详见下表。</w:t>
            </w:r>
          </w:p>
          <w:p w14:paraId="73C5E86B">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kern w:val="2"/>
                <w:sz w:val="21"/>
                <w:szCs w:val="21"/>
                <w:u w:val="single"/>
                <w:lang w:val="en-US" w:eastAsia="zh-CN" w:bidi="ar-SA"/>
              </w:rPr>
            </w:pPr>
            <w:r>
              <w:rPr>
                <w:rFonts w:hint="default" w:ascii="Times New Roman" w:hAnsi="Times New Roman" w:cs="Times New Roman"/>
                <w:b/>
                <w:bCs/>
                <w:kern w:val="2"/>
                <w:sz w:val="21"/>
                <w:szCs w:val="21"/>
                <w:u w:val="none"/>
                <w:lang w:val="en-US" w:eastAsia="zh-CN" w:bidi="ar-SA"/>
              </w:rPr>
              <w:t>表4-2</w:t>
            </w:r>
            <w:r>
              <w:rPr>
                <w:rFonts w:hint="eastAsia" w:cs="Times New Roman"/>
                <w:b/>
                <w:bCs/>
                <w:kern w:val="2"/>
                <w:sz w:val="21"/>
                <w:szCs w:val="21"/>
                <w:u w:val="none"/>
                <w:lang w:val="en-US" w:eastAsia="zh-CN" w:bidi="ar-SA"/>
              </w:rPr>
              <w:t>9</w:t>
            </w:r>
            <w:r>
              <w:rPr>
                <w:rFonts w:hint="default" w:ascii="Times New Roman" w:hAnsi="Times New Roman" w:cs="Times New Roman"/>
                <w:b/>
                <w:bCs/>
                <w:kern w:val="2"/>
                <w:sz w:val="21"/>
                <w:szCs w:val="21"/>
                <w:u w:val="none"/>
                <w:lang w:val="en-US" w:eastAsia="zh-CN" w:bidi="ar-SA"/>
              </w:rPr>
              <w:t xml:space="preserve"> 环境管理内容一览表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6970"/>
              <w:gridCol w:w="890"/>
            </w:tblGrid>
            <w:tr w14:paraId="44DC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14:paraId="152BDF2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bCs/>
                      <w:color w:val="000000"/>
                      <w:sz w:val="21"/>
                      <w:szCs w:val="21"/>
                    </w:rPr>
                    <w:t>情况</w:t>
                  </w:r>
                </w:p>
              </w:tc>
              <w:tc>
                <w:tcPr>
                  <w:tcW w:w="6970" w:type="dxa"/>
                  <w:vAlign w:val="center"/>
                </w:tcPr>
                <w:p w14:paraId="19BF8848">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bCs/>
                      <w:color w:val="000000"/>
                      <w:sz w:val="21"/>
                      <w:szCs w:val="21"/>
                    </w:rPr>
                    <w:t>环境管理工作内容</w:t>
                  </w:r>
                </w:p>
              </w:tc>
              <w:tc>
                <w:tcPr>
                  <w:tcW w:w="890" w:type="dxa"/>
                  <w:vAlign w:val="center"/>
                </w:tcPr>
                <w:p w14:paraId="41353E81">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bCs/>
                      <w:color w:val="000000"/>
                      <w:sz w:val="21"/>
                      <w:szCs w:val="21"/>
                    </w:rPr>
                    <w:t>备注</w:t>
                  </w:r>
                </w:p>
              </w:tc>
            </w:tr>
            <w:tr w14:paraId="6DA2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14:paraId="3013DC8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医院环境管理总要求</w:t>
                  </w:r>
                </w:p>
              </w:tc>
              <w:tc>
                <w:tcPr>
                  <w:tcW w:w="6970" w:type="dxa"/>
                  <w:vAlign w:val="center"/>
                </w:tcPr>
                <w:p w14:paraId="2FD1A19A">
                  <w:pPr>
                    <w:keepNext w:val="0"/>
                    <w:keepLines w:val="0"/>
                    <w:pageBreakBefore w:val="0"/>
                    <w:widowControl w:val="0"/>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根据国家建设项目环境保护管理规定，认真落实各项环保手续：</w:t>
                  </w:r>
                </w:p>
                <w:p w14:paraId="17900ECA">
                  <w:pPr>
                    <w:keepNext w:val="0"/>
                    <w:keepLines w:val="0"/>
                    <w:pageBreakBefore w:val="0"/>
                    <w:widowControl w:val="0"/>
                    <w:numPr>
                      <w:ilvl w:val="0"/>
                      <w:numId w:val="7"/>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委托评价单位进行环境影响评价工作。</w:t>
                  </w:r>
                </w:p>
                <w:p w14:paraId="2750315B">
                  <w:pPr>
                    <w:keepNext w:val="0"/>
                    <w:keepLines w:val="0"/>
                    <w:pageBreakBefore w:val="0"/>
                    <w:widowControl w:val="0"/>
                    <w:numPr>
                      <w:ilvl w:val="0"/>
                      <w:numId w:val="7"/>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依据环评报告及审批部门意见做好环保设施及其他整改意见。</w:t>
                  </w:r>
                </w:p>
                <w:p w14:paraId="029099ED">
                  <w:pPr>
                    <w:keepNext w:val="0"/>
                    <w:keepLines w:val="0"/>
                    <w:pageBreakBefore w:val="0"/>
                    <w:widowControl w:val="0"/>
                    <w:numPr>
                      <w:ilvl w:val="0"/>
                      <w:numId w:val="7"/>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正式</w:t>
                  </w:r>
                  <w:r>
                    <w:rPr>
                      <w:rFonts w:hint="eastAsia" w:ascii="Times New Roman" w:hAnsi="Times New Roman" w:eastAsia="宋体" w:cs="Times New Roman"/>
                      <w:b w:val="0"/>
                      <w:bCs w:val="0"/>
                      <w:color w:val="000000"/>
                      <w:sz w:val="21"/>
                      <w:szCs w:val="21"/>
                      <w:lang w:val="en-US" w:eastAsia="zh-CN"/>
                    </w:rPr>
                    <w:t>运营</w:t>
                  </w:r>
                  <w:r>
                    <w:rPr>
                      <w:rFonts w:hint="default" w:ascii="Times New Roman" w:hAnsi="Times New Roman" w:eastAsia="宋体" w:cs="Times New Roman"/>
                      <w:b w:val="0"/>
                      <w:bCs w:val="0"/>
                      <w:color w:val="000000"/>
                      <w:sz w:val="21"/>
                      <w:szCs w:val="21"/>
                    </w:rPr>
                    <w:t>后，进行环保设施竣工验收。</w:t>
                  </w:r>
                </w:p>
                <w:p w14:paraId="27B60899">
                  <w:pPr>
                    <w:keepNext w:val="0"/>
                    <w:keepLines w:val="0"/>
                    <w:pageBreakBefore w:val="0"/>
                    <w:widowControl w:val="0"/>
                    <w:numPr>
                      <w:ilvl w:val="0"/>
                      <w:numId w:val="7"/>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eastAsia" w:ascii="Times New Roman" w:hAnsi="Times New Roman" w:eastAsia="宋体" w:cs="Times New Roman"/>
                      <w:b w:val="0"/>
                      <w:bCs w:val="0"/>
                      <w:color w:val="000000"/>
                      <w:sz w:val="21"/>
                      <w:szCs w:val="21"/>
                      <w:lang w:val="en-US" w:eastAsia="zh-CN"/>
                    </w:rPr>
                    <w:t>运营</w:t>
                  </w:r>
                  <w:r>
                    <w:rPr>
                      <w:rFonts w:hint="default" w:ascii="Times New Roman" w:hAnsi="Times New Roman" w:eastAsia="宋体" w:cs="Times New Roman"/>
                      <w:b w:val="0"/>
                      <w:bCs w:val="0"/>
                      <w:color w:val="000000"/>
                      <w:sz w:val="21"/>
                      <w:szCs w:val="21"/>
                    </w:rPr>
                    <w:t>中，定期请当地环保部门监督、检查，协助主管部门做好环境管理工作，对不达标装置及时整改。</w:t>
                  </w:r>
                </w:p>
                <w:p w14:paraId="1192B4FD">
                  <w:pPr>
                    <w:keepNext w:val="0"/>
                    <w:keepLines w:val="0"/>
                    <w:pageBreakBefore w:val="0"/>
                    <w:widowControl w:val="0"/>
                    <w:numPr>
                      <w:ilvl w:val="0"/>
                      <w:numId w:val="7"/>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配合</w:t>
                  </w:r>
                  <w:r>
                    <w:rPr>
                      <w:rFonts w:hint="default" w:ascii="Times New Roman" w:hAnsi="Times New Roman" w:cs="Times New Roman"/>
                      <w:b w:val="0"/>
                      <w:bCs w:val="0"/>
                      <w:color w:val="000000"/>
                      <w:sz w:val="21"/>
                      <w:szCs w:val="21"/>
                      <w:lang w:val="en-US" w:eastAsia="zh-CN"/>
                    </w:rPr>
                    <w:t>检测公司</w:t>
                  </w:r>
                  <w:r>
                    <w:rPr>
                      <w:rFonts w:hint="default" w:ascii="Times New Roman" w:hAnsi="Times New Roman" w:eastAsia="宋体" w:cs="Times New Roman"/>
                      <w:b w:val="0"/>
                      <w:bCs w:val="0"/>
                      <w:color w:val="000000"/>
                      <w:sz w:val="21"/>
                      <w:szCs w:val="21"/>
                    </w:rPr>
                    <w:t>搞好监测工作。</w:t>
                  </w:r>
                </w:p>
              </w:tc>
              <w:tc>
                <w:tcPr>
                  <w:tcW w:w="890" w:type="dxa"/>
                  <w:vAlign w:val="center"/>
                </w:tcPr>
                <w:p w14:paraId="32CAF8D5">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cs="Times New Roman"/>
                      <w:kern w:val="2"/>
                      <w:sz w:val="21"/>
                      <w:szCs w:val="21"/>
                      <w:u w:val="none"/>
                      <w:vertAlign w:val="baseline"/>
                      <w:lang w:val="en-US" w:eastAsia="zh-CN" w:bidi="ar-SA"/>
                    </w:rPr>
                    <w:t>/</w:t>
                  </w:r>
                </w:p>
              </w:tc>
            </w:tr>
            <w:tr w14:paraId="07B4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14:paraId="35D3A32F">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设计</w:t>
                  </w:r>
                </w:p>
              </w:tc>
              <w:tc>
                <w:tcPr>
                  <w:tcW w:w="6970" w:type="dxa"/>
                  <w:vAlign w:val="center"/>
                </w:tcPr>
                <w:p w14:paraId="023B34A1">
                  <w:pPr>
                    <w:keepNext w:val="0"/>
                    <w:keepLines w:val="0"/>
                    <w:pageBreakBefore w:val="0"/>
                    <w:widowControl w:val="0"/>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设计中应充分考虑批复后环评报告表中提出的污染防范设施和措施：</w:t>
                  </w:r>
                </w:p>
                <w:p w14:paraId="7648C926">
                  <w:pPr>
                    <w:keepNext w:val="0"/>
                    <w:keepLines w:val="0"/>
                    <w:pageBreakBefore w:val="0"/>
                    <w:widowControl w:val="0"/>
                    <w:numPr>
                      <w:ilvl w:val="0"/>
                      <w:numId w:val="8"/>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根据环评报告表的要求补充与完善环境和风险防范设施；</w:t>
                  </w:r>
                </w:p>
                <w:p w14:paraId="6F6F3A32">
                  <w:pPr>
                    <w:keepNext w:val="0"/>
                    <w:keepLines w:val="0"/>
                    <w:pageBreakBefore w:val="0"/>
                    <w:widowControl w:val="0"/>
                    <w:numPr>
                      <w:ilvl w:val="0"/>
                      <w:numId w:val="8"/>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设计部门应充分调研，比较提出先进、合理的环境与风险防范设备和设施。</w:t>
                  </w:r>
                </w:p>
              </w:tc>
              <w:tc>
                <w:tcPr>
                  <w:tcW w:w="890" w:type="dxa"/>
                  <w:vAlign w:val="center"/>
                </w:tcPr>
                <w:p w14:paraId="6ED45B4B">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相关措施的补充与完善</w:t>
                  </w:r>
                </w:p>
              </w:tc>
            </w:tr>
            <w:tr w14:paraId="4555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14:paraId="086F523A">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生产运营阶段</w:t>
                  </w:r>
                </w:p>
              </w:tc>
              <w:tc>
                <w:tcPr>
                  <w:tcW w:w="6970" w:type="dxa"/>
                  <w:vAlign w:val="center"/>
                </w:tcPr>
                <w:p w14:paraId="3B9DD0B0">
                  <w:pPr>
                    <w:keepNext w:val="0"/>
                    <w:keepLines w:val="0"/>
                    <w:pageBreakBefore w:val="0"/>
                    <w:widowControl w:val="0"/>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保证环境与风险防范设施的正常运行，主动接受地方和上级环保部门监督与检查，备有事故应急措施：</w:t>
                  </w:r>
                </w:p>
                <w:p w14:paraId="2F11C6AE">
                  <w:pPr>
                    <w:keepNext w:val="0"/>
                    <w:keepLines w:val="0"/>
                    <w:pageBreakBefore w:val="0"/>
                    <w:widowControl w:val="0"/>
                    <w:numPr>
                      <w:ilvl w:val="0"/>
                      <w:numId w:val="9"/>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主管副经理要主动负责环保工作。</w:t>
                  </w:r>
                </w:p>
                <w:p w14:paraId="7043A0F5">
                  <w:pPr>
                    <w:keepNext w:val="0"/>
                    <w:keepLines w:val="0"/>
                    <w:pageBreakBefore w:val="0"/>
                    <w:widowControl w:val="0"/>
                    <w:numPr>
                      <w:ilvl w:val="0"/>
                      <w:numId w:val="9"/>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eastAsia" w:ascii="Times New Roman" w:hAnsi="Times New Roman" w:eastAsia="宋体" w:cs="Times New Roman"/>
                      <w:b w:val="0"/>
                      <w:bCs w:val="0"/>
                      <w:color w:val="000000"/>
                      <w:sz w:val="21"/>
                      <w:szCs w:val="21"/>
                      <w:lang w:val="en-US" w:eastAsia="zh-CN"/>
                    </w:rPr>
                    <w:t>院内</w:t>
                  </w:r>
                  <w:r>
                    <w:rPr>
                      <w:rFonts w:hint="default" w:ascii="Times New Roman" w:hAnsi="Times New Roman" w:eastAsia="宋体" w:cs="Times New Roman"/>
                      <w:b w:val="0"/>
                      <w:bCs w:val="0"/>
                      <w:color w:val="000000"/>
                      <w:sz w:val="21"/>
                      <w:szCs w:val="21"/>
                    </w:rPr>
                    <w:t>环保科负责厂内环保设施的管理和维护。</w:t>
                  </w:r>
                </w:p>
                <w:p w14:paraId="4DF00197">
                  <w:pPr>
                    <w:keepNext w:val="0"/>
                    <w:keepLines w:val="0"/>
                    <w:pageBreakBefore w:val="0"/>
                    <w:widowControl w:val="0"/>
                    <w:numPr>
                      <w:ilvl w:val="0"/>
                      <w:numId w:val="9"/>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定期组织污染源和</w:t>
                  </w:r>
                  <w:r>
                    <w:rPr>
                      <w:rFonts w:hint="eastAsia" w:ascii="Times New Roman" w:hAnsi="Times New Roman" w:eastAsia="宋体" w:cs="Times New Roman"/>
                      <w:b w:val="0"/>
                      <w:bCs w:val="0"/>
                      <w:color w:val="000000"/>
                      <w:sz w:val="21"/>
                      <w:szCs w:val="21"/>
                      <w:lang w:val="en-US" w:eastAsia="zh-CN"/>
                    </w:rPr>
                    <w:t>院区</w:t>
                  </w:r>
                  <w:r>
                    <w:rPr>
                      <w:rFonts w:hint="default" w:ascii="Times New Roman" w:hAnsi="Times New Roman" w:eastAsia="宋体" w:cs="Times New Roman"/>
                      <w:b w:val="0"/>
                      <w:bCs w:val="0"/>
                      <w:color w:val="000000"/>
                      <w:sz w:val="21"/>
                      <w:szCs w:val="21"/>
                    </w:rPr>
                    <w:t>环境监测。</w:t>
                  </w:r>
                </w:p>
                <w:p w14:paraId="270C732C">
                  <w:pPr>
                    <w:keepNext w:val="0"/>
                    <w:keepLines w:val="0"/>
                    <w:pageBreakBefore w:val="0"/>
                    <w:widowControl w:val="0"/>
                    <w:numPr>
                      <w:ilvl w:val="0"/>
                      <w:numId w:val="9"/>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eastAsia="宋体" w:cs="Times New Roman"/>
                      <w:b w:val="0"/>
                      <w:bCs w:val="0"/>
                      <w:color w:val="000000"/>
                      <w:sz w:val="21"/>
                      <w:szCs w:val="21"/>
                    </w:rPr>
                    <w:t>风险事故应急方案合理，应急设备设施齐备、完好。</w:t>
                  </w:r>
                </w:p>
              </w:tc>
              <w:tc>
                <w:tcPr>
                  <w:tcW w:w="890" w:type="dxa"/>
                  <w:vAlign w:val="center"/>
                </w:tcPr>
                <w:p w14:paraId="531F23ED">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cs="Times New Roman"/>
                      <w:kern w:val="2"/>
                      <w:sz w:val="21"/>
                      <w:szCs w:val="21"/>
                      <w:u w:val="none"/>
                      <w:vertAlign w:val="baseline"/>
                      <w:lang w:val="en-US" w:eastAsia="zh-CN" w:bidi="ar-SA"/>
                    </w:rPr>
                    <w:t>/</w:t>
                  </w:r>
                </w:p>
              </w:tc>
            </w:tr>
            <w:tr w14:paraId="1D306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14:paraId="11486554">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信息反馈和群众监督</w:t>
                  </w:r>
                </w:p>
              </w:tc>
              <w:tc>
                <w:tcPr>
                  <w:tcW w:w="6970" w:type="dxa"/>
                  <w:vAlign w:val="center"/>
                </w:tcPr>
                <w:p w14:paraId="741EEC8B">
                  <w:pPr>
                    <w:keepNext w:val="0"/>
                    <w:keepLines w:val="0"/>
                    <w:pageBreakBefore w:val="0"/>
                    <w:widowControl w:val="0"/>
                    <w:numPr>
                      <w:ilvl w:val="0"/>
                      <w:numId w:val="10"/>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及时反馈监测数据，加强群众监督，改进污染治理工作。</w:t>
                  </w:r>
                </w:p>
                <w:p w14:paraId="461C24D2">
                  <w:pPr>
                    <w:keepNext w:val="0"/>
                    <w:keepLines w:val="0"/>
                    <w:pageBreakBefore w:val="0"/>
                    <w:widowControl w:val="0"/>
                    <w:numPr>
                      <w:ilvl w:val="0"/>
                      <w:numId w:val="10"/>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建立奖惩制度，保证环境与风险防范设施正常运转。</w:t>
                  </w:r>
                </w:p>
                <w:p w14:paraId="5CD6FF2C">
                  <w:pPr>
                    <w:keepNext w:val="0"/>
                    <w:keepLines w:val="0"/>
                    <w:pageBreakBefore w:val="0"/>
                    <w:widowControl w:val="0"/>
                    <w:numPr>
                      <w:ilvl w:val="0"/>
                      <w:numId w:val="10"/>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归纳整理监测数据，技术部门配合进行工艺改进。</w:t>
                  </w:r>
                </w:p>
                <w:p w14:paraId="158BF364">
                  <w:pPr>
                    <w:keepNext w:val="0"/>
                    <w:keepLines w:val="0"/>
                    <w:pageBreakBefore w:val="0"/>
                    <w:widowControl w:val="0"/>
                    <w:numPr>
                      <w:ilvl w:val="0"/>
                      <w:numId w:val="10"/>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聘请附近群众为监督员，收集附近群众意见。</w:t>
                  </w:r>
                </w:p>
                <w:p w14:paraId="309AD273">
                  <w:pPr>
                    <w:keepNext w:val="0"/>
                    <w:keepLines w:val="0"/>
                    <w:pageBreakBefore w:val="0"/>
                    <w:widowControl w:val="0"/>
                    <w:numPr>
                      <w:ilvl w:val="0"/>
                      <w:numId w:val="10"/>
                    </w:numPr>
                    <w:kinsoku/>
                    <w:wordWrap/>
                    <w:overflowPunct/>
                    <w:topLinePunct w:val="0"/>
                    <w:autoSpaceDE/>
                    <w:autoSpaceDN/>
                    <w:bidi w:val="0"/>
                    <w:adjustRightInd w:val="0"/>
                    <w:snapToGrid w:val="0"/>
                    <w:spacing w:before="60" w:after="60" w:line="240" w:lineRule="auto"/>
                    <w:jc w:val="left"/>
                    <w:textAlignment w:val="auto"/>
                    <w:rPr>
                      <w:rFonts w:hint="default" w:ascii="Times New Roman" w:hAnsi="Times New Roman" w:eastAsia="宋体" w:cs="Times New Roman"/>
                      <w:b w:val="0"/>
                      <w:bCs w:val="0"/>
                      <w:color w:val="000000"/>
                      <w:sz w:val="21"/>
                      <w:szCs w:val="21"/>
                    </w:rPr>
                  </w:pPr>
                  <w:r>
                    <w:rPr>
                      <w:rFonts w:hint="default" w:ascii="Times New Roman" w:hAnsi="Times New Roman" w:eastAsia="宋体" w:cs="Times New Roman"/>
                      <w:b w:val="0"/>
                      <w:bCs w:val="0"/>
                      <w:color w:val="000000"/>
                      <w:sz w:val="21"/>
                      <w:szCs w:val="21"/>
                    </w:rPr>
                    <w:t>组织项目验收并提出整改措施。</w:t>
                  </w:r>
                </w:p>
              </w:tc>
              <w:tc>
                <w:tcPr>
                  <w:tcW w:w="890" w:type="dxa"/>
                  <w:vAlign w:val="center"/>
                </w:tcPr>
                <w:p w14:paraId="6AFFD107">
                  <w:pPr>
                    <w:keepNext w:val="0"/>
                    <w:keepLines w:val="0"/>
                    <w:pageBreakBefore w:val="0"/>
                    <w:widowControl w:val="0"/>
                    <w:kinsoku/>
                    <w:wordWrap/>
                    <w:overflowPunct/>
                    <w:topLinePunct w:val="0"/>
                    <w:autoSpaceDE/>
                    <w:autoSpaceDN/>
                    <w:bidi w:val="0"/>
                    <w:adjustRightInd w:val="0"/>
                    <w:snapToGrid w:val="0"/>
                    <w:spacing w:before="60" w:after="60" w:line="240" w:lineRule="auto"/>
                    <w:jc w:val="center"/>
                    <w:textAlignment w:val="auto"/>
                    <w:rPr>
                      <w:rFonts w:hint="default" w:ascii="Times New Roman" w:hAnsi="Times New Roman" w:eastAsia="宋体" w:cs="Times New Roman"/>
                      <w:kern w:val="2"/>
                      <w:sz w:val="21"/>
                      <w:szCs w:val="21"/>
                      <w:u w:val="single"/>
                      <w:vertAlign w:val="baseline"/>
                      <w:lang w:val="en-US" w:eastAsia="zh-CN" w:bidi="ar-SA"/>
                    </w:rPr>
                  </w:pPr>
                  <w:r>
                    <w:rPr>
                      <w:rFonts w:hint="default" w:ascii="Times New Roman" w:hAnsi="Times New Roman" w:cs="Times New Roman"/>
                      <w:kern w:val="2"/>
                      <w:sz w:val="21"/>
                      <w:szCs w:val="21"/>
                      <w:u w:val="none"/>
                      <w:vertAlign w:val="baseline"/>
                      <w:lang w:val="en-US" w:eastAsia="zh-CN" w:bidi="ar-SA"/>
                    </w:rPr>
                    <w:t>/</w:t>
                  </w:r>
                </w:p>
              </w:tc>
            </w:tr>
          </w:tbl>
          <w:p w14:paraId="52820F41">
            <w:pPr>
              <w:pStyle w:val="11"/>
              <w:numPr>
                <w:ilvl w:val="0"/>
                <w:numId w:val="0"/>
              </w:numPr>
              <w:ind w:right="113" w:rightChars="0"/>
              <w:rPr>
                <w:rFonts w:hint="default" w:ascii="Times New Roman" w:hAnsi="Times New Roman" w:cs="Times New Roman"/>
                <w:b/>
                <w:bCs/>
                <w:sz w:val="24"/>
                <w:szCs w:val="24"/>
                <w:u w:val="none"/>
                <w:lang w:val="en-US" w:eastAsia="zh-CN"/>
              </w:rPr>
            </w:pPr>
            <w:r>
              <w:rPr>
                <w:rFonts w:hint="default" w:ascii="Times New Roman" w:hAnsi="Times New Roman" w:cs="Times New Roman"/>
                <w:b/>
                <w:bCs/>
                <w:sz w:val="24"/>
                <w:szCs w:val="24"/>
                <w:lang w:val="en-US" w:eastAsia="zh-CN"/>
              </w:rPr>
              <w:t>8、</w:t>
            </w:r>
            <w:r>
              <w:rPr>
                <w:rFonts w:hint="default" w:ascii="Times New Roman" w:hAnsi="Times New Roman" w:cs="Times New Roman"/>
                <w:b/>
                <w:bCs/>
                <w:sz w:val="24"/>
                <w:szCs w:val="24"/>
                <w:u w:val="none"/>
                <w:lang w:val="en-US" w:eastAsia="zh-CN"/>
              </w:rPr>
              <w:t>企业排污口规范化整治</w:t>
            </w:r>
          </w:p>
          <w:p w14:paraId="153B7427">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32"/>
                <w:u w:val="none"/>
                <w:lang w:val="en-US" w:eastAsia="zh-CN" w:bidi="ar-SA"/>
              </w:rPr>
            </w:pPr>
            <w:r>
              <w:rPr>
                <w:rFonts w:hint="default" w:ascii="Times New Roman" w:hAnsi="Times New Roman" w:eastAsia="宋体" w:cs="Times New Roman"/>
                <w:color w:val="auto"/>
                <w:kern w:val="2"/>
                <w:sz w:val="24"/>
                <w:szCs w:val="32"/>
                <w:u w:val="none"/>
                <w:lang w:val="en-US" w:eastAsia="zh-CN" w:bidi="ar-SA"/>
              </w:rPr>
              <w:t>①排污口标识规范化管理</w:t>
            </w:r>
          </w:p>
          <w:p w14:paraId="31760C61">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32"/>
                <w:u w:val="none"/>
                <w:lang w:val="en-US" w:eastAsia="zh-CN" w:bidi="ar-SA"/>
              </w:rPr>
            </w:pPr>
            <w:r>
              <w:rPr>
                <w:rFonts w:hint="default" w:ascii="Times New Roman" w:hAnsi="Times New Roman" w:eastAsia="宋体" w:cs="Times New Roman"/>
                <w:color w:val="auto"/>
                <w:kern w:val="2"/>
                <w:sz w:val="24"/>
                <w:szCs w:val="32"/>
                <w:u w:val="none"/>
                <w:lang w:val="en-US" w:eastAsia="zh-CN" w:bidi="ar-SA"/>
              </w:rPr>
              <w:t>按照《“环境保护图形标志”实施细则》、《环境保护图形标志-排放口（源）》（GB15562.1-1995）、《环境保护图形标志-固体废物贮存（处置）场》（GB15562. 2-1995及2023修改单）、《危险废物识别标志设置技术规范》（HJ1276-2022）等相关技术规范要求，在污染源排放口、危废暂存设施、一般固废暂存间醒目处设置环保图形标志牌。</w:t>
            </w:r>
          </w:p>
          <w:p w14:paraId="0AA5D7B2">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32"/>
                <w:u w:val="none"/>
                <w:lang w:val="en-US" w:eastAsia="zh-CN" w:bidi="ar-SA"/>
              </w:rPr>
            </w:pPr>
            <w:r>
              <w:rPr>
                <w:rFonts w:hint="default" w:ascii="Times New Roman" w:hAnsi="Times New Roman" w:eastAsia="宋体" w:cs="Times New Roman"/>
                <w:color w:val="auto"/>
                <w:kern w:val="2"/>
                <w:sz w:val="24"/>
                <w:szCs w:val="32"/>
                <w:u w:val="none"/>
                <w:lang w:val="en-US" w:eastAsia="zh-CN" w:bidi="ar-SA"/>
              </w:rPr>
              <w:t>排放一般污染物排污口（源），设置提示牌标志牌，排放有毒有害等污染物的排污口设置警告式标志牌。标志牌设置位置在排污口（采样点）附近且醒目处，规范化排污口的有关设置（如图形标志牌、计量装置、监控装置等）属环保设施，排污单位必须负责日常的维护保养，任何单位和个人不得擅自拆除，如需变更的须报环境监理部门同意并办理变更手续。</w:t>
            </w:r>
          </w:p>
          <w:p w14:paraId="22C1B21E">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32"/>
                <w:u w:val="none"/>
                <w:lang w:val="en-US" w:eastAsia="zh-CN" w:bidi="ar-SA"/>
              </w:rPr>
            </w:pPr>
            <w:r>
              <w:rPr>
                <w:rFonts w:hint="default" w:ascii="Times New Roman" w:hAnsi="Times New Roman" w:eastAsia="宋体" w:cs="Times New Roman"/>
                <w:color w:val="auto"/>
                <w:kern w:val="2"/>
                <w:sz w:val="24"/>
                <w:szCs w:val="32"/>
                <w:u w:val="none"/>
                <w:lang w:val="en-US" w:eastAsia="zh-CN" w:bidi="ar-SA"/>
              </w:rPr>
              <w:t>②排污口建档管理</w:t>
            </w:r>
          </w:p>
          <w:p w14:paraId="0FE17DF7">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firstLine="480" w:firstLineChars="200"/>
              <w:textAlignment w:val="auto"/>
              <w:rPr>
                <w:rFonts w:hint="default" w:ascii="Times New Roman" w:hAnsi="Times New Roman" w:eastAsia="宋体" w:cs="Times New Roman"/>
                <w:color w:val="auto"/>
                <w:kern w:val="2"/>
                <w:sz w:val="24"/>
                <w:szCs w:val="32"/>
                <w:u w:val="single"/>
                <w:lang w:val="en-US" w:eastAsia="zh-CN" w:bidi="ar-SA"/>
              </w:rPr>
            </w:pPr>
            <w:r>
              <w:rPr>
                <w:rFonts w:hint="default" w:ascii="Times New Roman" w:hAnsi="Times New Roman" w:eastAsia="宋体" w:cs="Times New Roman"/>
                <w:color w:val="auto"/>
                <w:kern w:val="2"/>
                <w:sz w:val="24"/>
                <w:szCs w:val="32"/>
                <w:u w:val="none"/>
                <w:lang w:val="en-US" w:eastAsia="zh-CN" w:bidi="ar-SA"/>
              </w:rPr>
              <w:t>根据排污口管理内容要求，项目建成投产后，建设单位应把有关排污情况如排污口的性质、编号、排污口位置以及主要排放的污染物种类、数量、浓度、排放规律、排放走向及污染治理设施的运行情况建档管理，并报送生态环境管理部门备案。具体标识见下表。</w:t>
            </w:r>
          </w:p>
          <w:p w14:paraId="3D26177E">
            <w:pPr>
              <w:spacing w:line="360" w:lineRule="auto"/>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表4-</w:t>
            </w:r>
            <w:r>
              <w:rPr>
                <w:rFonts w:hint="eastAsia" w:cs="Times New Roman"/>
                <w:b/>
                <w:bCs/>
                <w:lang w:val="en-US" w:eastAsia="zh-CN"/>
              </w:rPr>
              <w:t>30</w:t>
            </w:r>
            <w:r>
              <w:rPr>
                <w:rFonts w:hint="default" w:ascii="Times New Roman" w:hAnsi="Times New Roman" w:cs="Times New Roman"/>
                <w:b/>
                <w:bCs/>
                <w:lang w:val="en-US" w:eastAsia="zh-CN"/>
              </w:rPr>
              <w:t xml:space="preserve"> 环境保护图形一览表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6"/>
              <w:gridCol w:w="2866"/>
              <w:gridCol w:w="2866"/>
            </w:tblGrid>
            <w:tr w14:paraId="512A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5746D02D">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b/>
                      <w:bCs/>
                      <w:color w:val="auto"/>
                      <w:sz w:val="21"/>
                      <w:szCs w:val="21"/>
                      <w:highlight w:val="none"/>
                      <w:u w:val="none" w:color="auto"/>
                    </w:rPr>
                    <w:t>雨水排放口</w:t>
                  </w:r>
                </w:p>
              </w:tc>
              <w:tc>
                <w:tcPr>
                  <w:tcW w:w="2866" w:type="dxa"/>
                  <w:vAlign w:val="center"/>
                </w:tcPr>
                <w:p w14:paraId="157747A7">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b/>
                      <w:bCs/>
                      <w:color w:val="auto"/>
                      <w:sz w:val="21"/>
                      <w:szCs w:val="21"/>
                      <w:highlight w:val="none"/>
                      <w:u w:val="none" w:color="auto"/>
                    </w:rPr>
                    <w:t>污水排放口</w:t>
                  </w:r>
                </w:p>
              </w:tc>
              <w:tc>
                <w:tcPr>
                  <w:tcW w:w="2866" w:type="dxa"/>
                  <w:vAlign w:val="center"/>
                </w:tcPr>
                <w:p w14:paraId="70F87345">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b/>
                      <w:bCs/>
                      <w:color w:val="auto"/>
                      <w:sz w:val="21"/>
                      <w:szCs w:val="21"/>
                      <w:highlight w:val="none"/>
                      <w:u w:val="none" w:color="auto"/>
                    </w:rPr>
                    <w:t>一般固体废物</w:t>
                  </w:r>
                </w:p>
              </w:tc>
            </w:tr>
            <w:tr w14:paraId="7872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16667CE4">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drawing>
                      <wp:inline distT="0" distB="0" distL="114300" distR="114300">
                        <wp:extent cx="1363980" cy="824865"/>
                        <wp:effectExtent l="0" t="0" r="7620" b="13335"/>
                        <wp:docPr id="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
                                <pic:cNvPicPr>
                                  <a:picLocks noChangeAspect="1"/>
                                </pic:cNvPicPr>
                              </pic:nvPicPr>
                              <pic:blipFill>
                                <a:blip r:embed="rId18"/>
                                <a:stretch>
                                  <a:fillRect/>
                                </a:stretch>
                              </pic:blipFill>
                              <pic:spPr>
                                <a:xfrm>
                                  <a:off x="0" y="0"/>
                                  <a:ext cx="1363980" cy="824865"/>
                                </a:xfrm>
                                <a:prstGeom prst="rect">
                                  <a:avLst/>
                                </a:prstGeom>
                                <a:noFill/>
                                <a:ln>
                                  <a:noFill/>
                                </a:ln>
                              </pic:spPr>
                            </pic:pic>
                          </a:graphicData>
                        </a:graphic>
                      </wp:inline>
                    </w:drawing>
                  </w:r>
                </w:p>
              </w:tc>
              <w:tc>
                <w:tcPr>
                  <w:tcW w:w="2866" w:type="dxa"/>
                  <w:vAlign w:val="center"/>
                </w:tcPr>
                <w:p w14:paraId="35547AC1">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drawing>
                      <wp:inline distT="0" distB="0" distL="114300" distR="114300">
                        <wp:extent cx="1376680" cy="832485"/>
                        <wp:effectExtent l="0" t="0" r="13970" b="5715"/>
                        <wp:docPr id="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
                                <pic:cNvPicPr>
                                  <a:picLocks noChangeAspect="1"/>
                                </pic:cNvPicPr>
                              </pic:nvPicPr>
                              <pic:blipFill>
                                <a:blip r:embed="rId19"/>
                                <a:stretch>
                                  <a:fillRect/>
                                </a:stretch>
                              </pic:blipFill>
                              <pic:spPr>
                                <a:xfrm>
                                  <a:off x="0" y="0"/>
                                  <a:ext cx="1376680" cy="832485"/>
                                </a:xfrm>
                                <a:prstGeom prst="rect">
                                  <a:avLst/>
                                </a:prstGeom>
                                <a:noFill/>
                                <a:ln>
                                  <a:noFill/>
                                </a:ln>
                              </pic:spPr>
                            </pic:pic>
                          </a:graphicData>
                        </a:graphic>
                      </wp:inline>
                    </w:drawing>
                  </w:r>
                </w:p>
              </w:tc>
              <w:tc>
                <w:tcPr>
                  <w:tcW w:w="2866" w:type="dxa"/>
                  <w:vAlign w:val="center"/>
                </w:tcPr>
                <w:p w14:paraId="28BD05BC">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drawing>
                      <wp:inline distT="0" distB="0" distL="114300" distR="114300">
                        <wp:extent cx="1350645" cy="815340"/>
                        <wp:effectExtent l="0" t="0" r="1905" b="3810"/>
                        <wp:docPr id="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
                                <pic:cNvPicPr>
                                  <a:picLocks noChangeAspect="1"/>
                                </pic:cNvPicPr>
                              </pic:nvPicPr>
                              <pic:blipFill>
                                <a:blip r:embed="rId20"/>
                                <a:stretch>
                                  <a:fillRect/>
                                </a:stretch>
                              </pic:blipFill>
                              <pic:spPr>
                                <a:xfrm>
                                  <a:off x="0" y="0"/>
                                  <a:ext cx="1350645" cy="815340"/>
                                </a:xfrm>
                                <a:prstGeom prst="rect">
                                  <a:avLst/>
                                </a:prstGeom>
                                <a:noFill/>
                                <a:ln>
                                  <a:noFill/>
                                </a:ln>
                              </pic:spPr>
                            </pic:pic>
                          </a:graphicData>
                        </a:graphic>
                      </wp:inline>
                    </w:drawing>
                  </w:r>
                </w:p>
              </w:tc>
            </w:tr>
            <w:tr w14:paraId="437B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22AA87DA">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t>正方形边框</w:t>
                  </w:r>
                  <w:r>
                    <w:rPr>
                      <w:rFonts w:hint="eastAsia" w:ascii="Times New Roman" w:hAnsi="Times New Roman" w:eastAsia="宋体" w:cs="Times New Roman"/>
                      <w:color w:val="auto"/>
                      <w:sz w:val="21"/>
                      <w:szCs w:val="21"/>
                      <w:highlight w:val="none"/>
                      <w:u w:val="none" w:color="auto"/>
                      <w:lang w:eastAsia="zh-CN"/>
                    </w:rPr>
                    <w:t>、绿色背景、白色图形</w:t>
                  </w:r>
                </w:p>
              </w:tc>
              <w:tc>
                <w:tcPr>
                  <w:tcW w:w="2866" w:type="dxa"/>
                  <w:vAlign w:val="center"/>
                </w:tcPr>
                <w:p w14:paraId="5068F124">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t>正方形边框</w:t>
                  </w:r>
                  <w:r>
                    <w:rPr>
                      <w:rFonts w:hint="eastAsia" w:ascii="Times New Roman" w:hAnsi="Times New Roman" w:eastAsia="宋体" w:cs="Times New Roman"/>
                      <w:color w:val="auto"/>
                      <w:sz w:val="21"/>
                      <w:szCs w:val="21"/>
                      <w:highlight w:val="none"/>
                      <w:u w:val="none" w:color="auto"/>
                      <w:lang w:eastAsia="zh-CN"/>
                    </w:rPr>
                    <w:t>、绿色背景、白色图形</w:t>
                  </w:r>
                </w:p>
              </w:tc>
              <w:tc>
                <w:tcPr>
                  <w:tcW w:w="2866" w:type="dxa"/>
                  <w:vAlign w:val="center"/>
                </w:tcPr>
                <w:p w14:paraId="07C3D695">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t>正方形边框</w:t>
                  </w:r>
                  <w:r>
                    <w:rPr>
                      <w:rFonts w:hint="eastAsia" w:ascii="Times New Roman" w:hAnsi="Times New Roman" w:eastAsia="宋体" w:cs="Times New Roman"/>
                      <w:color w:val="auto"/>
                      <w:sz w:val="21"/>
                      <w:szCs w:val="21"/>
                      <w:highlight w:val="none"/>
                      <w:u w:val="none" w:color="auto"/>
                      <w:lang w:eastAsia="zh-CN"/>
                    </w:rPr>
                    <w:t>、绿色背景、白色图形</w:t>
                  </w:r>
                </w:p>
              </w:tc>
            </w:tr>
            <w:tr w14:paraId="4C7F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34D849BC">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b/>
                      <w:bCs/>
                      <w:color w:val="auto"/>
                      <w:sz w:val="21"/>
                      <w:szCs w:val="21"/>
                      <w:highlight w:val="none"/>
                      <w:u w:val="none" w:color="auto"/>
                    </w:rPr>
                    <w:t>危险废物</w:t>
                  </w:r>
                </w:p>
              </w:tc>
              <w:tc>
                <w:tcPr>
                  <w:tcW w:w="2866" w:type="dxa"/>
                  <w:vAlign w:val="center"/>
                </w:tcPr>
                <w:p w14:paraId="3487751F">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b/>
                      <w:bCs/>
                      <w:color w:val="auto"/>
                      <w:sz w:val="21"/>
                      <w:szCs w:val="21"/>
                      <w:highlight w:val="none"/>
                      <w:u w:val="none" w:color="auto"/>
                    </w:rPr>
                    <w:t>噪声排放源</w:t>
                  </w:r>
                </w:p>
              </w:tc>
              <w:tc>
                <w:tcPr>
                  <w:tcW w:w="2866" w:type="dxa"/>
                  <w:vAlign w:val="center"/>
                </w:tcPr>
                <w:p w14:paraId="63197975">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b/>
                      <w:bCs/>
                      <w:color w:val="auto"/>
                      <w:sz w:val="21"/>
                      <w:szCs w:val="21"/>
                      <w:highlight w:val="none"/>
                      <w:u w:val="none" w:color="auto"/>
                    </w:rPr>
                    <w:t>废气排放口</w:t>
                  </w:r>
                </w:p>
              </w:tc>
            </w:tr>
            <w:tr w14:paraId="1334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19B7B861">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drawing>
                      <wp:inline distT="0" distB="0" distL="114300" distR="114300">
                        <wp:extent cx="1393190" cy="875665"/>
                        <wp:effectExtent l="0" t="0" r="16510" b="635"/>
                        <wp:docPr id="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5"/>
                                <pic:cNvPicPr>
                                  <a:picLocks noChangeAspect="1"/>
                                </pic:cNvPicPr>
                              </pic:nvPicPr>
                              <pic:blipFill>
                                <a:blip r:embed="rId21"/>
                                <a:stretch>
                                  <a:fillRect/>
                                </a:stretch>
                              </pic:blipFill>
                              <pic:spPr>
                                <a:xfrm>
                                  <a:off x="0" y="0"/>
                                  <a:ext cx="1393190" cy="875665"/>
                                </a:xfrm>
                                <a:prstGeom prst="rect">
                                  <a:avLst/>
                                </a:prstGeom>
                                <a:noFill/>
                                <a:ln>
                                  <a:noFill/>
                                </a:ln>
                              </pic:spPr>
                            </pic:pic>
                          </a:graphicData>
                        </a:graphic>
                      </wp:inline>
                    </w:drawing>
                  </w:r>
                </w:p>
              </w:tc>
              <w:tc>
                <w:tcPr>
                  <w:tcW w:w="2866" w:type="dxa"/>
                  <w:vAlign w:val="center"/>
                </w:tcPr>
                <w:p w14:paraId="2D9F7269">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drawing>
                      <wp:inline distT="0" distB="0" distL="114300" distR="114300">
                        <wp:extent cx="1393825" cy="845185"/>
                        <wp:effectExtent l="0" t="0" r="15875" b="12065"/>
                        <wp:docPr id="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6"/>
                                <pic:cNvPicPr>
                                  <a:picLocks noChangeAspect="1"/>
                                </pic:cNvPicPr>
                              </pic:nvPicPr>
                              <pic:blipFill>
                                <a:blip r:embed="rId22"/>
                                <a:stretch>
                                  <a:fillRect/>
                                </a:stretch>
                              </pic:blipFill>
                              <pic:spPr>
                                <a:xfrm>
                                  <a:off x="0" y="0"/>
                                  <a:ext cx="1393825" cy="845185"/>
                                </a:xfrm>
                                <a:prstGeom prst="rect">
                                  <a:avLst/>
                                </a:prstGeom>
                                <a:noFill/>
                                <a:ln>
                                  <a:noFill/>
                                </a:ln>
                              </pic:spPr>
                            </pic:pic>
                          </a:graphicData>
                        </a:graphic>
                      </wp:inline>
                    </w:drawing>
                  </w:r>
                </w:p>
              </w:tc>
              <w:tc>
                <w:tcPr>
                  <w:tcW w:w="2866" w:type="dxa"/>
                  <w:vAlign w:val="center"/>
                </w:tcPr>
                <w:p w14:paraId="58DCA208">
                  <w:pPr>
                    <w:keepNext w:val="0"/>
                    <w:keepLines w:val="0"/>
                    <w:pageBreakBefore w:val="0"/>
                    <w:widowControl w:val="0"/>
                    <w:suppressLineNumbers w:val="0"/>
                    <w:kinsoku/>
                    <w:wordWrap/>
                    <w:overflowPunct/>
                    <w:topLinePunct w:val="0"/>
                    <w:autoSpaceDE/>
                    <w:autoSpaceDN/>
                    <w:bidi w:val="0"/>
                    <w:adjustRightInd w:val="0"/>
                    <w:snapToGrid/>
                    <w:spacing w:beforeAutospacing="0" w:afterAutospacing="0" w:line="240" w:lineRule="auto"/>
                    <w:ind w:left="0" w:leftChars="0" w:right="0" w:rightChars="0"/>
                    <w:jc w:val="center"/>
                    <w:textAlignment w:val="baseline"/>
                    <w:rPr>
                      <w:rFonts w:hint="default" w:ascii="Times New Roman" w:hAnsi="Times New Roman" w:cs="Times New Roman"/>
                      <w:sz w:val="21"/>
                      <w:szCs w:val="21"/>
                    </w:rPr>
                  </w:pPr>
                  <w:r>
                    <w:rPr>
                      <w:rFonts w:hint="default" w:ascii="Times New Roman" w:hAnsi="Times New Roman" w:eastAsia="宋体" w:cs="Times New Roman"/>
                      <w:color w:val="auto"/>
                      <w:sz w:val="21"/>
                      <w:szCs w:val="21"/>
                      <w:highlight w:val="none"/>
                      <w:u w:val="none" w:color="auto"/>
                    </w:rPr>
                    <w:drawing>
                      <wp:inline distT="0" distB="0" distL="114300" distR="114300">
                        <wp:extent cx="1449705" cy="875665"/>
                        <wp:effectExtent l="0" t="0" r="17145" b="635"/>
                        <wp:docPr id="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7"/>
                                <pic:cNvPicPr>
                                  <a:picLocks noChangeAspect="1"/>
                                </pic:cNvPicPr>
                              </pic:nvPicPr>
                              <pic:blipFill>
                                <a:blip r:embed="rId23"/>
                                <a:stretch>
                                  <a:fillRect/>
                                </a:stretch>
                              </pic:blipFill>
                              <pic:spPr>
                                <a:xfrm>
                                  <a:off x="0" y="0"/>
                                  <a:ext cx="1449705" cy="875665"/>
                                </a:xfrm>
                                <a:prstGeom prst="rect">
                                  <a:avLst/>
                                </a:prstGeom>
                                <a:noFill/>
                                <a:ln>
                                  <a:noFill/>
                                </a:ln>
                              </pic:spPr>
                            </pic:pic>
                          </a:graphicData>
                        </a:graphic>
                      </wp:inline>
                    </w:drawing>
                  </w:r>
                </w:p>
              </w:tc>
            </w:tr>
            <w:tr w14:paraId="14A2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49FEFF5F">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eastAsia" w:ascii="Times New Roman" w:hAnsi="Times New Roman" w:eastAsia="宋体" w:cs="Times New Roman"/>
                      <w:color w:val="auto"/>
                      <w:sz w:val="21"/>
                      <w:szCs w:val="21"/>
                      <w:highlight w:val="none"/>
                      <w:u w:val="none" w:color="auto"/>
                      <w:lang w:eastAsia="zh-CN"/>
                    </w:rPr>
                    <w:t>三角形边框、黄色背景、黑色图形</w:t>
                  </w:r>
                </w:p>
              </w:tc>
              <w:tc>
                <w:tcPr>
                  <w:tcW w:w="2866" w:type="dxa"/>
                  <w:vAlign w:val="center"/>
                </w:tcPr>
                <w:p w14:paraId="7D605188">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vertAlign w:val="baseline"/>
                      <w:lang w:val="en-US" w:eastAsia="zh-CN"/>
                    </w:rPr>
                  </w:pPr>
                  <w:r>
                    <w:rPr>
                      <w:rFonts w:hint="default" w:ascii="Times New Roman" w:hAnsi="Times New Roman" w:eastAsia="宋体" w:cs="Times New Roman"/>
                      <w:color w:val="auto"/>
                      <w:sz w:val="21"/>
                      <w:szCs w:val="21"/>
                      <w:highlight w:val="none"/>
                      <w:u w:val="none" w:color="auto"/>
                    </w:rPr>
                    <w:t>正方形边框</w:t>
                  </w:r>
                  <w:r>
                    <w:rPr>
                      <w:rFonts w:hint="eastAsia" w:ascii="Times New Roman" w:hAnsi="Times New Roman" w:eastAsia="宋体" w:cs="Times New Roman"/>
                      <w:color w:val="auto"/>
                      <w:sz w:val="21"/>
                      <w:szCs w:val="21"/>
                      <w:highlight w:val="none"/>
                      <w:u w:val="none" w:color="auto"/>
                      <w:lang w:eastAsia="zh-CN"/>
                    </w:rPr>
                    <w:t>、绿色背景、白色图形</w:t>
                  </w:r>
                </w:p>
              </w:tc>
              <w:tc>
                <w:tcPr>
                  <w:tcW w:w="2866" w:type="dxa"/>
                  <w:vAlign w:val="center"/>
                </w:tcPr>
                <w:p w14:paraId="7A0540A2">
                  <w:pPr>
                    <w:keepNext w:val="0"/>
                    <w:keepLines w:val="0"/>
                    <w:pageBreakBefore w:val="0"/>
                    <w:widowControl w:val="0"/>
                    <w:suppressLineNumbers w:val="0"/>
                    <w:kinsoku/>
                    <w:wordWrap/>
                    <w:overflowPunct/>
                    <w:topLinePunct w:val="0"/>
                    <w:autoSpaceDE/>
                    <w:autoSpaceDN/>
                    <w:bidi w:val="0"/>
                    <w:adjustRightInd w:val="0"/>
                    <w:snapToGrid/>
                    <w:spacing w:before="60" w:beforeAutospacing="0" w:after="60" w:afterAutospacing="0" w:line="240" w:lineRule="auto"/>
                    <w:ind w:left="0" w:leftChars="0" w:right="0" w:rightChars="0"/>
                    <w:jc w:val="center"/>
                    <w:textAlignment w:val="baseline"/>
                    <w:rPr>
                      <w:rFonts w:hint="default" w:ascii="Times New Roman" w:hAnsi="Times New Roman" w:cs="Times New Roman"/>
                      <w:sz w:val="21"/>
                      <w:szCs w:val="21"/>
                    </w:rPr>
                  </w:pPr>
                  <w:r>
                    <w:rPr>
                      <w:rFonts w:hint="default" w:ascii="Times New Roman" w:hAnsi="Times New Roman" w:eastAsia="宋体" w:cs="Times New Roman"/>
                      <w:color w:val="auto"/>
                      <w:sz w:val="21"/>
                      <w:szCs w:val="21"/>
                      <w:highlight w:val="none"/>
                      <w:u w:val="none" w:color="auto"/>
                    </w:rPr>
                    <w:t>正方形边框</w:t>
                  </w:r>
                  <w:r>
                    <w:rPr>
                      <w:rFonts w:hint="eastAsia" w:ascii="Times New Roman" w:hAnsi="Times New Roman" w:eastAsia="宋体" w:cs="Times New Roman"/>
                      <w:color w:val="auto"/>
                      <w:sz w:val="21"/>
                      <w:szCs w:val="21"/>
                      <w:highlight w:val="none"/>
                      <w:u w:val="none" w:color="auto"/>
                      <w:lang w:eastAsia="zh-CN"/>
                    </w:rPr>
                    <w:t>、绿色背景、白色图形</w:t>
                  </w:r>
                </w:p>
              </w:tc>
            </w:tr>
          </w:tbl>
          <w:p w14:paraId="299F1E73">
            <w:pPr>
              <w:pStyle w:val="11"/>
              <w:numPr>
                <w:ilvl w:val="0"/>
                <w:numId w:val="0"/>
              </w:numPr>
              <w:ind w:right="113" w:rightChars="0"/>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9、环保投资</w:t>
            </w:r>
          </w:p>
          <w:p w14:paraId="26F1C44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color w:val="auto"/>
                <w:sz w:val="21"/>
                <w:szCs w:val="21"/>
                <w:highlight w:val="none"/>
                <w:u w:val="none"/>
                <w:lang w:val="en-US" w:eastAsia="zh-CN"/>
              </w:rPr>
            </w:pPr>
            <w:r>
              <w:rPr>
                <w:rFonts w:hint="default" w:ascii="Times New Roman" w:hAnsi="Times New Roman" w:eastAsia="宋体" w:cs="Times New Roman"/>
                <w:color w:val="auto"/>
                <w:sz w:val="21"/>
                <w:szCs w:val="21"/>
                <w:u w:val="none"/>
                <w:lang w:val="en-US" w:eastAsia="zh-CN"/>
              </w:rPr>
              <w:t>本项目</w:t>
            </w:r>
            <w:r>
              <w:rPr>
                <w:rFonts w:hint="default" w:ascii="Times New Roman" w:hAnsi="Times New Roman" w:cs="Times New Roman"/>
                <w:color w:val="auto"/>
                <w:sz w:val="21"/>
                <w:szCs w:val="21"/>
                <w:highlight w:val="none"/>
                <w:u w:val="none"/>
                <w:lang w:val="en-US" w:eastAsia="zh-CN"/>
              </w:rPr>
              <w:t>总投资3868万元，其中环保投资15.32万元，占总投资的0.40%，详见下表：</w:t>
            </w:r>
          </w:p>
          <w:p w14:paraId="1A9F18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val="0"/>
                <w:bCs w:val="0"/>
                <w:color w:val="auto"/>
                <w:sz w:val="21"/>
                <w:szCs w:val="21"/>
                <w:highlight w:val="none"/>
                <w:u w:val="none"/>
                <w:lang w:val="en-US" w:eastAsia="zh-CN"/>
              </w:rPr>
            </w:pPr>
            <w:r>
              <w:rPr>
                <w:rFonts w:hint="default" w:ascii="Times New Roman" w:hAnsi="Times New Roman" w:cs="Times New Roman"/>
                <w:b/>
                <w:bCs/>
                <w:color w:val="auto"/>
                <w:sz w:val="21"/>
                <w:szCs w:val="21"/>
                <w:highlight w:val="none"/>
                <w:u w:val="none"/>
                <w:lang w:val="en-US" w:eastAsia="zh-CN"/>
              </w:rPr>
              <w:t>表4-</w:t>
            </w:r>
            <w:r>
              <w:rPr>
                <w:rFonts w:hint="eastAsia" w:cs="Times New Roman"/>
                <w:b/>
                <w:bCs/>
                <w:color w:val="auto"/>
                <w:sz w:val="21"/>
                <w:szCs w:val="21"/>
                <w:highlight w:val="none"/>
                <w:u w:val="none"/>
                <w:lang w:val="en-US" w:eastAsia="zh-CN"/>
              </w:rPr>
              <w:t>31</w:t>
            </w:r>
            <w:r>
              <w:rPr>
                <w:rFonts w:hint="default" w:ascii="Times New Roman" w:hAnsi="Times New Roman" w:cs="Times New Roman"/>
                <w:b/>
                <w:bCs/>
                <w:color w:val="auto"/>
                <w:sz w:val="21"/>
                <w:szCs w:val="21"/>
                <w:highlight w:val="none"/>
                <w:u w:val="none"/>
                <w:lang w:val="en-US" w:eastAsia="zh-CN"/>
              </w:rPr>
              <w:t xml:space="preserve"> 环保投资一览表  </w:t>
            </w:r>
            <w:r>
              <w:rPr>
                <w:rFonts w:hint="default" w:ascii="Times New Roman" w:hAnsi="Times New Roman" w:cs="Times New Roman"/>
                <w:b w:val="0"/>
                <w:bCs w:val="0"/>
                <w:color w:val="auto"/>
                <w:sz w:val="21"/>
                <w:szCs w:val="21"/>
                <w:highlight w:val="none"/>
                <w:u w:val="none"/>
                <w:lang w:val="en-US" w:eastAsia="zh-CN"/>
              </w:rPr>
              <w:t>单位：万元</w:t>
            </w:r>
          </w:p>
          <w:tbl>
            <w:tblPr>
              <w:tblStyle w:val="25"/>
              <w:tblW w:w="86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705"/>
              <w:gridCol w:w="1762"/>
              <w:gridCol w:w="2415"/>
              <w:gridCol w:w="690"/>
              <w:gridCol w:w="2357"/>
            </w:tblGrid>
            <w:tr w14:paraId="2C3B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1BEC2D17">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color w:val="auto"/>
                      <w:sz w:val="21"/>
                      <w:szCs w:val="21"/>
                      <w:highlight w:val="none"/>
                      <w:u w:val="none"/>
                      <w:vertAlign w:val="baseline"/>
                      <w:lang w:val="en-US" w:eastAsia="zh-CN"/>
                    </w:rPr>
                  </w:pPr>
                  <w:r>
                    <w:rPr>
                      <w:rFonts w:hint="default" w:ascii="Times New Roman" w:hAnsi="Times New Roman" w:cs="Times New Roman"/>
                      <w:b/>
                      <w:bCs/>
                      <w:color w:val="auto"/>
                      <w:sz w:val="21"/>
                      <w:szCs w:val="21"/>
                      <w:highlight w:val="none"/>
                      <w:u w:val="none"/>
                      <w:vertAlign w:val="baseline"/>
                      <w:lang w:val="en-US" w:eastAsia="zh-CN"/>
                    </w:rPr>
                    <w:t>序号</w:t>
                  </w:r>
                </w:p>
              </w:tc>
              <w:tc>
                <w:tcPr>
                  <w:tcW w:w="705" w:type="dxa"/>
                  <w:vAlign w:val="center"/>
                </w:tcPr>
                <w:p w14:paraId="10E45C2C">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color w:val="auto"/>
                      <w:sz w:val="21"/>
                      <w:szCs w:val="21"/>
                      <w:highlight w:val="none"/>
                      <w:u w:val="none"/>
                      <w:vertAlign w:val="baseline"/>
                      <w:lang w:val="en-US" w:eastAsia="zh-CN"/>
                    </w:rPr>
                  </w:pPr>
                  <w:r>
                    <w:rPr>
                      <w:rFonts w:hint="default" w:ascii="Times New Roman" w:hAnsi="Times New Roman" w:cs="Times New Roman"/>
                      <w:b/>
                      <w:bCs/>
                      <w:color w:val="auto"/>
                      <w:sz w:val="21"/>
                      <w:szCs w:val="21"/>
                      <w:highlight w:val="none"/>
                      <w:u w:val="none"/>
                      <w:vertAlign w:val="baseline"/>
                      <w:lang w:val="en-US" w:eastAsia="zh-CN"/>
                    </w:rPr>
                    <w:t>项目</w:t>
                  </w:r>
                </w:p>
              </w:tc>
              <w:tc>
                <w:tcPr>
                  <w:tcW w:w="4177" w:type="dxa"/>
                  <w:gridSpan w:val="2"/>
                  <w:vAlign w:val="center"/>
                </w:tcPr>
                <w:p w14:paraId="1B921391">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color w:val="auto"/>
                      <w:sz w:val="21"/>
                      <w:szCs w:val="21"/>
                      <w:highlight w:val="none"/>
                      <w:u w:val="none"/>
                      <w:vertAlign w:val="baseline"/>
                      <w:lang w:val="en-US" w:eastAsia="zh-CN"/>
                    </w:rPr>
                  </w:pPr>
                  <w:r>
                    <w:rPr>
                      <w:rFonts w:hint="default" w:ascii="Times New Roman" w:hAnsi="Times New Roman" w:cs="Times New Roman"/>
                      <w:b/>
                      <w:bCs/>
                      <w:color w:val="auto"/>
                      <w:sz w:val="21"/>
                      <w:szCs w:val="21"/>
                      <w:highlight w:val="none"/>
                      <w:u w:val="none"/>
                      <w:vertAlign w:val="baseline"/>
                      <w:lang w:val="en-US" w:eastAsia="zh-CN"/>
                    </w:rPr>
                    <w:t>治理措施</w:t>
                  </w:r>
                </w:p>
              </w:tc>
              <w:tc>
                <w:tcPr>
                  <w:tcW w:w="690" w:type="dxa"/>
                  <w:vAlign w:val="center"/>
                </w:tcPr>
                <w:p w14:paraId="689F034F">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color w:val="auto"/>
                      <w:sz w:val="21"/>
                      <w:szCs w:val="21"/>
                      <w:highlight w:val="none"/>
                      <w:u w:val="none"/>
                      <w:vertAlign w:val="baseline"/>
                      <w:lang w:val="en-US" w:eastAsia="zh-CN"/>
                    </w:rPr>
                  </w:pPr>
                  <w:r>
                    <w:rPr>
                      <w:rFonts w:hint="default" w:ascii="Times New Roman" w:hAnsi="Times New Roman" w:cs="Times New Roman"/>
                      <w:b/>
                      <w:bCs/>
                      <w:color w:val="auto"/>
                      <w:sz w:val="21"/>
                      <w:szCs w:val="21"/>
                      <w:highlight w:val="none"/>
                      <w:u w:val="none"/>
                      <w:vertAlign w:val="baseline"/>
                      <w:lang w:val="en-US" w:eastAsia="zh-CN"/>
                    </w:rPr>
                    <w:t>投资</w:t>
                  </w:r>
                </w:p>
              </w:tc>
              <w:tc>
                <w:tcPr>
                  <w:tcW w:w="2357" w:type="dxa"/>
                  <w:vAlign w:val="center"/>
                </w:tcPr>
                <w:p w14:paraId="1C373E3D">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bCs/>
                      <w:color w:val="auto"/>
                      <w:sz w:val="21"/>
                      <w:szCs w:val="21"/>
                      <w:highlight w:val="none"/>
                      <w:u w:val="none"/>
                      <w:vertAlign w:val="baseline"/>
                      <w:lang w:val="en-US" w:eastAsia="zh-CN"/>
                    </w:rPr>
                  </w:pPr>
                  <w:r>
                    <w:rPr>
                      <w:rFonts w:hint="eastAsia" w:ascii="Times New Roman" w:hAnsi="Times New Roman" w:cs="Times New Roman"/>
                      <w:b/>
                      <w:bCs/>
                      <w:color w:val="auto"/>
                      <w:sz w:val="21"/>
                      <w:szCs w:val="21"/>
                      <w:highlight w:val="none"/>
                      <w:u w:val="none"/>
                      <w:vertAlign w:val="baseline"/>
                      <w:lang w:val="en-US" w:eastAsia="zh-CN"/>
                    </w:rPr>
                    <w:t>备注</w:t>
                  </w:r>
                </w:p>
              </w:tc>
            </w:tr>
            <w:tr w14:paraId="40BB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693" w:type="dxa"/>
                  <w:vMerge w:val="restart"/>
                  <w:vAlign w:val="center"/>
                </w:tcPr>
                <w:p w14:paraId="18C1AC8B">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1</w:t>
                  </w:r>
                </w:p>
              </w:tc>
              <w:tc>
                <w:tcPr>
                  <w:tcW w:w="705" w:type="dxa"/>
                  <w:vMerge w:val="restart"/>
                  <w:vAlign w:val="center"/>
                </w:tcPr>
                <w:p w14:paraId="73889C8D">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废水治理</w:t>
                  </w:r>
                </w:p>
              </w:tc>
              <w:tc>
                <w:tcPr>
                  <w:tcW w:w="1762" w:type="dxa"/>
                  <w:vAlign w:val="center"/>
                </w:tcPr>
                <w:p w14:paraId="5063DADE">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办公楼生活污水</w:t>
                  </w:r>
                </w:p>
              </w:tc>
              <w:tc>
                <w:tcPr>
                  <w:tcW w:w="2415" w:type="dxa"/>
                  <w:vAlign w:val="center"/>
                </w:tcPr>
                <w:p w14:paraId="7D6B3375">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化粪池</w:t>
                  </w:r>
                </w:p>
              </w:tc>
              <w:tc>
                <w:tcPr>
                  <w:tcW w:w="690" w:type="dxa"/>
                  <w:vAlign w:val="center"/>
                </w:tcPr>
                <w:p w14:paraId="280320DD">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w:t>
                  </w:r>
                </w:p>
              </w:tc>
              <w:tc>
                <w:tcPr>
                  <w:tcW w:w="2357" w:type="dxa"/>
                  <w:vAlign w:val="center"/>
                </w:tcPr>
                <w:p w14:paraId="3E198AF2">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利用现有</w:t>
                  </w:r>
                </w:p>
              </w:tc>
            </w:tr>
            <w:tr w14:paraId="315A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Merge w:val="continue"/>
                  <w:vAlign w:val="center"/>
                </w:tcPr>
                <w:p w14:paraId="55C1BA55">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705" w:type="dxa"/>
                  <w:vMerge w:val="continue"/>
                  <w:vAlign w:val="center"/>
                </w:tcPr>
                <w:p w14:paraId="08C55398">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1762" w:type="dxa"/>
                  <w:vAlign w:val="center"/>
                </w:tcPr>
                <w:p w14:paraId="478ED60A">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食堂废水</w:t>
                  </w:r>
                </w:p>
              </w:tc>
              <w:tc>
                <w:tcPr>
                  <w:tcW w:w="2415" w:type="dxa"/>
                  <w:vAlign w:val="center"/>
                </w:tcPr>
                <w:p w14:paraId="6C547A8B">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隔油池</w:t>
                  </w:r>
                </w:p>
              </w:tc>
              <w:tc>
                <w:tcPr>
                  <w:tcW w:w="690" w:type="dxa"/>
                  <w:vAlign w:val="center"/>
                </w:tcPr>
                <w:p w14:paraId="0ABB3ADC">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w:t>
                  </w:r>
                </w:p>
              </w:tc>
              <w:tc>
                <w:tcPr>
                  <w:tcW w:w="2357" w:type="dxa"/>
                  <w:vAlign w:val="center"/>
                </w:tcPr>
                <w:p w14:paraId="2E75CBAF">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利用现有</w:t>
                  </w:r>
                </w:p>
              </w:tc>
            </w:tr>
            <w:tr w14:paraId="11E0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Merge w:val="continue"/>
                  <w:vAlign w:val="center"/>
                </w:tcPr>
                <w:p w14:paraId="7AC83F65">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705" w:type="dxa"/>
                  <w:vMerge w:val="continue"/>
                  <w:vAlign w:val="center"/>
                </w:tcPr>
                <w:p w14:paraId="2A870E49">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1762" w:type="dxa"/>
                  <w:vAlign w:val="center"/>
                </w:tcPr>
                <w:p w14:paraId="527195E1">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传染病废水</w:t>
                  </w:r>
                </w:p>
              </w:tc>
              <w:tc>
                <w:tcPr>
                  <w:tcW w:w="2415" w:type="dxa"/>
                  <w:vAlign w:val="center"/>
                </w:tcPr>
                <w:p w14:paraId="721867E0">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传染病废水预处理系统</w:t>
                  </w:r>
                </w:p>
              </w:tc>
              <w:tc>
                <w:tcPr>
                  <w:tcW w:w="690" w:type="dxa"/>
                  <w:vAlign w:val="center"/>
                </w:tcPr>
                <w:p w14:paraId="3FD325D8">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w:t>
                  </w:r>
                </w:p>
              </w:tc>
              <w:tc>
                <w:tcPr>
                  <w:tcW w:w="2357" w:type="dxa"/>
                  <w:vAlign w:val="center"/>
                </w:tcPr>
                <w:p w14:paraId="1C21A1EB">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利用现有</w:t>
                  </w:r>
                </w:p>
              </w:tc>
            </w:tr>
            <w:tr w14:paraId="142E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Merge w:val="continue"/>
                  <w:vAlign w:val="center"/>
                </w:tcPr>
                <w:p w14:paraId="6A1EE83D">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705" w:type="dxa"/>
                  <w:vMerge w:val="continue"/>
                  <w:vAlign w:val="center"/>
                </w:tcPr>
                <w:p w14:paraId="7DA08AAC">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1762" w:type="dxa"/>
                  <w:vAlign w:val="center"/>
                </w:tcPr>
                <w:p w14:paraId="71816209">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综合废水</w:t>
                  </w:r>
                </w:p>
              </w:tc>
              <w:tc>
                <w:tcPr>
                  <w:tcW w:w="2415" w:type="dxa"/>
                  <w:vAlign w:val="center"/>
                </w:tcPr>
                <w:p w14:paraId="66BE486F">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综合污水处理站</w:t>
                  </w:r>
                </w:p>
              </w:tc>
              <w:tc>
                <w:tcPr>
                  <w:tcW w:w="690" w:type="dxa"/>
                  <w:vAlign w:val="center"/>
                </w:tcPr>
                <w:p w14:paraId="55192DE1">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w:t>
                  </w:r>
                </w:p>
              </w:tc>
              <w:tc>
                <w:tcPr>
                  <w:tcW w:w="2357" w:type="dxa"/>
                  <w:vAlign w:val="center"/>
                </w:tcPr>
                <w:p w14:paraId="2A33DB3D">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利用现有</w:t>
                  </w:r>
                </w:p>
              </w:tc>
            </w:tr>
            <w:tr w14:paraId="7658B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Merge w:val="restart"/>
                  <w:vAlign w:val="center"/>
                </w:tcPr>
                <w:p w14:paraId="35B71E2A">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2</w:t>
                  </w:r>
                </w:p>
              </w:tc>
              <w:tc>
                <w:tcPr>
                  <w:tcW w:w="705" w:type="dxa"/>
                  <w:vMerge w:val="restart"/>
                  <w:vAlign w:val="center"/>
                </w:tcPr>
                <w:p w14:paraId="3321F485">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废气治理</w:t>
                  </w:r>
                </w:p>
              </w:tc>
              <w:tc>
                <w:tcPr>
                  <w:tcW w:w="1762" w:type="dxa"/>
                  <w:vAlign w:val="center"/>
                </w:tcPr>
                <w:p w14:paraId="0072EB69">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食堂油烟</w:t>
                  </w:r>
                </w:p>
              </w:tc>
              <w:tc>
                <w:tcPr>
                  <w:tcW w:w="2415" w:type="dxa"/>
                  <w:vAlign w:val="center"/>
                </w:tcPr>
                <w:p w14:paraId="2C14AF86">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油烟净化器</w:t>
                  </w:r>
                </w:p>
              </w:tc>
              <w:tc>
                <w:tcPr>
                  <w:tcW w:w="690" w:type="dxa"/>
                  <w:vAlign w:val="center"/>
                </w:tcPr>
                <w:p w14:paraId="47423C83">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0.3</w:t>
                  </w:r>
                </w:p>
              </w:tc>
              <w:tc>
                <w:tcPr>
                  <w:tcW w:w="2357" w:type="dxa"/>
                  <w:vAlign w:val="center"/>
                </w:tcPr>
                <w:p w14:paraId="2EF87185">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油烟净化器利用现有，本次进行排气筒改造</w:t>
                  </w:r>
                </w:p>
              </w:tc>
            </w:tr>
            <w:tr w14:paraId="1AFC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Merge w:val="continue"/>
                  <w:vAlign w:val="center"/>
                </w:tcPr>
                <w:p w14:paraId="749F4947">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705" w:type="dxa"/>
                  <w:vMerge w:val="continue"/>
                  <w:vAlign w:val="center"/>
                </w:tcPr>
                <w:p w14:paraId="35635F92">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1762" w:type="dxa"/>
                  <w:vAlign w:val="center"/>
                </w:tcPr>
                <w:p w14:paraId="120358D0">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污水站恶臭废气</w:t>
                  </w:r>
                </w:p>
              </w:tc>
              <w:tc>
                <w:tcPr>
                  <w:tcW w:w="2415" w:type="dxa"/>
                  <w:vAlign w:val="center"/>
                </w:tcPr>
                <w:p w14:paraId="25BE99C2">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负压收集+碱水喷淋+活性炭吸附+高空排放（63m）</w:t>
                  </w:r>
                </w:p>
              </w:tc>
              <w:tc>
                <w:tcPr>
                  <w:tcW w:w="690" w:type="dxa"/>
                  <w:vAlign w:val="center"/>
                </w:tcPr>
                <w:p w14:paraId="1B985CB8">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5</w:t>
                  </w:r>
                </w:p>
              </w:tc>
              <w:tc>
                <w:tcPr>
                  <w:tcW w:w="2357" w:type="dxa"/>
                  <w:vAlign w:val="center"/>
                </w:tcPr>
                <w:p w14:paraId="47B7AD8F">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废气收集处理系统利用现有，本次进行排气筒改造</w:t>
                  </w:r>
                </w:p>
              </w:tc>
            </w:tr>
            <w:tr w14:paraId="56E4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693" w:type="dxa"/>
                  <w:vMerge w:val="continue"/>
                  <w:vAlign w:val="center"/>
                </w:tcPr>
                <w:p w14:paraId="282FE79C">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705" w:type="dxa"/>
                  <w:vMerge w:val="continue"/>
                  <w:vAlign w:val="center"/>
                </w:tcPr>
                <w:p w14:paraId="2EBFADD2">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p>
              </w:tc>
              <w:tc>
                <w:tcPr>
                  <w:tcW w:w="1762" w:type="dxa"/>
                  <w:vAlign w:val="center"/>
                </w:tcPr>
                <w:p w14:paraId="590CE9DB">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锅炉废气</w:t>
                  </w:r>
                </w:p>
              </w:tc>
              <w:tc>
                <w:tcPr>
                  <w:tcW w:w="2415" w:type="dxa"/>
                  <w:vAlign w:val="center"/>
                </w:tcPr>
                <w:p w14:paraId="518F8AC0">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ascii="Times New Roman" w:hAnsi="Times New Roman" w:cs="Times New Roman"/>
                      <w:b w:val="0"/>
                      <w:bCs w:val="0"/>
                      <w:color w:val="000000" w:themeColor="text1"/>
                      <w:sz w:val="21"/>
                      <w:szCs w:val="21"/>
                      <w:highlight w:val="none"/>
                      <w:u w:val="single"/>
                      <w:vertAlign w:val="baseline"/>
                      <w:lang w:val="en-US" w:eastAsia="zh-CN"/>
                    </w:rPr>
                    <w:t>排气筒高度8m</w:t>
                  </w:r>
                </w:p>
              </w:tc>
              <w:tc>
                <w:tcPr>
                  <w:tcW w:w="690" w:type="dxa"/>
                  <w:vAlign w:val="center"/>
                </w:tcPr>
                <w:p w14:paraId="5CCF7A62">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0.02</w:t>
                  </w:r>
                </w:p>
              </w:tc>
              <w:tc>
                <w:tcPr>
                  <w:tcW w:w="2357" w:type="dxa"/>
                  <w:vAlign w:val="center"/>
                </w:tcPr>
                <w:p w14:paraId="357C0D1F">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锅炉利用现有，本次进行排气筒采样孔改造</w:t>
                  </w:r>
                </w:p>
              </w:tc>
            </w:tr>
            <w:tr w14:paraId="7C83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4658F005">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3</w:t>
                  </w:r>
                </w:p>
              </w:tc>
              <w:tc>
                <w:tcPr>
                  <w:tcW w:w="705" w:type="dxa"/>
                  <w:vAlign w:val="center"/>
                </w:tcPr>
                <w:p w14:paraId="5785A7CF">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固废处置</w:t>
                  </w:r>
                </w:p>
              </w:tc>
              <w:tc>
                <w:tcPr>
                  <w:tcW w:w="1762" w:type="dxa"/>
                  <w:tcBorders>
                    <w:right w:val="single" w:color="000000" w:sz="4" w:space="0"/>
                  </w:tcBorders>
                  <w:vAlign w:val="center"/>
                </w:tcPr>
                <w:p w14:paraId="550C22B6">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危险废物</w:t>
                  </w:r>
                </w:p>
              </w:tc>
              <w:tc>
                <w:tcPr>
                  <w:tcW w:w="2415" w:type="dxa"/>
                  <w:tcBorders>
                    <w:left w:val="single" w:color="000000" w:sz="4" w:space="0"/>
                  </w:tcBorders>
                  <w:vAlign w:val="center"/>
                </w:tcPr>
                <w:p w14:paraId="630446BF">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危废暂存间</w:t>
                  </w:r>
                </w:p>
              </w:tc>
              <w:tc>
                <w:tcPr>
                  <w:tcW w:w="690" w:type="dxa"/>
                  <w:vAlign w:val="center"/>
                </w:tcPr>
                <w:p w14:paraId="625CD156">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w:t>
                  </w:r>
                </w:p>
              </w:tc>
              <w:tc>
                <w:tcPr>
                  <w:tcW w:w="2357" w:type="dxa"/>
                  <w:vAlign w:val="center"/>
                </w:tcPr>
                <w:p w14:paraId="6F36AB9B">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利用现有</w:t>
                  </w:r>
                </w:p>
              </w:tc>
            </w:tr>
            <w:tr w14:paraId="3A3D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614D1DA8">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4</w:t>
                  </w:r>
                </w:p>
              </w:tc>
              <w:tc>
                <w:tcPr>
                  <w:tcW w:w="705" w:type="dxa"/>
                  <w:vAlign w:val="center"/>
                </w:tcPr>
                <w:p w14:paraId="0AA83C6B">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噪声防治</w:t>
                  </w:r>
                </w:p>
              </w:tc>
              <w:tc>
                <w:tcPr>
                  <w:tcW w:w="1762" w:type="dxa"/>
                  <w:tcBorders>
                    <w:right w:val="single" w:color="000000" w:sz="4" w:space="0"/>
                  </w:tcBorders>
                  <w:vAlign w:val="center"/>
                </w:tcPr>
                <w:p w14:paraId="101642A4">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噪声</w:t>
                  </w:r>
                </w:p>
              </w:tc>
              <w:tc>
                <w:tcPr>
                  <w:tcW w:w="2415" w:type="dxa"/>
                  <w:tcBorders>
                    <w:left w:val="single" w:color="000000" w:sz="4" w:space="0"/>
                  </w:tcBorders>
                  <w:vAlign w:val="center"/>
                </w:tcPr>
                <w:p w14:paraId="087E6CDB">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eastAsia"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隔声减震措施</w:t>
                  </w:r>
                </w:p>
              </w:tc>
              <w:tc>
                <w:tcPr>
                  <w:tcW w:w="690" w:type="dxa"/>
                  <w:vAlign w:val="center"/>
                </w:tcPr>
                <w:p w14:paraId="6A1F385D">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w:t>
                  </w:r>
                </w:p>
              </w:tc>
              <w:tc>
                <w:tcPr>
                  <w:tcW w:w="2357" w:type="dxa"/>
                  <w:vAlign w:val="center"/>
                </w:tcPr>
                <w:p w14:paraId="2D8B4928">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利用现有</w:t>
                  </w:r>
                </w:p>
              </w:tc>
            </w:tr>
            <w:tr w14:paraId="2079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1390189C">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5</w:t>
                  </w:r>
                </w:p>
              </w:tc>
              <w:tc>
                <w:tcPr>
                  <w:tcW w:w="705" w:type="dxa"/>
                  <w:vAlign w:val="center"/>
                </w:tcPr>
                <w:p w14:paraId="6DF33441">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none"/>
                      <w:vertAlign w:val="baseline"/>
                      <w:lang w:val="en-US" w:eastAsia="zh-CN"/>
                    </w:rPr>
                  </w:pPr>
                  <w:r>
                    <w:rPr>
                      <w:rFonts w:hint="eastAsia" w:cs="Times New Roman"/>
                      <w:b w:val="0"/>
                      <w:bCs w:val="0"/>
                      <w:color w:val="auto"/>
                      <w:sz w:val="21"/>
                      <w:szCs w:val="21"/>
                      <w:highlight w:val="none"/>
                      <w:u w:val="none"/>
                      <w:vertAlign w:val="baseline"/>
                      <w:lang w:val="en-US" w:eastAsia="zh-CN"/>
                    </w:rPr>
                    <w:t>环境风险</w:t>
                  </w:r>
                </w:p>
              </w:tc>
              <w:tc>
                <w:tcPr>
                  <w:tcW w:w="1762" w:type="dxa"/>
                  <w:vAlign w:val="center"/>
                </w:tcPr>
                <w:p w14:paraId="7D1304DA">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应急池</w:t>
                  </w:r>
                </w:p>
              </w:tc>
              <w:tc>
                <w:tcPr>
                  <w:tcW w:w="2415" w:type="dxa"/>
                  <w:vAlign w:val="center"/>
                </w:tcPr>
                <w:p w14:paraId="5ABFFDD4">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扩容至90</w:t>
                  </w:r>
                  <w:r>
                    <w:rPr>
                      <w:rFonts w:hint="default" w:ascii="Times New Roman" w:hAnsi="Times New Roman" w:cs="Times New Roman"/>
                      <w:color w:val="auto"/>
                      <w:sz w:val="21"/>
                      <w:szCs w:val="21"/>
                      <w:u w:val="single"/>
                      <w:vertAlign w:val="baseline"/>
                      <w:lang w:val="en-US" w:eastAsia="zh-CN"/>
                    </w:rPr>
                    <w:t>m</w:t>
                  </w:r>
                  <w:r>
                    <w:rPr>
                      <w:rFonts w:hint="default" w:ascii="Times New Roman" w:hAnsi="Times New Roman" w:cs="Times New Roman"/>
                      <w:color w:val="auto"/>
                      <w:sz w:val="21"/>
                      <w:szCs w:val="21"/>
                      <w:u w:val="single"/>
                      <w:vertAlign w:val="superscript"/>
                      <w:lang w:val="en-US" w:eastAsia="zh-CN"/>
                    </w:rPr>
                    <w:t>3</w:t>
                  </w:r>
                </w:p>
              </w:tc>
              <w:tc>
                <w:tcPr>
                  <w:tcW w:w="690" w:type="dxa"/>
                  <w:vAlign w:val="center"/>
                </w:tcPr>
                <w:p w14:paraId="7545E90E">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10</w:t>
                  </w:r>
                </w:p>
              </w:tc>
              <w:tc>
                <w:tcPr>
                  <w:tcW w:w="2357" w:type="dxa"/>
                  <w:vAlign w:val="center"/>
                </w:tcPr>
                <w:p w14:paraId="3BB59343">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b w:val="0"/>
                      <w:bCs w:val="0"/>
                      <w:color w:val="auto"/>
                      <w:sz w:val="21"/>
                      <w:szCs w:val="21"/>
                      <w:highlight w:val="none"/>
                      <w:u w:val="single"/>
                      <w:vertAlign w:val="baseline"/>
                      <w:lang w:val="en-US" w:eastAsia="zh-CN"/>
                    </w:rPr>
                  </w:pPr>
                  <w:r>
                    <w:rPr>
                      <w:rFonts w:hint="eastAsia" w:cs="Times New Roman"/>
                      <w:b w:val="0"/>
                      <w:bCs w:val="0"/>
                      <w:color w:val="auto"/>
                      <w:sz w:val="21"/>
                      <w:szCs w:val="21"/>
                      <w:highlight w:val="none"/>
                      <w:u w:val="single"/>
                      <w:vertAlign w:val="baseline"/>
                      <w:lang w:val="en-US" w:eastAsia="zh-CN"/>
                    </w:rPr>
                    <w:t>现有容积30</w:t>
                  </w:r>
                  <w:r>
                    <w:rPr>
                      <w:rFonts w:hint="default" w:ascii="Times New Roman" w:hAnsi="Times New Roman" w:cs="Times New Roman"/>
                      <w:color w:val="auto"/>
                      <w:sz w:val="21"/>
                      <w:szCs w:val="21"/>
                      <w:u w:val="single"/>
                      <w:vertAlign w:val="baseline"/>
                      <w:lang w:val="en-US" w:eastAsia="zh-CN"/>
                    </w:rPr>
                    <w:t>m</w:t>
                  </w:r>
                  <w:r>
                    <w:rPr>
                      <w:rFonts w:hint="default" w:ascii="Times New Roman" w:hAnsi="Times New Roman" w:cs="Times New Roman"/>
                      <w:color w:val="auto"/>
                      <w:sz w:val="21"/>
                      <w:szCs w:val="21"/>
                      <w:u w:val="single"/>
                      <w:vertAlign w:val="superscript"/>
                      <w:lang w:val="en-US" w:eastAsia="zh-CN"/>
                    </w:rPr>
                    <w:t>3</w:t>
                  </w:r>
                  <w:r>
                    <w:rPr>
                      <w:rFonts w:hint="eastAsia" w:cs="Times New Roman"/>
                      <w:color w:val="auto"/>
                      <w:sz w:val="21"/>
                      <w:szCs w:val="21"/>
                      <w:u w:val="single"/>
                      <w:vertAlign w:val="baseline"/>
                      <w:lang w:val="en-US" w:eastAsia="zh-CN"/>
                    </w:rPr>
                    <w:t>，本次进行扩容</w:t>
                  </w:r>
                </w:p>
              </w:tc>
            </w:tr>
          </w:tbl>
          <w:p w14:paraId="31CFC658">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sz w:val="21"/>
                <w:szCs w:val="21"/>
                <w:highlight w:val="none"/>
                <w:u w:val="none"/>
                <w:lang w:val="en-US" w:eastAsia="zh-CN"/>
              </w:rPr>
            </w:pPr>
          </w:p>
          <w:p w14:paraId="62167B08">
            <w:pPr>
              <w:numPr>
                <w:ilvl w:val="0"/>
                <w:numId w:val="0"/>
              </w:numPr>
              <w:spacing w:line="360" w:lineRule="auto"/>
              <w:ind w:leftChars="0"/>
              <w:rPr>
                <w:rFonts w:hint="default" w:ascii="Times New Roman" w:hAnsi="Times New Roman" w:cs="Times New Roman"/>
                <w:b/>
                <w:bCs/>
                <w:sz w:val="24"/>
                <w:szCs w:val="32"/>
                <w:lang w:val="en-US" w:eastAsia="zh-CN"/>
              </w:rPr>
            </w:pPr>
            <w:r>
              <w:rPr>
                <w:rFonts w:hint="default" w:ascii="Times New Roman" w:hAnsi="Times New Roman" w:cs="Times New Roman"/>
                <w:b/>
                <w:bCs/>
                <w:sz w:val="24"/>
                <w:szCs w:val="32"/>
                <w:lang w:val="en-US" w:eastAsia="zh-CN"/>
              </w:rPr>
              <w:t>10、环保验收</w:t>
            </w:r>
          </w:p>
          <w:p w14:paraId="41832D12">
            <w:pPr>
              <w:keepNext w:val="0"/>
              <w:keepLines w:val="0"/>
              <w:widowControl/>
              <w:suppressLineNumbers w:val="0"/>
              <w:spacing w:line="360" w:lineRule="auto"/>
              <w:ind w:firstLine="480" w:firstLineChars="200"/>
              <w:jc w:val="left"/>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本项目环保设施</w:t>
            </w:r>
            <w:r>
              <w:rPr>
                <w:rFonts w:hint="default" w:ascii="Times New Roman" w:hAnsi="Times New Roman" w:cs="Times New Roman"/>
                <w:color w:val="000000"/>
                <w:kern w:val="0"/>
                <w:sz w:val="24"/>
                <w:szCs w:val="24"/>
                <w:lang w:val="en-US" w:eastAsia="zh-CN" w:bidi="ar"/>
              </w:rPr>
              <w:t>“三同时”</w:t>
            </w:r>
            <w:r>
              <w:rPr>
                <w:rFonts w:hint="default" w:ascii="Times New Roman" w:hAnsi="Times New Roman" w:eastAsia="宋体" w:cs="Times New Roman"/>
                <w:color w:val="000000"/>
                <w:kern w:val="0"/>
                <w:sz w:val="24"/>
                <w:szCs w:val="24"/>
                <w:lang w:val="en-US" w:eastAsia="zh-CN" w:bidi="ar"/>
              </w:rPr>
              <w:t>竣工验收情况见下表。</w:t>
            </w:r>
          </w:p>
          <w:p w14:paraId="2A75F209">
            <w:pPr>
              <w:pStyle w:val="11"/>
              <w:keepNext w:val="0"/>
              <w:keepLines w:val="0"/>
              <w:pageBreakBefore w:val="0"/>
              <w:widowControl/>
              <w:numPr>
                <w:ilvl w:val="0"/>
                <w:numId w:val="0"/>
              </w:numPr>
              <w:kinsoku/>
              <w:wordWrap/>
              <w:overflowPunct/>
              <w:topLinePunct w:val="0"/>
              <w:autoSpaceDE/>
              <w:autoSpaceDN/>
              <w:bidi w:val="0"/>
              <w:adjustRightInd/>
              <w:snapToGrid w:val="0"/>
              <w:spacing w:before="0" w:after="0" w:line="360" w:lineRule="auto"/>
              <w:ind w:right="0" w:rightChars="0"/>
              <w:jc w:val="center"/>
              <w:textAlignment w:val="auto"/>
              <w:rPr>
                <w:rFonts w:hint="default" w:ascii="Times New Roman" w:hAnsi="Times New Roman" w:cs="Times New Roman"/>
                <w:b/>
                <w:bCs/>
                <w:sz w:val="21"/>
                <w:szCs w:val="21"/>
                <w:lang w:val="en-US" w:eastAsia="zh-CN"/>
              </w:rPr>
            </w:pPr>
            <w:r>
              <w:rPr>
                <w:rFonts w:hint="default" w:ascii="Times New Roman" w:hAnsi="Times New Roman" w:cs="Times New Roman"/>
                <w:b/>
                <w:bCs/>
                <w:sz w:val="21"/>
                <w:szCs w:val="21"/>
                <w:lang w:val="en-US" w:eastAsia="zh-CN"/>
              </w:rPr>
              <w:t>表4-</w:t>
            </w:r>
            <w:r>
              <w:rPr>
                <w:rFonts w:hint="eastAsia" w:cs="Times New Roman"/>
                <w:b/>
                <w:bCs/>
                <w:sz w:val="21"/>
                <w:szCs w:val="21"/>
                <w:lang w:val="en-US" w:eastAsia="zh-CN"/>
              </w:rPr>
              <w:t>32</w:t>
            </w:r>
            <w:r>
              <w:rPr>
                <w:rFonts w:hint="default" w:ascii="Times New Roman" w:hAnsi="Times New Roman" w:cs="Times New Roman"/>
                <w:b/>
                <w:bCs/>
                <w:sz w:val="21"/>
                <w:szCs w:val="21"/>
                <w:lang w:val="en-US" w:eastAsia="zh-CN"/>
              </w:rPr>
              <w:t xml:space="preserve"> 环保设施竣工验收一览表</w:t>
            </w:r>
          </w:p>
          <w:tbl>
            <w:tblPr>
              <w:tblStyle w:val="25"/>
              <w:tblW w:w="8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335"/>
              <w:gridCol w:w="1950"/>
              <w:gridCol w:w="4494"/>
            </w:tblGrid>
            <w:tr w14:paraId="31FE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75" w:type="dxa"/>
                  <w:gridSpan w:val="2"/>
                  <w:vAlign w:val="center"/>
                </w:tcPr>
                <w:p w14:paraId="3A25CB1A">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名称</w:t>
                  </w:r>
                </w:p>
              </w:tc>
              <w:tc>
                <w:tcPr>
                  <w:tcW w:w="1950" w:type="dxa"/>
                  <w:vAlign w:val="center"/>
                </w:tcPr>
                <w:p w14:paraId="3EE02D59">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污染治理设施</w:t>
                  </w:r>
                </w:p>
              </w:tc>
              <w:tc>
                <w:tcPr>
                  <w:tcW w:w="4494" w:type="dxa"/>
                  <w:vAlign w:val="center"/>
                </w:tcPr>
                <w:p w14:paraId="127293E5">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b/>
                      <w:bCs/>
                      <w:sz w:val="21"/>
                      <w:szCs w:val="21"/>
                      <w:vertAlign w:val="baseline"/>
                      <w:lang w:val="en-US" w:eastAsia="zh-CN"/>
                    </w:rPr>
                  </w:pPr>
                  <w:r>
                    <w:rPr>
                      <w:rFonts w:hint="default" w:ascii="Times New Roman" w:hAnsi="Times New Roman" w:eastAsia="宋体" w:cs="Times New Roman"/>
                      <w:b/>
                      <w:bCs/>
                      <w:sz w:val="21"/>
                      <w:szCs w:val="21"/>
                      <w:vertAlign w:val="baseline"/>
                      <w:lang w:val="en-US" w:eastAsia="zh-CN"/>
                    </w:rPr>
                    <w:t>验收标准</w:t>
                  </w:r>
                </w:p>
              </w:tc>
            </w:tr>
            <w:tr w14:paraId="5E67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0" w:type="dxa"/>
                  <w:vMerge w:val="restart"/>
                  <w:vAlign w:val="center"/>
                </w:tcPr>
                <w:p w14:paraId="5BF237BD">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废水</w:t>
                  </w:r>
                </w:p>
              </w:tc>
              <w:tc>
                <w:tcPr>
                  <w:tcW w:w="1335" w:type="dxa"/>
                  <w:vAlign w:val="center"/>
                </w:tcPr>
                <w:p w14:paraId="60DB30D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办公楼生活污水</w:t>
                  </w:r>
                </w:p>
              </w:tc>
              <w:tc>
                <w:tcPr>
                  <w:tcW w:w="1950" w:type="dxa"/>
                  <w:vAlign w:val="center"/>
                </w:tcPr>
                <w:p w14:paraId="4ADAB1C5">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化粪池</w:t>
                  </w:r>
                </w:p>
              </w:tc>
              <w:tc>
                <w:tcPr>
                  <w:tcW w:w="4494" w:type="dxa"/>
                  <w:vAlign w:val="center"/>
                </w:tcPr>
                <w:p w14:paraId="25776F13">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eastAsia" w:cs="Times New Roman"/>
                      <w:sz w:val="21"/>
                      <w:szCs w:val="21"/>
                      <w:vertAlign w:val="baseline"/>
                      <w:lang w:val="en-US" w:eastAsia="zh-CN"/>
                    </w:rPr>
                    <w:t>/</w:t>
                  </w:r>
                </w:p>
              </w:tc>
            </w:tr>
            <w:tr w14:paraId="7983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0" w:type="dxa"/>
                  <w:vMerge w:val="continue"/>
                  <w:vAlign w:val="center"/>
                </w:tcPr>
                <w:p w14:paraId="2DE03C8F">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32E915A7">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食堂废水</w:t>
                  </w:r>
                </w:p>
              </w:tc>
              <w:tc>
                <w:tcPr>
                  <w:tcW w:w="1950" w:type="dxa"/>
                  <w:vAlign w:val="center"/>
                </w:tcPr>
                <w:p w14:paraId="58DD6D9F">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隔油池</w:t>
                  </w:r>
                </w:p>
              </w:tc>
              <w:tc>
                <w:tcPr>
                  <w:tcW w:w="4494" w:type="dxa"/>
                  <w:vAlign w:val="center"/>
                </w:tcPr>
                <w:p w14:paraId="51738F8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kern w:val="0"/>
                      <w:sz w:val="21"/>
                      <w:szCs w:val="21"/>
                      <w:lang w:val="en-US" w:eastAsia="zh-CN"/>
                    </w:rPr>
                  </w:pPr>
                  <w:r>
                    <w:rPr>
                      <w:rFonts w:hint="eastAsia" w:cs="Times New Roman"/>
                      <w:sz w:val="21"/>
                      <w:szCs w:val="21"/>
                      <w:vertAlign w:val="baseline"/>
                      <w:lang w:val="en-US" w:eastAsia="zh-CN"/>
                    </w:rPr>
                    <w:t>/</w:t>
                  </w:r>
                </w:p>
              </w:tc>
            </w:tr>
            <w:tr w14:paraId="66CD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0" w:type="dxa"/>
                  <w:vMerge w:val="continue"/>
                  <w:vAlign w:val="center"/>
                </w:tcPr>
                <w:p w14:paraId="54FF31FE">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6218863B">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传染病楼废水</w:t>
                  </w:r>
                </w:p>
              </w:tc>
              <w:tc>
                <w:tcPr>
                  <w:tcW w:w="1950" w:type="dxa"/>
                  <w:vAlign w:val="center"/>
                </w:tcPr>
                <w:p w14:paraId="621857B5">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cs="Times New Roman"/>
                      <w:color w:val="auto"/>
                      <w:sz w:val="21"/>
                      <w:szCs w:val="21"/>
                      <w:vertAlign w:val="baseline"/>
                      <w:lang w:val="en-US" w:eastAsia="zh-CN"/>
                    </w:rPr>
                  </w:pPr>
                  <w:r>
                    <w:rPr>
                      <w:rFonts w:hint="eastAsia" w:cs="Times New Roman"/>
                      <w:color w:val="auto"/>
                      <w:sz w:val="21"/>
                      <w:szCs w:val="21"/>
                      <w:vertAlign w:val="baseline"/>
                      <w:lang w:val="en-US" w:eastAsia="zh-CN"/>
                    </w:rPr>
                    <w:t>传染病污水预处理系统</w:t>
                  </w:r>
                </w:p>
              </w:tc>
              <w:tc>
                <w:tcPr>
                  <w:tcW w:w="4494" w:type="dxa"/>
                  <w:vAlign w:val="center"/>
                </w:tcPr>
                <w:p w14:paraId="3CD65F01">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ascii="Times New Roman" w:hAnsi="Times New Roman" w:eastAsia="宋体" w:cs="Times New Roman"/>
                      <w:color w:val="000000"/>
                      <w:kern w:val="0"/>
                      <w:sz w:val="21"/>
                      <w:szCs w:val="21"/>
                      <w:lang w:val="en-US" w:eastAsia="zh-CN"/>
                    </w:rPr>
                  </w:pPr>
                  <w:r>
                    <w:rPr>
                      <w:rFonts w:hint="eastAsia" w:cs="Times New Roman"/>
                      <w:sz w:val="21"/>
                      <w:szCs w:val="21"/>
                      <w:vertAlign w:val="baseline"/>
                      <w:lang w:val="en-US" w:eastAsia="zh-CN"/>
                    </w:rPr>
                    <w:t>/</w:t>
                  </w:r>
                </w:p>
              </w:tc>
            </w:tr>
            <w:tr w14:paraId="5CEC4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40" w:type="dxa"/>
                  <w:vMerge w:val="continue"/>
                  <w:vAlign w:val="center"/>
                </w:tcPr>
                <w:p w14:paraId="5EF9ABEF">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420EFA12">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eastAsia" w:cs="Times New Roman"/>
                      <w:sz w:val="21"/>
                      <w:szCs w:val="21"/>
                      <w:vertAlign w:val="baseline"/>
                      <w:lang w:val="en-US" w:eastAsia="zh-CN"/>
                    </w:rPr>
                    <w:t>综合</w:t>
                  </w:r>
                  <w:r>
                    <w:rPr>
                      <w:rFonts w:hint="default" w:ascii="Times New Roman" w:hAnsi="Times New Roman" w:cs="Times New Roman"/>
                      <w:sz w:val="21"/>
                      <w:szCs w:val="21"/>
                      <w:vertAlign w:val="baseline"/>
                      <w:lang w:val="en-US" w:eastAsia="zh-CN"/>
                    </w:rPr>
                    <w:t>废水</w:t>
                  </w:r>
                </w:p>
              </w:tc>
              <w:tc>
                <w:tcPr>
                  <w:tcW w:w="1950" w:type="dxa"/>
                  <w:vAlign w:val="center"/>
                </w:tcPr>
                <w:p w14:paraId="282655C4">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eastAsia" w:cs="Times New Roman"/>
                      <w:color w:val="0000FF"/>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污水综合处理站</w:t>
                  </w:r>
                </w:p>
              </w:tc>
              <w:tc>
                <w:tcPr>
                  <w:tcW w:w="4494" w:type="dxa"/>
                  <w:vAlign w:val="center"/>
                </w:tcPr>
                <w:p w14:paraId="45ADF7A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kern w:val="0"/>
                      <w:sz w:val="21"/>
                      <w:szCs w:val="21"/>
                    </w:rPr>
                  </w:pPr>
                  <w:r>
                    <w:rPr>
                      <w:rFonts w:hint="default" w:ascii="Times New Roman" w:hAnsi="Times New Roman" w:eastAsia="宋体" w:cs="Times New Roman"/>
                      <w:color w:val="000000"/>
                      <w:kern w:val="0"/>
                      <w:sz w:val="21"/>
                      <w:szCs w:val="21"/>
                    </w:rPr>
                    <w:t>《医疗机构水污染物排放标</w:t>
                  </w:r>
                  <w:r>
                    <w:rPr>
                      <w:rFonts w:hint="default" w:ascii="Times New Roman" w:hAnsi="Times New Roman" w:cs="Times New Roman"/>
                      <w:color w:val="000000"/>
                      <w:kern w:val="0"/>
                      <w:sz w:val="21"/>
                      <w:szCs w:val="21"/>
                      <w:lang w:val="en-US" w:eastAsia="zh-CN"/>
                    </w:rPr>
                    <w:t>准》</w:t>
                  </w:r>
                  <w:r>
                    <w:rPr>
                      <w:rFonts w:hint="default" w:ascii="Times New Roman" w:hAnsi="Times New Roman" w:eastAsia="宋体" w:cs="Times New Roman"/>
                      <w:color w:val="000000"/>
                      <w:kern w:val="0"/>
                      <w:sz w:val="21"/>
                      <w:szCs w:val="21"/>
                    </w:rPr>
                    <w:t>（GB18466-</w:t>
                  </w:r>
                  <w:r>
                    <w:rPr>
                      <w:rFonts w:hint="default" w:ascii="Times New Roman" w:hAnsi="Times New Roman" w:cs="Times New Roman"/>
                      <w:color w:val="000000"/>
                      <w:kern w:val="0"/>
                      <w:sz w:val="21"/>
                      <w:szCs w:val="21"/>
                      <w:lang w:val="en-US" w:eastAsia="zh-CN"/>
                    </w:rPr>
                    <w:t xml:space="preserve"> </w:t>
                  </w:r>
                  <w:r>
                    <w:rPr>
                      <w:rFonts w:hint="default" w:ascii="Times New Roman" w:hAnsi="Times New Roman" w:eastAsia="宋体" w:cs="Times New Roman"/>
                      <w:color w:val="000000"/>
                      <w:kern w:val="0"/>
                      <w:sz w:val="21"/>
                      <w:szCs w:val="21"/>
                    </w:rPr>
                    <w:t>2005）预处理标准</w:t>
                  </w:r>
                  <w:r>
                    <w:rPr>
                      <w:rFonts w:hint="default" w:ascii="Times New Roman" w:hAnsi="Times New Roman" w:cs="Times New Roman"/>
                      <w:color w:val="000000"/>
                      <w:kern w:val="0"/>
                      <w:sz w:val="21"/>
                      <w:szCs w:val="21"/>
                      <w:lang w:val="en-US" w:eastAsia="zh-CN"/>
                    </w:rPr>
                    <w:t>和南津港污水厂接管标准，两者从严</w:t>
                  </w:r>
                </w:p>
              </w:tc>
            </w:tr>
            <w:tr w14:paraId="74E7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restart"/>
                  <w:vAlign w:val="center"/>
                </w:tcPr>
                <w:p w14:paraId="47637DB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废气</w:t>
                  </w:r>
                </w:p>
              </w:tc>
              <w:tc>
                <w:tcPr>
                  <w:tcW w:w="1335" w:type="dxa"/>
                  <w:vMerge w:val="restart"/>
                  <w:vAlign w:val="center"/>
                </w:tcPr>
                <w:p w14:paraId="32EF8874">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污水处理站臭气</w:t>
                  </w:r>
                </w:p>
              </w:tc>
              <w:tc>
                <w:tcPr>
                  <w:tcW w:w="1950" w:type="dxa"/>
                  <w:vMerge w:val="restart"/>
                  <w:vAlign w:val="center"/>
                </w:tcPr>
                <w:p w14:paraId="3927878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rPr>
                  </w:pPr>
                  <w:r>
                    <w:rPr>
                      <w:rFonts w:hint="default" w:ascii="Times New Roman" w:hAnsi="Times New Roman" w:cs="Times New Roman"/>
                      <w:color w:val="000000" w:themeColor="text1"/>
                      <w:sz w:val="21"/>
                      <w:szCs w:val="21"/>
                      <w:vertAlign w:val="baseline"/>
                      <w:lang w:val="en-US" w:eastAsia="zh-CN"/>
                    </w:rPr>
                    <w:t>加盖、密封、集气+碱喷淋+活性炭吸附+高空排放</w:t>
                  </w:r>
                  <w:r>
                    <w:rPr>
                      <w:rFonts w:hint="eastAsia" w:cs="Times New Roman"/>
                      <w:color w:val="000000" w:themeColor="text1"/>
                      <w:sz w:val="21"/>
                      <w:szCs w:val="21"/>
                      <w:vertAlign w:val="baseline"/>
                      <w:lang w:val="en-US" w:eastAsia="zh-CN"/>
                    </w:rPr>
                    <w:t>（63m）</w:t>
                  </w:r>
                </w:p>
              </w:tc>
              <w:tc>
                <w:tcPr>
                  <w:tcW w:w="4494" w:type="dxa"/>
                  <w:vAlign w:val="center"/>
                </w:tcPr>
                <w:p w14:paraId="649EB8F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rPr>
                  </w:pPr>
                  <w:r>
                    <w:rPr>
                      <w:rFonts w:hint="default" w:ascii="Times New Roman" w:hAnsi="Times New Roman" w:eastAsia="宋体" w:cs="Times New Roman"/>
                      <w:color w:val="000000" w:themeColor="text1"/>
                      <w:kern w:val="0"/>
                      <w:sz w:val="21"/>
                      <w:szCs w:val="21"/>
                    </w:rPr>
                    <w:t>《医疗机构水污染物排放标准》（GB18466-2005）</w:t>
                  </w:r>
                  <w:r>
                    <w:rPr>
                      <w:rFonts w:hint="default" w:ascii="Times New Roman" w:hAnsi="Times New Roman" w:cs="Times New Roman"/>
                      <w:color w:val="000000" w:themeColor="text1"/>
                      <w:kern w:val="0"/>
                      <w:sz w:val="21"/>
                      <w:szCs w:val="21"/>
                      <w:lang w:val="en-US" w:eastAsia="zh-CN"/>
                    </w:rPr>
                    <w:t>表3 污水处理站周边大气污染物最高允许浓度</w:t>
                  </w:r>
                </w:p>
              </w:tc>
            </w:tr>
            <w:tr w14:paraId="25972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continue"/>
                  <w:vAlign w:val="center"/>
                </w:tcPr>
                <w:p w14:paraId="7A2317DB">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Merge w:val="continue"/>
                  <w:vAlign w:val="center"/>
                </w:tcPr>
                <w:p w14:paraId="737BE83E">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vertAlign w:val="baseline"/>
                      <w:lang w:val="en-US" w:eastAsia="zh-CN"/>
                    </w:rPr>
                  </w:pPr>
                </w:p>
              </w:tc>
              <w:tc>
                <w:tcPr>
                  <w:tcW w:w="1950" w:type="dxa"/>
                  <w:vMerge w:val="continue"/>
                  <w:vAlign w:val="center"/>
                </w:tcPr>
                <w:p w14:paraId="4044C878">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vertAlign w:val="baseline"/>
                      <w:lang w:val="en-US" w:eastAsia="zh-CN"/>
                    </w:rPr>
                  </w:pPr>
                </w:p>
              </w:tc>
              <w:tc>
                <w:tcPr>
                  <w:tcW w:w="4494" w:type="dxa"/>
                  <w:vAlign w:val="center"/>
                </w:tcPr>
                <w:p w14:paraId="7BED4358">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rPr>
                  </w:pPr>
                  <w:r>
                    <w:rPr>
                      <w:rFonts w:hint="eastAsia" w:ascii="Times New Roman" w:hAnsi="Times New Roman" w:eastAsia="宋体" w:cs="Times New Roman"/>
                      <w:color w:val="000000" w:themeColor="text1"/>
                      <w:kern w:val="0"/>
                      <w:sz w:val="21"/>
                      <w:szCs w:val="21"/>
                      <w:lang w:val="en-US" w:eastAsia="zh-CN"/>
                    </w:rPr>
                    <w:t>有组织恶臭执行</w:t>
                  </w:r>
                  <w:r>
                    <w:rPr>
                      <w:rFonts w:hint="default" w:ascii="Times New Roman" w:hAnsi="Times New Roman" w:eastAsia="宋体" w:cs="Times New Roman"/>
                      <w:color w:val="000000" w:themeColor="text1"/>
                      <w:kern w:val="0"/>
                      <w:sz w:val="21"/>
                      <w:szCs w:val="21"/>
                    </w:rPr>
                    <w:t>《恶臭污染物排放标准》（GB14554-93）表2标准要求</w:t>
                  </w:r>
                </w:p>
              </w:tc>
            </w:tr>
            <w:tr w14:paraId="249D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continue"/>
                  <w:vAlign w:val="center"/>
                </w:tcPr>
                <w:p w14:paraId="624C943B">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1DC76F8C">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sz w:val="21"/>
                      <w:szCs w:val="21"/>
                      <w:vertAlign w:val="baseline"/>
                      <w:lang w:val="en-US" w:eastAsia="zh-CN"/>
                    </w:rPr>
                  </w:pPr>
                  <w:r>
                    <w:rPr>
                      <w:rFonts w:hint="eastAsia" w:ascii="Times New Roman" w:hAnsi="Times New Roman" w:cs="Times New Roman"/>
                      <w:sz w:val="21"/>
                      <w:szCs w:val="21"/>
                      <w:vertAlign w:val="baseline"/>
                      <w:lang w:val="en-US" w:eastAsia="zh-CN"/>
                    </w:rPr>
                    <w:t>厂界臭气</w:t>
                  </w:r>
                </w:p>
              </w:tc>
              <w:tc>
                <w:tcPr>
                  <w:tcW w:w="1950" w:type="dxa"/>
                  <w:vAlign w:val="center"/>
                </w:tcPr>
                <w:p w14:paraId="42D6E29D">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vertAlign w:val="baseline"/>
                      <w:lang w:val="en-US" w:eastAsia="zh-CN"/>
                    </w:rPr>
                  </w:pPr>
                  <w:r>
                    <w:rPr>
                      <w:rFonts w:hint="eastAsia" w:ascii="Times New Roman" w:hAnsi="Times New Roman" w:cs="Times New Roman"/>
                      <w:color w:val="000000" w:themeColor="text1"/>
                      <w:sz w:val="21"/>
                      <w:szCs w:val="21"/>
                      <w:vertAlign w:val="baseline"/>
                      <w:lang w:val="en-US" w:eastAsia="zh-CN"/>
                    </w:rPr>
                    <w:t>加强管理、加强密闭、及时转运</w:t>
                  </w:r>
                </w:p>
              </w:tc>
              <w:tc>
                <w:tcPr>
                  <w:tcW w:w="4494" w:type="dxa"/>
                  <w:vAlign w:val="center"/>
                </w:tcPr>
                <w:p w14:paraId="089C19BA">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eastAsia" w:ascii="Times New Roman" w:hAnsi="Times New Roman" w:eastAsia="宋体" w:cs="Times New Roman"/>
                      <w:color w:val="000000" w:themeColor="text1"/>
                      <w:kern w:val="0"/>
                      <w:sz w:val="21"/>
                      <w:szCs w:val="21"/>
                      <w:lang w:val="en-US" w:eastAsia="zh-CN"/>
                    </w:rPr>
                    <w:t>无组织恶臭执行</w:t>
                  </w:r>
                  <w:r>
                    <w:rPr>
                      <w:rFonts w:hint="default" w:ascii="Times New Roman" w:hAnsi="Times New Roman" w:eastAsia="宋体" w:cs="Times New Roman"/>
                      <w:color w:val="000000" w:themeColor="text1"/>
                      <w:kern w:val="0"/>
                      <w:sz w:val="21"/>
                      <w:szCs w:val="21"/>
                    </w:rPr>
                    <w:t>《恶臭污染物排放标准》（GB14554-93）</w:t>
                  </w:r>
                  <w:r>
                    <w:rPr>
                      <w:rFonts w:hint="eastAsia" w:ascii="Times New Roman" w:hAnsi="Times New Roman" w:eastAsia="宋体" w:cs="Times New Roman"/>
                      <w:color w:val="000000" w:themeColor="text1"/>
                      <w:kern w:val="0"/>
                      <w:sz w:val="21"/>
                      <w:szCs w:val="21"/>
                      <w:lang w:val="en-US" w:eastAsia="zh-CN"/>
                    </w:rPr>
                    <w:t>表1标准要求</w:t>
                  </w:r>
                </w:p>
              </w:tc>
            </w:tr>
            <w:tr w14:paraId="238D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continue"/>
                  <w:vAlign w:val="center"/>
                </w:tcPr>
                <w:p w14:paraId="37EAE0A1">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355F5002">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锅炉废气</w:t>
                  </w:r>
                </w:p>
              </w:tc>
              <w:tc>
                <w:tcPr>
                  <w:tcW w:w="1950" w:type="dxa"/>
                  <w:vAlign w:val="center"/>
                </w:tcPr>
                <w:p w14:paraId="3444CD9F">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vertAlign w:val="baseline"/>
                      <w:lang w:val="en-US" w:eastAsia="zh-CN"/>
                    </w:rPr>
                  </w:pPr>
                  <w:r>
                    <w:rPr>
                      <w:rFonts w:hint="eastAsia" w:cs="Times New Roman"/>
                      <w:color w:val="000000" w:themeColor="text1"/>
                      <w:sz w:val="21"/>
                      <w:szCs w:val="21"/>
                      <w:vertAlign w:val="baseline"/>
                      <w:lang w:val="en-US" w:eastAsia="zh-CN"/>
                    </w:rPr>
                    <w:t>排气筒高度8m</w:t>
                  </w:r>
                </w:p>
              </w:tc>
              <w:tc>
                <w:tcPr>
                  <w:tcW w:w="4494" w:type="dxa"/>
                  <w:vAlign w:val="center"/>
                </w:tcPr>
                <w:p w14:paraId="218CA496">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rPr>
                    <w:t>《锅炉大气污染物排放标准》（GB13271-2014）</w:t>
                  </w:r>
                  <w:r>
                    <w:rPr>
                      <w:rFonts w:hint="eastAsia" w:cs="Times New Roman"/>
                      <w:color w:val="000000" w:themeColor="text1"/>
                      <w:kern w:val="0"/>
                      <w:sz w:val="21"/>
                      <w:szCs w:val="21"/>
                      <w:lang w:val="en-US" w:eastAsia="zh-CN"/>
                    </w:rPr>
                    <w:t>表3中燃气锅炉大气污染物特别排放限值</w:t>
                  </w:r>
                </w:p>
              </w:tc>
            </w:tr>
            <w:tr w14:paraId="7074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continue"/>
                  <w:vAlign w:val="center"/>
                </w:tcPr>
                <w:p w14:paraId="0A7C3EC2">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1998617A">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食堂油烟</w:t>
                  </w:r>
                </w:p>
              </w:tc>
              <w:tc>
                <w:tcPr>
                  <w:tcW w:w="1950" w:type="dxa"/>
                  <w:vAlign w:val="center"/>
                </w:tcPr>
                <w:p w14:paraId="2AA5560F">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油烟净化器</w:t>
                  </w:r>
                </w:p>
              </w:tc>
              <w:tc>
                <w:tcPr>
                  <w:tcW w:w="4494" w:type="dxa"/>
                  <w:vAlign w:val="center"/>
                </w:tcPr>
                <w:p w14:paraId="63E464FA">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eastAsia="宋体" w:cs="Times New Roman"/>
                      <w:color w:val="auto"/>
                      <w:kern w:val="0"/>
                      <w:sz w:val="21"/>
                      <w:szCs w:val="21"/>
                    </w:rPr>
                    <w:t>《饮食业油烟排放标准（试行）》（GB18483-2001）</w:t>
                  </w:r>
                  <w:r>
                    <w:rPr>
                      <w:rFonts w:hint="eastAsia" w:cs="Times New Roman"/>
                      <w:color w:val="auto"/>
                      <w:kern w:val="0"/>
                      <w:sz w:val="21"/>
                      <w:szCs w:val="21"/>
                      <w:lang w:val="en-US" w:eastAsia="zh-CN"/>
                    </w:rPr>
                    <w:t>表2最高允许排放浓度和去除率要求</w:t>
                  </w:r>
                </w:p>
              </w:tc>
            </w:tr>
            <w:tr w14:paraId="7475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continue"/>
                  <w:vAlign w:val="center"/>
                </w:tcPr>
                <w:p w14:paraId="6A6A6964">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03E29458">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柴油发电机废气</w:t>
                  </w:r>
                </w:p>
              </w:tc>
              <w:tc>
                <w:tcPr>
                  <w:tcW w:w="1950" w:type="dxa"/>
                  <w:vAlign w:val="center"/>
                </w:tcPr>
                <w:p w14:paraId="5EE03095">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c>
                <w:tcPr>
                  <w:tcW w:w="4494" w:type="dxa"/>
                  <w:vAlign w:val="center"/>
                </w:tcPr>
                <w:p w14:paraId="66AD884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auto"/>
                      <w:kern w:val="0"/>
                      <w:sz w:val="21"/>
                      <w:szCs w:val="21"/>
                      <w:lang w:val="en-US" w:eastAsia="zh-CN"/>
                    </w:rPr>
                  </w:pPr>
                  <w:r>
                    <w:rPr>
                      <w:rFonts w:hint="eastAsia" w:cs="Times New Roman"/>
                      <w:color w:val="auto"/>
                      <w:kern w:val="0"/>
                      <w:sz w:val="21"/>
                      <w:szCs w:val="21"/>
                      <w:lang w:eastAsia="zh-CN"/>
                    </w:rPr>
                    <w:t>《</w:t>
                  </w:r>
                  <w:r>
                    <w:rPr>
                      <w:rFonts w:hint="eastAsia" w:cs="Times New Roman"/>
                      <w:color w:val="auto"/>
                      <w:kern w:val="0"/>
                      <w:sz w:val="21"/>
                      <w:szCs w:val="21"/>
                      <w:lang w:val="en-US" w:eastAsia="zh-CN"/>
                    </w:rPr>
                    <w:t>大气污染物综合排放标准</w:t>
                  </w:r>
                  <w:r>
                    <w:rPr>
                      <w:rFonts w:hint="eastAsia" w:cs="Times New Roman"/>
                      <w:color w:val="auto"/>
                      <w:kern w:val="0"/>
                      <w:sz w:val="21"/>
                      <w:szCs w:val="21"/>
                      <w:lang w:eastAsia="zh-CN"/>
                    </w:rPr>
                    <w:t>》（</w:t>
                  </w:r>
                  <w:r>
                    <w:rPr>
                      <w:rFonts w:hint="eastAsia" w:cs="Times New Roman"/>
                      <w:color w:val="auto"/>
                      <w:kern w:val="0"/>
                      <w:sz w:val="21"/>
                      <w:szCs w:val="21"/>
                      <w:lang w:val="en-US" w:eastAsia="zh-CN"/>
                    </w:rPr>
                    <w:t>G16297-1996</w:t>
                  </w:r>
                  <w:r>
                    <w:rPr>
                      <w:rFonts w:hint="eastAsia" w:cs="Times New Roman"/>
                      <w:color w:val="auto"/>
                      <w:kern w:val="0"/>
                      <w:sz w:val="21"/>
                      <w:szCs w:val="21"/>
                      <w:lang w:eastAsia="zh-CN"/>
                    </w:rPr>
                    <w:t>）</w:t>
                  </w:r>
                  <w:r>
                    <w:rPr>
                      <w:rFonts w:hint="eastAsia" w:cs="Times New Roman"/>
                      <w:color w:val="auto"/>
                      <w:kern w:val="0"/>
                      <w:sz w:val="21"/>
                      <w:szCs w:val="21"/>
                      <w:lang w:val="en-US" w:eastAsia="zh-CN"/>
                    </w:rPr>
                    <w:t>表2最高允许排放浓度</w:t>
                  </w:r>
                </w:p>
              </w:tc>
            </w:tr>
            <w:tr w14:paraId="6CBF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Align w:val="center"/>
                </w:tcPr>
                <w:p w14:paraId="60FF4ACC">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噪声</w:t>
                  </w:r>
                </w:p>
              </w:tc>
              <w:tc>
                <w:tcPr>
                  <w:tcW w:w="1335" w:type="dxa"/>
                  <w:vAlign w:val="center"/>
                </w:tcPr>
                <w:p w14:paraId="4D63058E">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kern w:val="0"/>
                      <w:sz w:val="21"/>
                      <w:szCs w:val="21"/>
                      <w:lang w:val="en-US" w:eastAsia="zh-CN" w:bidi="ar"/>
                    </w:rPr>
                  </w:pPr>
                  <w:r>
                    <w:rPr>
                      <w:rFonts w:hint="default" w:ascii="Times New Roman" w:hAnsi="Times New Roman" w:cs="Times New Roman"/>
                      <w:color w:val="000000"/>
                      <w:kern w:val="0"/>
                      <w:sz w:val="21"/>
                      <w:szCs w:val="21"/>
                      <w:lang w:val="en-US" w:eastAsia="zh-CN" w:bidi="ar"/>
                    </w:rPr>
                    <w:t>设备噪声</w:t>
                  </w:r>
                </w:p>
              </w:tc>
              <w:tc>
                <w:tcPr>
                  <w:tcW w:w="1950" w:type="dxa"/>
                  <w:vAlign w:val="center"/>
                </w:tcPr>
                <w:p w14:paraId="7C660D1C">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合理布局，采取隔振、减振等综合治理措施</w:t>
                  </w:r>
                </w:p>
              </w:tc>
              <w:tc>
                <w:tcPr>
                  <w:tcW w:w="4494" w:type="dxa"/>
                  <w:vAlign w:val="center"/>
                </w:tcPr>
                <w:p w14:paraId="6562130E">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rPr>
                    <w:t>《工业企业厂界环境噪声排放标准》（GB12348—2008）2类</w:t>
                  </w:r>
                </w:p>
              </w:tc>
            </w:tr>
            <w:tr w14:paraId="5BA7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restart"/>
                  <w:vAlign w:val="center"/>
                </w:tcPr>
                <w:p w14:paraId="28B0B824">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固废</w:t>
                  </w:r>
                </w:p>
              </w:tc>
              <w:tc>
                <w:tcPr>
                  <w:tcW w:w="1335" w:type="dxa"/>
                  <w:vAlign w:val="center"/>
                </w:tcPr>
                <w:p w14:paraId="70712D32">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rPr>
                  </w:pPr>
                  <w:r>
                    <w:rPr>
                      <w:rFonts w:hint="default" w:ascii="Times New Roman" w:hAnsi="Times New Roman" w:eastAsia="宋体" w:cs="Times New Roman"/>
                      <w:color w:val="000000" w:themeColor="text1"/>
                      <w:sz w:val="21"/>
                      <w:szCs w:val="21"/>
                      <w:vertAlign w:val="baseline"/>
                      <w:lang w:val="en-US" w:eastAsia="zh-CN"/>
                    </w:rPr>
                    <w:t>生活垃圾</w:t>
                  </w:r>
                </w:p>
              </w:tc>
              <w:tc>
                <w:tcPr>
                  <w:tcW w:w="1950" w:type="dxa"/>
                  <w:vAlign w:val="center"/>
                </w:tcPr>
                <w:p w14:paraId="19E0995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rPr>
                  </w:pPr>
                  <w:r>
                    <w:rPr>
                      <w:rFonts w:hint="default" w:ascii="Times New Roman" w:hAnsi="Times New Roman" w:cs="Times New Roman"/>
                      <w:color w:val="000000" w:themeColor="text1"/>
                      <w:sz w:val="21"/>
                      <w:szCs w:val="21"/>
                      <w:vertAlign w:val="baseline"/>
                      <w:lang w:val="en-US" w:eastAsia="zh-CN"/>
                    </w:rPr>
                    <w:t>环卫部门统一清运</w:t>
                  </w:r>
                </w:p>
              </w:tc>
              <w:tc>
                <w:tcPr>
                  <w:tcW w:w="4494" w:type="dxa"/>
                  <w:vAlign w:val="center"/>
                </w:tcPr>
                <w:p w14:paraId="1DFD6A1D">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rPr>
                  </w:pPr>
                  <w:r>
                    <w:rPr>
                      <w:rFonts w:hint="default" w:ascii="Times New Roman" w:hAnsi="Times New Roman" w:cs="Times New Roman"/>
                      <w:color w:val="000000" w:themeColor="text1"/>
                      <w:sz w:val="21"/>
                      <w:szCs w:val="21"/>
                      <w:vertAlign w:val="baseline"/>
                      <w:lang w:val="en-US" w:eastAsia="zh-CN"/>
                    </w:rPr>
                    <w:t>《生活垃圾填埋场污染控制标准》（</w:t>
                  </w:r>
                  <w:r>
                    <w:rPr>
                      <w:rFonts w:hint="default" w:ascii="Times New Roman" w:hAnsi="Times New Roman" w:eastAsia="宋体" w:cs="Times New Roman"/>
                      <w:color w:val="000000" w:themeColor="text1"/>
                      <w:sz w:val="21"/>
                      <w:szCs w:val="21"/>
                    </w:rPr>
                    <w:t>GB1</w:t>
                  </w:r>
                  <w:r>
                    <w:rPr>
                      <w:rFonts w:hint="default" w:ascii="Times New Roman" w:hAnsi="Times New Roman" w:eastAsia="宋体" w:cs="Times New Roman"/>
                      <w:color w:val="000000" w:themeColor="text1"/>
                      <w:sz w:val="21"/>
                      <w:szCs w:val="21"/>
                      <w:lang w:val="en-US" w:eastAsia="zh-CN"/>
                    </w:rPr>
                    <w:t>6889</w:t>
                  </w:r>
                  <w:r>
                    <w:rPr>
                      <w:rFonts w:hint="default" w:ascii="Times New Roman" w:hAnsi="Times New Roman" w:eastAsia="宋体" w:cs="Times New Roman"/>
                      <w:color w:val="000000" w:themeColor="text1"/>
                      <w:sz w:val="21"/>
                      <w:szCs w:val="21"/>
                    </w:rPr>
                    <w:t>-20</w:t>
                  </w:r>
                  <w:r>
                    <w:rPr>
                      <w:rFonts w:hint="default" w:ascii="Times New Roman" w:hAnsi="Times New Roman" w:eastAsia="宋体" w:cs="Times New Roman"/>
                      <w:color w:val="000000" w:themeColor="text1"/>
                      <w:sz w:val="21"/>
                      <w:szCs w:val="21"/>
                      <w:lang w:val="en-US" w:eastAsia="zh-CN"/>
                    </w:rPr>
                    <w:t>08</w:t>
                  </w:r>
                  <w:r>
                    <w:rPr>
                      <w:rFonts w:hint="default" w:ascii="Times New Roman" w:hAnsi="Times New Roman" w:cs="Times New Roman"/>
                      <w:color w:val="000000" w:themeColor="text1"/>
                      <w:sz w:val="21"/>
                      <w:szCs w:val="21"/>
                      <w:vertAlign w:val="baseline"/>
                      <w:lang w:val="en-US" w:eastAsia="zh-CN"/>
                    </w:rPr>
                    <w:t>）</w:t>
                  </w:r>
                </w:p>
              </w:tc>
            </w:tr>
            <w:tr w14:paraId="6848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continue"/>
                  <w:vAlign w:val="center"/>
                </w:tcPr>
                <w:p w14:paraId="3E8296D6">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45FFAF24">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color w:val="000000" w:themeColor="text1"/>
                      <w:sz w:val="21"/>
                      <w:szCs w:val="21"/>
                      <w:vertAlign w:val="baseline"/>
                      <w:lang w:val="en-US" w:eastAsia="zh-CN"/>
                    </w:rPr>
                  </w:pPr>
                  <w:r>
                    <w:rPr>
                      <w:rFonts w:hint="eastAsia" w:ascii="Times New Roman" w:hAnsi="Times New Roman" w:eastAsia="宋体" w:cs="Times New Roman"/>
                      <w:color w:val="000000" w:themeColor="text1"/>
                      <w:sz w:val="21"/>
                      <w:szCs w:val="21"/>
                      <w:highlight w:val="none"/>
                      <w:vertAlign w:val="baseline"/>
                      <w:lang w:val="en-US" w:eastAsia="zh-CN"/>
                    </w:rPr>
                    <w:t>废包装物</w:t>
                  </w:r>
                  <w:r>
                    <w:rPr>
                      <w:rFonts w:hint="eastAsia" w:cs="Times New Roman"/>
                      <w:color w:val="000000" w:themeColor="text1"/>
                      <w:sz w:val="21"/>
                      <w:szCs w:val="21"/>
                      <w:highlight w:val="none"/>
                      <w:vertAlign w:val="baseline"/>
                      <w:lang w:val="en-US" w:eastAsia="zh-CN"/>
                    </w:rPr>
                    <w:t>、未被污染的一次性塑料输液瓶（袋）</w:t>
                  </w:r>
                </w:p>
              </w:tc>
              <w:tc>
                <w:tcPr>
                  <w:tcW w:w="1950" w:type="dxa"/>
                  <w:vAlign w:val="center"/>
                </w:tcPr>
                <w:p w14:paraId="091E63A4">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vertAlign w:val="baseline"/>
                      <w:lang w:val="en-US" w:eastAsia="zh-CN"/>
                    </w:rPr>
                  </w:pPr>
                  <w:r>
                    <w:rPr>
                      <w:rFonts w:hint="eastAsia" w:cs="Times New Roman"/>
                      <w:color w:val="000000" w:themeColor="text1"/>
                      <w:sz w:val="21"/>
                      <w:szCs w:val="21"/>
                      <w:vertAlign w:val="baseline"/>
                      <w:lang w:val="en-US" w:eastAsia="zh-CN"/>
                    </w:rPr>
                    <w:t>统一收集暂存后外售，</w:t>
                  </w:r>
                  <w:r>
                    <w:rPr>
                      <w:rFonts w:hint="eastAsia" w:cs="Times New Roman"/>
                      <w:color w:val="000000" w:themeColor="text1"/>
                      <w:sz w:val="21"/>
                      <w:szCs w:val="21"/>
                      <w:highlight w:val="none"/>
                      <w:vertAlign w:val="baseline"/>
                      <w:lang w:val="en-US" w:eastAsia="zh-CN"/>
                    </w:rPr>
                    <w:t>一般固废暂存间</w:t>
                  </w:r>
                </w:p>
              </w:tc>
              <w:tc>
                <w:tcPr>
                  <w:tcW w:w="4494" w:type="dxa"/>
                  <w:vAlign w:val="center"/>
                </w:tcPr>
                <w:p w14:paraId="54355196">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cs="Times New Roman"/>
                      <w:color w:val="000000" w:themeColor="text1"/>
                      <w:sz w:val="21"/>
                      <w:szCs w:val="21"/>
                      <w:vertAlign w:val="baseline"/>
                      <w:lang w:val="en-US" w:eastAsia="zh-CN"/>
                    </w:rPr>
                  </w:pPr>
                  <w:r>
                    <w:rPr>
                      <w:rFonts w:hint="eastAsia" w:ascii="Times New Roman" w:hAnsi="Times New Roman" w:cs="Times New Roman"/>
                      <w:color w:val="000000" w:themeColor="text1"/>
                      <w:sz w:val="21"/>
                      <w:szCs w:val="21"/>
                      <w:vertAlign w:val="baseline"/>
                      <w:lang w:val="en-US" w:eastAsia="zh-CN"/>
                    </w:rPr>
                    <w:t>《一般工业固体废物贮存和填埋污染控制标准》（GB 18599-2020）</w:t>
                  </w:r>
                </w:p>
              </w:tc>
            </w:tr>
            <w:tr w14:paraId="63CF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0" w:type="dxa"/>
                  <w:vMerge w:val="continue"/>
                  <w:vAlign w:val="center"/>
                </w:tcPr>
                <w:p w14:paraId="11F3CFBD">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p>
              </w:tc>
              <w:tc>
                <w:tcPr>
                  <w:tcW w:w="1335" w:type="dxa"/>
                  <w:vAlign w:val="center"/>
                </w:tcPr>
                <w:p w14:paraId="09F578A0">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危险</w:t>
                  </w:r>
                  <w:r>
                    <w:rPr>
                      <w:rFonts w:hint="default" w:ascii="Times New Roman" w:hAnsi="Times New Roman" w:eastAsia="宋体" w:cs="Times New Roman"/>
                      <w:sz w:val="21"/>
                      <w:szCs w:val="21"/>
                      <w:vertAlign w:val="baseline"/>
                      <w:lang w:val="en-US" w:eastAsia="zh-CN"/>
                    </w:rPr>
                    <w:t>废物</w:t>
                  </w:r>
                </w:p>
              </w:tc>
              <w:tc>
                <w:tcPr>
                  <w:tcW w:w="1950" w:type="dxa"/>
                  <w:vAlign w:val="center"/>
                </w:tcPr>
                <w:p w14:paraId="21059D66">
                  <w:pPr>
                    <w:keepNext w:val="0"/>
                    <w:keepLines w:val="0"/>
                    <w:pageBreakBefore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cs="Times New Roman"/>
                      <w:sz w:val="21"/>
                      <w:szCs w:val="21"/>
                      <w:vertAlign w:val="baseline"/>
                      <w:lang w:val="en-US" w:eastAsia="zh-CN"/>
                    </w:rPr>
                    <w:t>危险</w:t>
                  </w:r>
                  <w:r>
                    <w:rPr>
                      <w:rFonts w:hint="default" w:ascii="Times New Roman" w:hAnsi="Times New Roman" w:eastAsia="宋体" w:cs="Times New Roman"/>
                      <w:sz w:val="21"/>
                      <w:szCs w:val="21"/>
                      <w:vertAlign w:val="baseline"/>
                      <w:lang w:val="en-US" w:eastAsia="zh-CN"/>
                    </w:rPr>
                    <w:t>废物</w:t>
                  </w:r>
                  <w:r>
                    <w:rPr>
                      <w:rFonts w:hint="default" w:ascii="Times New Roman" w:hAnsi="Times New Roman" w:cs="Times New Roman"/>
                      <w:sz w:val="21"/>
                      <w:szCs w:val="21"/>
                      <w:vertAlign w:val="baseline"/>
                      <w:lang w:val="en-US" w:eastAsia="zh-CN"/>
                    </w:rPr>
                    <w:t>暂存间</w:t>
                  </w:r>
                </w:p>
              </w:tc>
              <w:tc>
                <w:tcPr>
                  <w:tcW w:w="4494" w:type="dxa"/>
                  <w:vAlign w:val="center"/>
                </w:tcPr>
                <w:p w14:paraId="5CBC776A">
                  <w:pPr>
                    <w:keepNext w:val="0"/>
                    <w:keepLines w:val="0"/>
                    <w:pageBreakBefore w:val="0"/>
                    <w:widowControl/>
                    <w:suppressLineNumbers w:val="0"/>
                    <w:kinsoku/>
                    <w:wordWrap/>
                    <w:overflowPunct/>
                    <w:topLinePunct w:val="0"/>
                    <w:autoSpaceDE/>
                    <w:autoSpaceDN/>
                    <w:bidi w:val="0"/>
                    <w:adjustRightInd/>
                    <w:snapToGrid/>
                    <w:spacing w:before="60" w:after="60" w:line="240" w:lineRule="auto"/>
                    <w:jc w:val="center"/>
                    <w:textAlignment w:val="auto"/>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color w:val="000000"/>
                      <w:kern w:val="0"/>
                      <w:sz w:val="21"/>
                      <w:szCs w:val="21"/>
                      <w:lang w:val="en-US" w:eastAsia="zh-CN" w:bidi="ar"/>
                    </w:rPr>
                    <w:t>《危险废物贮存污染控制标准</w:t>
                  </w:r>
                  <w:r>
                    <w:rPr>
                      <w:rFonts w:hint="default" w:ascii="Times New Roman" w:hAnsi="Times New Roman" w:cs="Times New Roman"/>
                      <w:color w:val="000000"/>
                      <w:kern w:val="0"/>
                      <w:sz w:val="21"/>
                      <w:szCs w:val="21"/>
                      <w:lang w:val="en-US" w:eastAsia="zh-CN" w:bidi="ar"/>
                    </w:rPr>
                    <w:t>》</w:t>
                  </w:r>
                  <w:r>
                    <w:rPr>
                      <w:rFonts w:hint="default" w:ascii="Times New Roman" w:hAnsi="Times New Roman" w:eastAsia="宋体" w:cs="Times New Roman"/>
                      <w:color w:val="000000" w:themeColor="text1"/>
                      <w:sz w:val="21"/>
                      <w:szCs w:val="21"/>
                      <w:lang w:val="en-US" w:eastAsia="zh-CN"/>
                    </w:rPr>
                    <w:t>（GB18597-2023）</w:t>
                  </w:r>
                </w:p>
              </w:tc>
            </w:tr>
          </w:tbl>
          <w:p w14:paraId="527CCE43">
            <w:pPr>
              <w:pStyle w:val="36"/>
              <w:spacing w:afterAutospacing="0"/>
              <w:ind w:firstLine="0"/>
              <w:rPr>
                <w:rFonts w:hint="default" w:ascii="Times New Roman" w:hAnsi="Times New Roman" w:eastAsia="宋体" w:cs="Times New Roman"/>
                <w:vertAlign w:val="baseline"/>
                <w:lang w:eastAsia="zh-CN"/>
              </w:rPr>
            </w:pPr>
          </w:p>
          <w:p w14:paraId="0CDCE62D">
            <w:pPr>
              <w:pStyle w:val="36"/>
              <w:spacing w:afterAutospacing="0"/>
              <w:ind w:firstLine="0"/>
              <w:rPr>
                <w:rFonts w:hint="default" w:ascii="Times New Roman" w:hAnsi="Times New Roman" w:eastAsia="宋体" w:cs="Times New Roman"/>
                <w:vertAlign w:val="baseline"/>
                <w:lang w:eastAsia="zh-CN"/>
              </w:rPr>
            </w:pPr>
          </w:p>
          <w:p w14:paraId="55A84BE5">
            <w:pPr>
              <w:pStyle w:val="36"/>
              <w:spacing w:afterAutospacing="0"/>
              <w:ind w:firstLine="0"/>
              <w:rPr>
                <w:rFonts w:hint="default" w:ascii="Times New Roman" w:hAnsi="Times New Roman" w:eastAsia="宋体" w:cs="Times New Roman"/>
                <w:vertAlign w:val="baseline"/>
                <w:lang w:eastAsia="zh-CN"/>
              </w:rPr>
            </w:pPr>
          </w:p>
        </w:tc>
      </w:tr>
    </w:tbl>
    <w:p w14:paraId="56149D4C">
      <w:pPr>
        <w:pStyle w:val="36"/>
        <w:tabs>
          <w:tab w:val="left" w:pos="2030"/>
        </w:tabs>
        <w:ind w:left="0" w:leftChars="0" w:firstLine="0" w:firstLineChars="0"/>
        <w:rPr>
          <w:rFonts w:hint="eastAsia" w:eastAsia="宋体"/>
          <w:lang w:eastAsia="zh-CN"/>
        </w:rPr>
        <w:sectPr>
          <w:pgSz w:w="11906" w:h="16838"/>
          <w:pgMar w:top="1701" w:right="1531" w:bottom="1701" w:left="1531" w:header="851" w:footer="850" w:gutter="0"/>
          <w:pgBorders>
            <w:top w:val="none" w:sz="0" w:space="0"/>
            <w:left w:val="none" w:sz="0" w:space="0"/>
            <w:bottom w:val="none" w:sz="0" w:space="0"/>
            <w:right w:val="none" w:sz="0" w:space="0"/>
          </w:pgBorders>
          <w:pgNumType w:fmt="numberInDash" w:chapSep="emDash"/>
          <w:cols w:space="720" w:num="1"/>
          <w:docGrid w:linePitch="312" w:charSpace="0"/>
        </w:sectPr>
      </w:pPr>
    </w:p>
    <w:p w14:paraId="5E8D4068">
      <w:pPr>
        <w:pStyle w:val="2"/>
        <w:jc w:val="center"/>
        <w:rPr>
          <w:rFonts w:eastAsia="宋体"/>
          <w:b/>
          <w:bCs/>
          <w:snapToGrid w:val="0"/>
          <w:color w:val="000000" w:themeColor="text1"/>
        </w:rPr>
      </w:pPr>
      <w:bookmarkStart w:id="14" w:name="_Toc70435065"/>
      <w:bookmarkStart w:id="15" w:name="_Toc139925582"/>
      <w:r>
        <w:rPr>
          <w:rFonts w:eastAsia="宋体"/>
          <w:b/>
          <w:bCs/>
          <w:snapToGrid w:val="0"/>
          <w:color w:val="000000" w:themeColor="text1"/>
        </w:rPr>
        <w:t>五、</w:t>
      </w:r>
      <w:bookmarkStart w:id="16" w:name="_Hlk54167917"/>
      <w:r>
        <w:rPr>
          <w:rFonts w:eastAsia="宋体"/>
          <w:b/>
          <w:bCs/>
          <w:snapToGrid w:val="0"/>
          <w:color w:val="000000" w:themeColor="text1"/>
        </w:rPr>
        <w:t>环境保护措施监督检查清单</w:t>
      </w:r>
      <w:bookmarkEnd w:id="14"/>
      <w:bookmarkEnd w:id="15"/>
      <w:bookmarkEnd w:id="16"/>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95"/>
        <w:gridCol w:w="1493"/>
        <w:gridCol w:w="1905"/>
        <w:gridCol w:w="1245"/>
        <w:gridCol w:w="2862"/>
      </w:tblGrid>
      <w:tr w14:paraId="1D29D2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95" w:type="dxa"/>
            <w:tcBorders>
              <w:tl2br w:val="single" w:color="auto" w:sz="4" w:space="0"/>
            </w:tcBorders>
            <w:vAlign w:val="center"/>
          </w:tcPr>
          <w:p w14:paraId="024BFD05">
            <w:pPr>
              <w:adjustRightInd w:val="0"/>
              <w:snapToGrid w:val="0"/>
              <w:ind w:firstLine="632" w:firstLineChars="300"/>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内容</w:t>
            </w:r>
          </w:p>
          <w:p w14:paraId="09723650">
            <w:pPr>
              <w:adjustRightInd w:val="0"/>
              <w:snapToGrid w:val="0"/>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要素</w:t>
            </w:r>
          </w:p>
        </w:tc>
        <w:tc>
          <w:tcPr>
            <w:tcW w:w="1493" w:type="dxa"/>
            <w:vAlign w:val="center"/>
          </w:tcPr>
          <w:p w14:paraId="725FF001">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排放口(编号、</w:t>
            </w:r>
          </w:p>
          <w:p w14:paraId="5EAC0897">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名称)/污染源</w:t>
            </w:r>
          </w:p>
        </w:tc>
        <w:tc>
          <w:tcPr>
            <w:tcW w:w="1905" w:type="dxa"/>
            <w:vAlign w:val="center"/>
          </w:tcPr>
          <w:p w14:paraId="64E67419">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污染物项目</w:t>
            </w:r>
          </w:p>
        </w:tc>
        <w:tc>
          <w:tcPr>
            <w:tcW w:w="1245" w:type="dxa"/>
            <w:vAlign w:val="center"/>
          </w:tcPr>
          <w:p w14:paraId="1D0880B1">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环境保护措施</w:t>
            </w:r>
          </w:p>
        </w:tc>
        <w:tc>
          <w:tcPr>
            <w:tcW w:w="2862" w:type="dxa"/>
            <w:vAlign w:val="center"/>
          </w:tcPr>
          <w:p w14:paraId="21D7EFFC">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
                <w:bCs/>
                <w:color w:val="000000" w:themeColor="text1"/>
                <w:sz w:val="21"/>
                <w:szCs w:val="21"/>
              </w:rPr>
            </w:pPr>
            <w:r>
              <w:rPr>
                <w:rFonts w:hint="default" w:ascii="Times New Roman" w:hAnsi="Times New Roman" w:eastAsia="宋体" w:cs="Times New Roman"/>
                <w:b/>
                <w:bCs/>
                <w:color w:val="000000" w:themeColor="text1"/>
                <w:sz w:val="21"/>
                <w:szCs w:val="21"/>
              </w:rPr>
              <w:t>执行标准</w:t>
            </w:r>
          </w:p>
        </w:tc>
      </w:tr>
      <w:tr w14:paraId="4AE1F5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restart"/>
            <w:vAlign w:val="center"/>
          </w:tcPr>
          <w:p w14:paraId="7D001E03">
            <w:pPr>
              <w:adjustRightInd w:val="0"/>
              <w:snapToGrid w:val="0"/>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大气环境</w:t>
            </w:r>
          </w:p>
        </w:tc>
        <w:tc>
          <w:tcPr>
            <w:tcW w:w="1493" w:type="dxa"/>
            <w:tcBorders>
              <w:bottom w:val="single" w:color="000000" w:sz="4" w:space="0"/>
            </w:tcBorders>
            <w:vAlign w:val="center"/>
          </w:tcPr>
          <w:p w14:paraId="1303E591">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Cs/>
                <w:color w:val="000000" w:themeColor="text1"/>
                <w:spacing w:val="-10"/>
                <w:sz w:val="21"/>
                <w:szCs w:val="21"/>
                <w:lang w:val="en-US" w:eastAsia="zh-CN"/>
              </w:rPr>
            </w:pPr>
            <w:r>
              <w:rPr>
                <w:rFonts w:hint="eastAsia" w:ascii="Times New Roman" w:hAnsi="Times New Roman" w:cs="Times New Roman"/>
                <w:bCs/>
                <w:color w:val="000000" w:themeColor="text1"/>
                <w:spacing w:val="-10"/>
                <w:sz w:val="21"/>
                <w:szCs w:val="21"/>
                <w:lang w:val="en-US" w:eastAsia="zh-CN"/>
              </w:rPr>
              <w:t>综合</w:t>
            </w:r>
            <w:r>
              <w:rPr>
                <w:rFonts w:hint="default" w:ascii="Times New Roman" w:hAnsi="Times New Roman" w:eastAsia="宋体" w:cs="Times New Roman"/>
                <w:bCs/>
                <w:color w:val="000000" w:themeColor="text1"/>
                <w:spacing w:val="-10"/>
                <w:sz w:val="21"/>
                <w:szCs w:val="21"/>
              </w:rPr>
              <w:t>污水处理</w:t>
            </w:r>
            <w:r>
              <w:rPr>
                <w:rFonts w:hint="eastAsia" w:ascii="Times New Roman" w:hAnsi="Times New Roman" w:cs="Times New Roman"/>
                <w:bCs/>
                <w:color w:val="000000" w:themeColor="text1"/>
                <w:spacing w:val="-10"/>
                <w:sz w:val="21"/>
                <w:szCs w:val="21"/>
                <w:lang w:val="en-US" w:eastAsia="zh-CN"/>
              </w:rPr>
              <w:t>站</w:t>
            </w:r>
          </w:p>
        </w:tc>
        <w:tc>
          <w:tcPr>
            <w:tcW w:w="1905" w:type="dxa"/>
            <w:tcBorders>
              <w:bottom w:val="single" w:color="000000" w:sz="4" w:space="0"/>
            </w:tcBorders>
            <w:vAlign w:val="center"/>
          </w:tcPr>
          <w:p w14:paraId="56091245">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氨、硫化氢、臭气浓度、甲烷、氯气</w:t>
            </w:r>
          </w:p>
        </w:tc>
        <w:tc>
          <w:tcPr>
            <w:tcW w:w="1245" w:type="dxa"/>
            <w:tcBorders>
              <w:bottom w:val="single" w:color="000000" w:sz="4" w:space="0"/>
            </w:tcBorders>
            <w:vAlign w:val="center"/>
          </w:tcPr>
          <w:p w14:paraId="2D104B3C">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kern w:val="0"/>
                <w:sz w:val="21"/>
                <w:szCs w:val="21"/>
                <w:highlight w:val="none"/>
                <w:lang w:val="en-US" w:eastAsia="zh-CN"/>
              </w:rPr>
              <w:t>密封、</w:t>
            </w:r>
            <w:r>
              <w:rPr>
                <w:rFonts w:hint="default" w:ascii="Times New Roman" w:hAnsi="Times New Roman" w:eastAsia="宋体" w:cs="Times New Roman"/>
                <w:color w:val="000000"/>
                <w:kern w:val="0"/>
                <w:sz w:val="21"/>
                <w:szCs w:val="21"/>
                <w:highlight w:val="none"/>
              </w:rPr>
              <w:t>加盖</w:t>
            </w:r>
          </w:p>
        </w:tc>
        <w:tc>
          <w:tcPr>
            <w:tcW w:w="2862" w:type="dxa"/>
            <w:vAlign w:val="center"/>
          </w:tcPr>
          <w:p w14:paraId="459D99A1">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kern w:val="0"/>
                <w:sz w:val="21"/>
                <w:szCs w:val="21"/>
              </w:rPr>
            </w:pPr>
            <w:r>
              <w:rPr>
                <w:rFonts w:hint="default" w:ascii="Times New Roman" w:hAnsi="Times New Roman" w:eastAsia="宋体" w:cs="Times New Roman"/>
                <w:color w:val="000000"/>
                <w:kern w:val="0"/>
                <w:sz w:val="21"/>
                <w:szCs w:val="21"/>
              </w:rPr>
              <w:t>《医疗机构水污染物排放标准》（GB18466-2005）</w:t>
            </w:r>
            <w:r>
              <w:rPr>
                <w:rFonts w:hint="default" w:ascii="Times New Roman" w:hAnsi="Times New Roman" w:cs="Times New Roman"/>
                <w:color w:val="000000"/>
                <w:kern w:val="0"/>
                <w:sz w:val="21"/>
                <w:szCs w:val="21"/>
                <w:lang w:val="en-US" w:eastAsia="zh-CN"/>
              </w:rPr>
              <w:t>表3 污水处理站周边大气污染物最高允许浓度</w:t>
            </w:r>
          </w:p>
        </w:tc>
      </w:tr>
      <w:tr w14:paraId="5DA2AD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continue"/>
            <w:vAlign w:val="center"/>
          </w:tcPr>
          <w:p w14:paraId="51125394">
            <w:pPr>
              <w:adjustRightInd w:val="0"/>
              <w:snapToGrid w:val="0"/>
              <w:jc w:val="center"/>
              <w:rPr>
                <w:rFonts w:hint="default" w:ascii="Times New Roman" w:hAnsi="Times New Roman" w:eastAsia="宋体" w:cs="Times New Roman"/>
                <w:color w:val="000000" w:themeColor="text1"/>
                <w:sz w:val="21"/>
                <w:szCs w:val="21"/>
              </w:rPr>
            </w:pPr>
          </w:p>
        </w:tc>
        <w:tc>
          <w:tcPr>
            <w:tcW w:w="1493" w:type="dxa"/>
            <w:tcBorders>
              <w:bottom w:val="single" w:color="000000" w:sz="4" w:space="0"/>
            </w:tcBorders>
            <w:vAlign w:val="center"/>
          </w:tcPr>
          <w:p w14:paraId="799896A0">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cs="Times New Roman"/>
                <w:bCs/>
                <w:color w:val="000000" w:themeColor="text1"/>
                <w:spacing w:val="-10"/>
                <w:sz w:val="21"/>
                <w:szCs w:val="21"/>
                <w:u w:val="single"/>
                <w:lang w:val="en-US" w:eastAsia="zh-CN"/>
              </w:rPr>
            </w:pPr>
            <w:r>
              <w:rPr>
                <w:rFonts w:hint="eastAsia" w:cs="Times New Roman"/>
                <w:bCs/>
                <w:color w:val="000000" w:themeColor="text1"/>
                <w:spacing w:val="-10"/>
                <w:sz w:val="21"/>
                <w:szCs w:val="21"/>
                <w:u w:val="single"/>
                <w:lang w:val="en-US" w:eastAsia="zh-CN"/>
              </w:rPr>
              <w:t>厂界下风向</w:t>
            </w:r>
          </w:p>
        </w:tc>
        <w:tc>
          <w:tcPr>
            <w:tcW w:w="1905" w:type="dxa"/>
            <w:tcBorders>
              <w:bottom w:val="single" w:color="000000" w:sz="4" w:space="0"/>
            </w:tcBorders>
            <w:vAlign w:val="center"/>
          </w:tcPr>
          <w:p w14:paraId="22705C86">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u w:val="single"/>
                <w:lang w:val="en-US" w:eastAsia="zh-CN"/>
              </w:rPr>
            </w:pPr>
            <w:r>
              <w:rPr>
                <w:rFonts w:hint="eastAsia" w:cs="Times New Roman"/>
                <w:color w:val="000000" w:themeColor="text1"/>
                <w:sz w:val="21"/>
                <w:szCs w:val="21"/>
                <w:u w:val="single"/>
                <w:lang w:val="en-US" w:eastAsia="zh-CN"/>
              </w:rPr>
              <w:t>臭气浓度</w:t>
            </w:r>
          </w:p>
        </w:tc>
        <w:tc>
          <w:tcPr>
            <w:tcW w:w="1245" w:type="dxa"/>
            <w:tcBorders>
              <w:bottom w:val="single" w:color="000000" w:sz="4" w:space="0"/>
            </w:tcBorders>
            <w:vAlign w:val="center"/>
          </w:tcPr>
          <w:p w14:paraId="2AD00BF6">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kern w:val="0"/>
                <w:sz w:val="21"/>
                <w:szCs w:val="21"/>
                <w:highlight w:val="none"/>
                <w:u w:val="single"/>
                <w:lang w:val="en-US" w:eastAsia="zh-CN"/>
              </w:rPr>
            </w:pPr>
            <w:r>
              <w:rPr>
                <w:rFonts w:hint="eastAsia" w:cs="Times New Roman"/>
                <w:color w:val="000000"/>
                <w:kern w:val="0"/>
                <w:sz w:val="21"/>
                <w:szCs w:val="21"/>
                <w:highlight w:val="none"/>
                <w:u w:val="single"/>
                <w:lang w:val="en-US" w:eastAsia="zh-CN"/>
              </w:rPr>
              <w:t>加强管理、加强密闭、及时转运</w:t>
            </w:r>
          </w:p>
        </w:tc>
        <w:tc>
          <w:tcPr>
            <w:tcW w:w="2862" w:type="dxa"/>
            <w:vAlign w:val="center"/>
          </w:tcPr>
          <w:p w14:paraId="1A3908F3">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kern w:val="0"/>
                <w:sz w:val="21"/>
                <w:szCs w:val="21"/>
                <w:u w:val="single"/>
              </w:rPr>
            </w:pPr>
            <w:r>
              <w:rPr>
                <w:rFonts w:hint="default" w:ascii="Times New Roman" w:hAnsi="Times New Roman" w:eastAsia="宋体" w:cs="Times New Roman"/>
                <w:color w:val="000000"/>
                <w:kern w:val="0"/>
                <w:sz w:val="21"/>
                <w:szCs w:val="21"/>
                <w:u w:val="single"/>
              </w:rPr>
              <w:t>《恶臭污染物排放标准》（GB14554-93）表1标准要求</w:t>
            </w:r>
          </w:p>
        </w:tc>
      </w:tr>
      <w:tr w14:paraId="7B8AF8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continue"/>
            <w:vAlign w:val="center"/>
          </w:tcPr>
          <w:p w14:paraId="6B2B6FDE">
            <w:pPr>
              <w:adjustRightInd w:val="0"/>
              <w:snapToGrid w:val="0"/>
              <w:jc w:val="center"/>
              <w:rPr>
                <w:rFonts w:hint="default" w:ascii="Times New Roman" w:hAnsi="Times New Roman" w:eastAsia="宋体" w:cs="Times New Roman"/>
                <w:color w:val="000000" w:themeColor="text1"/>
                <w:sz w:val="21"/>
                <w:szCs w:val="21"/>
              </w:rPr>
            </w:pPr>
          </w:p>
        </w:tc>
        <w:tc>
          <w:tcPr>
            <w:tcW w:w="1493" w:type="dxa"/>
            <w:tcBorders>
              <w:top w:val="single" w:color="000000" w:sz="4" w:space="0"/>
            </w:tcBorders>
            <w:vAlign w:val="center"/>
          </w:tcPr>
          <w:p w14:paraId="43DCF780">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Cs/>
                <w:color w:val="000000" w:themeColor="text1"/>
                <w:spacing w:val="-10"/>
                <w:sz w:val="21"/>
                <w:szCs w:val="21"/>
                <w:u w:val="single"/>
              </w:rPr>
            </w:pPr>
            <w:r>
              <w:rPr>
                <w:rFonts w:hint="eastAsia" w:ascii="Times New Roman" w:hAnsi="Times New Roman" w:cs="Times New Roman"/>
                <w:bCs/>
                <w:color w:val="000000" w:themeColor="text1"/>
                <w:spacing w:val="-10"/>
                <w:sz w:val="21"/>
                <w:szCs w:val="21"/>
                <w:u w:val="single"/>
                <w:lang w:val="en-US" w:eastAsia="zh-CN"/>
              </w:rPr>
              <w:t>DA001</w:t>
            </w:r>
            <w:r>
              <w:rPr>
                <w:rFonts w:hint="eastAsia" w:cs="Times New Roman"/>
                <w:bCs/>
                <w:color w:val="000000" w:themeColor="text1"/>
                <w:spacing w:val="-10"/>
                <w:sz w:val="21"/>
                <w:szCs w:val="21"/>
                <w:u w:val="single"/>
                <w:lang w:val="en-US" w:eastAsia="zh-CN"/>
              </w:rPr>
              <w:t>，综合</w:t>
            </w:r>
            <w:r>
              <w:rPr>
                <w:rFonts w:hint="default" w:ascii="Times New Roman" w:hAnsi="Times New Roman" w:eastAsia="宋体" w:cs="Times New Roman"/>
                <w:bCs/>
                <w:color w:val="000000" w:themeColor="text1"/>
                <w:spacing w:val="-10"/>
                <w:sz w:val="21"/>
                <w:szCs w:val="21"/>
                <w:u w:val="single"/>
              </w:rPr>
              <w:t>污水处理站</w:t>
            </w:r>
            <w:r>
              <w:rPr>
                <w:rFonts w:hint="eastAsia" w:ascii="Times New Roman" w:hAnsi="Times New Roman" w:cs="Times New Roman"/>
                <w:bCs/>
                <w:color w:val="000000" w:themeColor="text1"/>
                <w:spacing w:val="-10"/>
                <w:sz w:val="21"/>
                <w:szCs w:val="21"/>
                <w:u w:val="single"/>
                <w:lang w:val="en-US" w:eastAsia="zh-CN"/>
              </w:rPr>
              <w:t>排气筒</w:t>
            </w:r>
          </w:p>
        </w:tc>
        <w:tc>
          <w:tcPr>
            <w:tcW w:w="1905" w:type="dxa"/>
            <w:tcBorders>
              <w:top w:val="single" w:color="000000" w:sz="4" w:space="0"/>
            </w:tcBorders>
            <w:vAlign w:val="center"/>
          </w:tcPr>
          <w:p w14:paraId="01BA9AC4">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u w:val="single"/>
              </w:rPr>
            </w:pPr>
            <w:r>
              <w:rPr>
                <w:rFonts w:hint="default" w:ascii="Times New Roman" w:hAnsi="Times New Roman" w:eastAsia="宋体" w:cs="Times New Roman"/>
                <w:color w:val="000000" w:themeColor="text1"/>
                <w:sz w:val="21"/>
                <w:szCs w:val="21"/>
                <w:u w:val="single"/>
              </w:rPr>
              <w:t>氨、硫化氢、臭气浓度</w:t>
            </w:r>
          </w:p>
        </w:tc>
        <w:tc>
          <w:tcPr>
            <w:tcW w:w="1245" w:type="dxa"/>
            <w:tcBorders>
              <w:top w:val="single" w:color="000000" w:sz="4" w:space="0"/>
            </w:tcBorders>
            <w:vAlign w:val="center"/>
          </w:tcPr>
          <w:p w14:paraId="09B40580">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highlight w:val="none"/>
                <w:u w:val="single"/>
                <w:lang w:val="en-US" w:eastAsia="zh-CN"/>
              </w:rPr>
            </w:pPr>
            <w:r>
              <w:rPr>
                <w:rFonts w:hint="eastAsia" w:ascii="Times New Roman" w:hAnsi="Times New Roman" w:cs="Times New Roman"/>
                <w:color w:val="000000" w:themeColor="text1"/>
                <w:kern w:val="0"/>
                <w:sz w:val="21"/>
                <w:szCs w:val="21"/>
                <w:highlight w:val="none"/>
                <w:u w:val="single"/>
                <w:lang w:val="en-US" w:eastAsia="zh-CN"/>
              </w:rPr>
              <w:t>负压收集+碱水喷淋+活性炭吸附+高空排放63m</w:t>
            </w:r>
          </w:p>
        </w:tc>
        <w:tc>
          <w:tcPr>
            <w:tcW w:w="2862" w:type="dxa"/>
            <w:vAlign w:val="center"/>
          </w:tcPr>
          <w:p w14:paraId="1CA94108">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u w:val="single"/>
              </w:rPr>
            </w:pPr>
            <w:r>
              <w:rPr>
                <w:rFonts w:hint="default" w:ascii="Times New Roman" w:hAnsi="Times New Roman" w:eastAsia="宋体" w:cs="Times New Roman"/>
                <w:color w:val="000000" w:themeColor="text1"/>
                <w:kern w:val="0"/>
                <w:sz w:val="21"/>
                <w:szCs w:val="21"/>
                <w:u w:val="single"/>
              </w:rPr>
              <w:t>《恶臭污染物排放标准》（GB14554-93）表2标准要求</w:t>
            </w:r>
          </w:p>
        </w:tc>
      </w:tr>
      <w:tr w14:paraId="6FF2B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continue"/>
            <w:vAlign w:val="center"/>
          </w:tcPr>
          <w:p w14:paraId="3A32E7C8">
            <w:pPr>
              <w:adjustRightInd w:val="0"/>
              <w:snapToGrid w:val="0"/>
              <w:jc w:val="center"/>
              <w:rPr>
                <w:rFonts w:hint="default" w:ascii="Times New Roman" w:hAnsi="Times New Roman" w:eastAsia="宋体" w:cs="Times New Roman"/>
                <w:color w:val="000000" w:themeColor="text1"/>
                <w:sz w:val="21"/>
                <w:szCs w:val="21"/>
              </w:rPr>
            </w:pPr>
          </w:p>
        </w:tc>
        <w:tc>
          <w:tcPr>
            <w:tcW w:w="1493" w:type="dxa"/>
            <w:vAlign w:val="center"/>
          </w:tcPr>
          <w:p w14:paraId="61B1EF32">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Cs/>
                <w:color w:val="000000" w:themeColor="text1"/>
                <w:spacing w:val="-10"/>
                <w:sz w:val="21"/>
                <w:szCs w:val="21"/>
                <w:u w:val="single"/>
                <w:lang w:val="en-US" w:eastAsia="zh-CN"/>
              </w:rPr>
            </w:pPr>
            <w:r>
              <w:rPr>
                <w:rFonts w:hint="eastAsia" w:ascii="Times New Roman" w:hAnsi="Times New Roman" w:cs="Times New Roman"/>
                <w:bCs/>
                <w:color w:val="000000" w:themeColor="text1"/>
                <w:spacing w:val="-10"/>
                <w:sz w:val="21"/>
                <w:szCs w:val="21"/>
                <w:u w:val="single"/>
                <w:lang w:val="en-US" w:eastAsia="zh-CN"/>
              </w:rPr>
              <w:t>DA002，</w:t>
            </w:r>
            <w:r>
              <w:rPr>
                <w:rFonts w:hint="default" w:ascii="Times New Roman" w:hAnsi="Times New Roman" w:cs="Times New Roman"/>
                <w:bCs/>
                <w:color w:val="000000" w:themeColor="text1"/>
                <w:spacing w:val="-10"/>
                <w:sz w:val="21"/>
                <w:szCs w:val="21"/>
                <w:u w:val="single"/>
                <w:lang w:val="en-US" w:eastAsia="zh-CN"/>
              </w:rPr>
              <w:t>天然气锅炉</w:t>
            </w:r>
            <w:r>
              <w:rPr>
                <w:rFonts w:hint="eastAsia" w:ascii="Times New Roman" w:hAnsi="Times New Roman" w:cs="Times New Roman"/>
                <w:bCs/>
                <w:color w:val="000000" w:themeColor="text1"/>
                <w:spacing w:val="-10"/>
                <w:sz w:val="21"/>
                <w:szCs w:val="21"/>
                <w:u w:val="single"/>
                <w:lang w:val="en-US" w:eastAsia="zh-CN"/>
              </w:rPr>
              <w:t>排气筒</w:t>
            </w:r>
          </w:p>
        </w:tc>
        <w:tc>
          <w:tcPr>
            <w:tcW w:w="1905" w:type="dxa"/>
            <w:vAlign w:val="center"/>
          </w:tcPr>
          <w:p w14:paraId="75A2E517">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u w:val="single"/>
                <w:lang w:val="en-US" w:eastAsia="zh-CN"/>
              </w:rPr>
            </w:pPr>
            <w:r>
              <w:rPr>
                <w:rFonts w:hint="eastAsia" w:ascii="Times New Roman" w:hAnsi="Times New Roman" w:cs="Times New Roman"/>
                <w:color w:val="000000" w:themeColor="text1"/>
                <w:sz w:val="21"/>
                <w:szCs w:val="21"/>
                <w:u w:val="single"/>
                <w:lang w:val="en-US" w:eastAsia="zh-CN"/>
              </w:rPr>
              <w:t>颗粒物</w:t>
            </w:r>
            <w:r>
              <w:rPr>
                <w:rFonts w:hint="default" w:ascii="Times New Roman" w:hAnsi="Times New Roman" w:cs="Times New Roman"/>
                <w:color w:val="000000" w:themeColor="text1"/>
                <w:sz w:val="21"/>
                <w:szCs w:val="21"/>
                <w:u w:val="single"/>
                <w:lang w:val="en-US" w:eastAsia="zh-CN"/>
              </w:rPr>
              <w:t>、SO</w:t>
            </w:r>
            <w:r>
              <w:rPr>
                <w:rFonts w:hint="default" w:ascii="Times New Roman" w:hAnsi="Times New Roman" w:cs="Times New Roman"/>
                <w:color w:val="000000" w:themeColor="text1"/>
                <w:sz w:val="21"/>
                <w:szCs w:val="21"/>
                <w:u w:val="single"/>
                <w:vertAlign w:val="subscript"/>
                <w:lang w:val="en-US" w:eastAsia="zh-CN"/>
              </w:rPr>
              <w:t>2</w:t>
            </w:r>
            <w:r>
              <w:rPr>
                <w:rFonts w:hint="default" w:ascii="Times New Roman" w:hAnsi="Times New Roman" w:cs="Times New Roman"/>
                <w:color w:val="000000" w:themeColor="text1"/>
                <w:sz w:val="21"/>
                <w:szCs w:val="21"/>
                <w:u w:val="single"/>
                <w:lang w:val="en-US" w:eastAsia="zh-CN"/>
              </w:rPr>
              <w:t>、NO</w:t>
            </w:r>
            <w:r>
              <w:rPr>
                <w:rFonts w:hint="default" w:ascii="Times New Roman" w:hAnsi="Times New Roman" w:cs="Times New Roman"/>
                <w:color w:val="000000" w:themeColor="text1"/>
                <w:sz w:val="21"/>
                <w:szCs w:val="21"/>
                <w:u w:val="single"/>
                <w:vertAlign w:val="subscript"/>
                <w:lang w:val="en-US" w:eastAsia="zh-CN"/>
              </w:rPr>
              <w:t>X</w:t>
            </w:r>
            <w:r>
              <w:rPr>
                <w:rFonts w:hint="default" w:ascii="Times New Roman" w:hAnsi="Times New Roman" w:cs="Times New Roman"/>
                <w:color w:val="000000" w:themeColor="text1"/>
                <w:sz w:val="21"/>
                <w:szCs w:val="21"/>
                <w:u w:val="single"/>
                <w:lang w:val="en-US" w:eastAsia="zh-CN"/>
              </w:rPr>
              <w:t>、烟气黑度</w:t>
            </w:r>
          </w:p>
        </w:tc>
        <w:tc>
          <w:tcPr>
            <w:tcW w:w="1245" w:type="dxa"/>
            <w:vAlign w:val="center"/>
          </w:tcPr>
          <w:p w14:paraId="1956A2A1">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highlight w:val="none"/>
                <w:u w:val="single"/>
                <w:lang w:val="en-US" w:eastAsia="zh-CN"/>
              </w:rPr>
            </w:pPr>
            <w:r>
              <w:rPr>
                <w:rFonts w:hint="eastAsia" w:ascii="Times New Roman" w:hAnsi="Times New Roman" w:cs="Times New Roman"/>
                <w:color w:val="000000" w:themeColor="text1"/>
                <w:kern w:val="0"/>
                <w:sz w:val="21"/>
                <w:szCs w:val="21"/>
                <w:highlight w:val="none"/>
                <w:u w:val="single"/>
                <w:lang w:val="en-US" w:eastAsia="zh-CN"/>
              </w:rPr>
              <w:t>排气筒高度8m</w:t>
            </w:r>
          </w:p>
        </w:tc>
        <w:tc>
          <w:tcPr>
            <w:tcW w:w="2862" w:type="dxa"/>
            <w:vAlign w:val="center"/>
          </w:tcPr>
          <w:p w14:paraId="7507D243">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u w:val="single"/>
                <w:lang w:val="en-US" w:eastAsia="zh-CN"/>
              </w:rPr>
            </w:pPr>
            <w:r>
              <w:rPr>
                <w:rFonts w:hint="default" w:ascii="Times New Roman" w:hAnsi="Times New Roman" w:cs="Times New Roman"/>
                <w:color w:val="000000" w:themeColor="text1"/>
                <w:kern w:val="0"/>
                <w:sz w:val="21"/>
                <w:szCs w:val="21"/>
                <w:u w:val="single"/>
                <w:lang w:eastAsia="zh-CN"/>
              </w:rPr>
              <w:t>《</w:t>
            </w:r>
            <w:r>
              <w:rPr>
                <w:rFonts w:hint="default" w:ascii="Times New Roman" w:hAnsi="Times New Roman" w:cs="Times New Roman"/>
                <w:color w:val="000000" w:themeColor="text1"/>
                <w:kern w:val="0"/>
                <w:sz w:val="21"/>
                <w:szCs w:val="21"/>
                <w:u w:val="single"/>
                <w:lang w:val="en-US" w:eastAsia="zh-CN"/>
              </w:rPr>
              <w:t>锅炉大气污染物排放标准</w:t>
            </w:r>
            <w:r>
              <w:rPr>
                <w:rFonts w:hint="default" w:ascii="Times New Roman" w:hAnsi="Times New Roman" w:cs="Times New Roman"/>
                <w:color w:val="000000" w:themeColor="text1"/>
                <w:kern w:val="0"/>
                <w:sz w:val="21"/>
                <w:szCs w:val="21"/>
                <w:u w:val="single"/>
                <w:lang w:eastAsia="zh-CN"/>
              </w:rPr>
              <w:t>》（</w:t>
            </w:r>
            <w:r>
              <w:rPr>
                <w:rFonts w:hint="default" w:ascii="Times New Roman" w:hAnsi="Times New Roman" w:cs="Times New Roman"/>
                <w:color w:val="000000" w:themeColor="text1"/>
                <w:kern w:val="0"/>
                <w:sz w:val="21"/>
                <w:szCs w:val="21"/>
                <w:u w:val="single"/>
                <w:lang w:val="en-US" w:eastAsia="zh-CN"/>
              </w:rPr>
              <w:t>GB13271-2014</w:t>
            </w:r>
            <w:r>
              <w:rPr>
                <w:rFonts w:hint="default" w:ascii="Times New Roman" w:hAnsi="Times New Roman" w:cs="Times New Roman"/>
                <w:color w:val="000000" w:themeColor="text1"/>
                <w:kern w:val="0"/>
                <w:sz w:val="21"/>
                <w:szCs w:val="21"/>
                <w:u w:val="single"/>
                <w:lang w:eastAsia="zh-CN"/>
              </w:rPr>
              <w:t>）</w:t>
            </w:r>
            <w:r>
              <w:rPr>
                <w:rFonts w:hint="default" w:ascii="Times New Roman" w:hAnsi="Times New Roman" w:cs="Times New Roman"/>
                <w:color w:val="000000" w:themeColor="text1"/>
                <w:kern w:val="0"/>
                <w:sz w:val="21"/>
                <w:szCs w:val="21"/>
                <w:u w:val="single"/>
                <w:lang w:val="en-US" w:eastAsia="zh-CN"/>
              </w:rPr>
              <w:t>表3特别排放限值</w:t>
            </w:r>
          </w:p>
        </w:tc>
      </w:tr>
      <w:tr w14:paraId="42DDC0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continue"/>
            <w:vAlign w:val="center"/>
          </w:tcPr>
          <w:p w14:paraId="27A05FF9">
            <w:pPr>
              <w:adjustRightInd w:val="0"/>
              <w:snapToGrid w:val="0"/>
              <w:jc w:val="center"/>
              <w:rPr>
                <w:rFonts w:hint="default" w:ascii="Times New Roman" w:hAnsi="Times New Roman" w:eastAsia="宋体" w:cs="Times New Roman"/>
                <w:color w:val="000000" w:themeColor="text1"/>
                <w:sz w:val="21"/>
                <w:szCs w:val="21"/>
              </w:rPr>
            </w:pPr>
          </w:p>
        </w:tc>
        <w:tc>
          <w:tcPr>
            <w:tcW w:w="1493" w:type="dxa"/>
            <w:vAlign w:val="center"/>
          </w:tcPr>
          <w:p w14:paraId="2AFE75DD">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cs="Times New Roman"/>
                <w:bCs/>
                <w:color w:val="000000" w:themeColor="text1"/>
                <w:spacing w:val="-10"/>
                <w:sz w:val="21"/>
                <w:szCs w:val="21"/>
                <w:lang w:val="en-US" w:eastAsia="zh-CN"/>
              </w:rPr>
            </w:pPr>
            <w:r>
              <w:rPr>
                <w:rFonts w:hint="default" w:ascii="Times New Roman" w:hAnsi="Times New Roman" w:cs="Times New Roman"/>
                <w:bCs/>
                <w:color w:val="000000" w:themeColor="text1"/>
                <w:spacing w:val="-10"/>
                <w:sz w:val="21"/>
                <w:szCs w:val="21"/>
                <w:lang w:val="en-US" w:eastAsia="zh-CN"/>
              </w:rPr>
              <w:t>柴油发电机</w:t>
            </w:r>
          </w:p>
        </w:tc>
        <w:tc>
          <w:tcPr>
            <w:tcW w:w="1905" w:type="dxa"/>
            <w:vAlign w:val="center"/>
          </w:tcPr>
          <w:p w14:paraId="60206B5F">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cs="Times New Roman"/>
                <w:color w:val="000000" w:themeColor="text1"/>
                <w:sz w:val="21"/>
                <w:szCs w:val="21"/>
                <w:lang w:val="en-US" w:eastAsia="zh-CN"/>
              </w:rPr>
            </w:pPr>
            <w:r>
              <w:rPr>
                <w:rFonts w:hint="eastAsia" w:ascii="Times New Roman" w:hAnsi="Times New Roman" w:cs="Times New Roman"/>
                <w:color w:val="000000" w:themeColor="text1"/>
                <w:sz w:val="21"/>
                <w:szCs w:val="21"/>
                <w:lang w:val="en-US" w:eastAsia="zh-CN"/>
              </w:rPr>
              <w:t>颗粒物、</w:t>
            </w:r>
            <w:r>
              <w:rPr>
                <w:rFonts w:hint="default" w:ascii="Times New Roman" w:hAnsi="Times New Roman" w:cs="Times New Roman"/>
                <w:color w:val="000000" w:themeColor="text1"/>
                <w:sz w:val="21"/>
                <w:szCs w:val="21"/>
                <w:lang w:val="en-US" w:eastAsia="zh-CN"/>
              </w:rPr>
              <w:t>SO</w:t>
            </w:r>
            <w:r>
              <w:rPr>
                <w:rFonts w:hint="default" w:ascii="Times New Roman" w:hAnsi="Times New Roman" w:cs="Times New Roman"/>
                <w:color w:val="000000" w:themeColor="text1"/>
                <w:sz w:val="21"/>
                <w:szCs w:val="21"/>
                <w:vertAlign w:val="subscript"/>
                <w:lang w:val="en-US" w:eastAsia="zh-CN"/>
              </w:rPr>
              <w:t>2</w:t>
            </w:r>
            <w:r>
              <w:rPr>
                <w:rFonts w:hint="default" w:ascii="Times New Roman" w:hAnsi="Times New Roman" w:cs="Times New Roman"/>
                <w:color w:val="000000" w:themeColor="text1"/>
                <w:sz w:val="21"/>
                <w:szCs w:val="21"/>
                <w:lang w:val="en-US" w:eastAsia="zh-CN"/>
              </w:rPr>
              <w:t>、NO</w:t>
            </w:r>
            <w:r>
              <w:rPr>
                <w:rFonts w:hint="default" w:ascii="Times New Roman" w:hAnsi="Times New Roman" w:cs="Times New Roman"/>
                <w:color w:val="000000" w:themeColor="text1"/>
                <w:sz w:val="21"/>
                <w:szCs w:val="21"/>
                <w:vertAlign w:val="subscript"/>
                <w:lang w:val="en-US" w:eastAsia="zh-CN"/>
              </w:rPr>
              <w:t>X</w:t>
            </w:r>
          </w:p>
        </w:tc>
        <w:tc>
          <w:tcPr>
            <w:tcW w:w="1245" w:type="dxa"/>
            <w:vAlign w:val="center"/>
          </w:tcPr>
          <w:p w14:paraId="2EEE6E54">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default" w:ascii="Times New Roman" w:hAnsi="Times New Roman" w:cs="Times New Roman"/>
                <w:color w:val="000000" w:themeColor="text1"/>
                <w:kern w:val="0"/>
                <w:sz w:val="21"/>
                <w:szCs w:val="21"/>
                <w:highlight w:val="none"/>
                <w:lang w:val="en-US" w:eastAsia="zh-CN"/>
              </w:rPr>
              <w:t>/</w:t>
            </w:r>
          </w:p>
        </w:tc>
        <w:tc>
          <w:tcPr>
            <w:tcW w:w="2862" w:type="dxa"/>
            <w:vAlign w:val="center"/>
          </w:tcPr>
          <w:p w14:paraId="1CC1EC3A">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lang w:eastAsia="zh-CN"/>
              </w:rPr>
            </w:pPr>
            <w:r>
              <w:rPr>
                <w:rFonts w:hint="default" w:ascii="Times New Roman" w:hAnsi="Times New Roman" w:cs="Times New Roman"/>
                <w:color w:val="000000" w:themeColor="text1"/>
                <w:kern w:val="0"/>
                <w:sz w:val="21"/>
                <w:szCs w:val="21"/>
                <w:lang w:eastAsia="zh-CN"/>
              </w:rPr>
              <w:t>《大气污染物综合排放标准》（GB16297-1996）</w:t>
            </w:r>
            <w:r>
              <w:rPr>
                <w:rFonts w:hint="eastAsia" w:cs="Times New Roman"/>
                <w:color w:val="000000" w:themeColor="text1"/>
                <w:kern w:val="0"/>
                <w:sz w:val="21"/>
                <w:szCs w:val="21"/>
                <w:lang w:val="en-US" w:eastAsia="zh-CN"/>
              </w:rPr>
              <w:t>表2最高允许排放浓度</w:t>
            </w:r>
          </w:p>
        </w:tc>
      </w:tr>
      <w:tr w14:paraId="4B0625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continue"/>
            <w:vAlign w:val="center"/>
          </w:tcPr>
          <w:p w14:paraId="595D9B1C">
            <w:pPr>
              <w:adjustRightInd w:val="0"/>
              <w:snapToGrid w:val="0"/>
              <w:jc w:val="center"/>
              <w:rPr>
                <w:rFonts w:hint="default" w:ascii="Times New Roman" w:hAnsi="Times New Roman" w:eastAsia="宋体" w:cs="Times New Roman"/>
                <w:color w:val="000000" w:themeColor="text1"/>
                <w:sz w:val="21"/>
                <w:szCs w:val="21"/>
              </w:rPr>
            </w:pPr>
          </w:p>
        </w:tc>
        <w:tc>
          <w:tcPr>
            <w:tcW w:w="1493" w:type="dxa"/>
            <w:vAlign w:val="center"/>
          </w:tcPr>
          <w:p w14:paraId="319DF24D">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bCs/>
                <w:color w:val="000000" w:themeColor="text1"/>
                <w:spacing w:val="-10"/>
                <w:sz w:val="21"/>
                <w:szCs w:val="21"/>
                <w:lang w:val="en-US" w:eastAsia="zh-CN"/>
              </w:rPr>
            </w:pPr>
            <w:r>
              <w:rPr>
                <w:rFonts w:hint="eastAsia" w:ascii="Times New Roman" w:hAnsi="Times New Roman" w:cs="Times New Roman"/>
                <w:bCs/>
                <w:color w:val="000000" w:themeColor="text1"/>
                <w:spacing w:val="-10"/>
                <w:sz w:val="21"/>
                <w:szCs w:val="21"/>
                <w:lang w:val="en-US" w:eastAsia="zh-CN"/>
              </w:rPr>
              <w:t>DA003，</w:t>
            </w:r>
            <w:r>
              <w:rPr>
                <w:rFonts w:hint="default" w:ascii="Times New Roman" w:hAnsi="Times New Roman" w:cs="Times New Roman"/>
                <w:bCs/>
                <w:color w:val="000000" w:themeColor="text1"/>
                <w:spacing w:val="-10"/>
                <w:sz w:val="21"/>
                <w:szCs w:val="21"/>
                <w:lang w:val="en-US" w:eastAsia="zh-CN"/>
              </w:rPr>
              <w:t>食堂</w:t>
            </w:r>
            <w:r>
              <w:rPr>
                <w:rFonts w:hint="eastAsia" w:ascii="Times New Roman" w:hAnsi="Times New Roman" w:cs="Times New Roman"/>
                <w:bCs/>
                <w:color w:val="000000" w:themeColor="text1"/>
                <w:spacing w:val="-10"/>
                <w:sz w:val="21"/>
                <w:szCs w:val="21"/>
                <w:lang w:val="en-US" w:eastAsia="zh-CN"/>
              </w:rPr>
              <w:t>油烟排气筒</w:t>
            </w:r>
          </w:p>
        </w:tc>
        <w:tc>
          <w:tcPr>
            <w:tcW w:w="1905" w:type="dxa"/>
            <w:vAlign w:val="center"/>
          </w:tcPr>
          <w:p w14:paraId="0B49CE07">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油烟</w:t>
            </w:r>
          </w:p>
        </w:tc>
        <w:tc>
          <w:tcPr>
            <w:tcW w:w="1245" w:type="dxa"/>
            <w:vAlign w:val="center"/>
          </w:tcPr>
          <w:p w14:paraId="2A6DA575">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default" w:ascii="Times New Roman" w:hAnsi="Times New Roman" w:cs="Times New Roman"/>
                <w:color w:val="000000" w:themeColor="text1"/>
                <w:kern w:val="0"/>
                <w:sz w:val="21"/>
                <w:szCs w:val="21"/>
                <w:highlight w:val="none"/>
                <w:lang w:val="en-US" w:eastAsia="zh-CN"/>
              </w:rPr>
              <w:t>油烟净化器</w:t>
            </w:r>
          </w:p>
        </w:tc>
        <w:tc>
          <w:tcPr>
            <w:tcW w:w="2862" w:type="dxa"/>
            <w:vAlign w:val="center"/>
          </w:tcPr>
          <w:p w14:paraId="4F56B9E1">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lang w:val="en-US" w:eastAsia="zh-CN"/>
              </w:rPr>
            </w:pPr>
            <w:r>
              <w:rPr>
                <w:rFonts w:hint="default" w:ascii="Times New Roman" w:hAnsi="Times New Roman" w:eastAsia="宋体" w:cs="Times New Roman"/>
                <w:color w:val="000000" w:themeColor="text1"/>
                <w:kern w:val="0"/>
                <w:sz w:val="21"/>
                <w:szCs w:val="21"/>
              </w:rPr>
              <w:t>《饮食业油烟排放标准（试行）》（GB18483-2001）</w:t>
            </w:r>
            <w:r>
              <w:rPr>
                <w:rFonts w:hint="default" w:ascii="Times New Roman" w:hAnsi="Times New Roman" w:cs="Times New Roman"/>
                <w:color w:val="000000" w:themeColor="text1"/>
                <w:kern w:val="0"/>
                <w:sz w:val="21"/>
                <w:szCs w:val="21"/>
                <w:lang w:val="en-US" w:eastAsia="zh-CN"/>
              </w:rPr>
              <w:t>表2</w:t>
            </w:r>
          </w:p>
        </w:tc>
      </w:tr>
      <w:tr w14:paraId="7B28F7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restart"/>
            <w:vAlign w:val="center"/>
          </w:tcPr>
          <w:p w14:paraId="32FE0E9B">
            <w:pPr>
              <w:adjustRightInd w:val="0"/>
              <w:snapToGrid w:val="0"/>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地表水环境</w:t>
            </w:r>
          </w:p>
        </w:tc>
        <w:tc>
          <w:tcPr>
            <w:tcW w:w="1493" w:type="dxa"/>
            <w:vAlign w:val="center"/>
          </w:tcPr>
          <w:p w14:paraId="39313791">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cs="Times New Roman"/>
                <w:bCs/>
                <w:color w:val="000000" w:themeColor="text1"/>
                <w:spacing w:val="-10"/>
                <w:sz w:val="21"/>
                <w:szCs w:val="21"/>
                <w:lang w:val="en-US" w:eastAsia="zh-CN"/>
              </w:rPr>
            </w:pPr>
            <w:r>
              <w:rPr>
                <w:rFonts w:hint="eastAsia" w:cs="Times New Roman"/>
                <w:color w:val="000000" w:themeColor="text1"/>
                <w:u w:val="none"/>
                <w:lang w:val="en-US" w:eastAsia="zh-CN"/>
              </w:rPr>
              <w:t>办公楼生活污水</w:t>
            </w:r>
          </w:p>
        </w:tc>
        <w:tc>
          <w:tcPr>
            <w:tcW w:w="1905" w:type="dxa"/>
            <w:vAlign w:val="center"/>
          </w:tcPr>
          <w:p w14:paraId="46A42A16">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eastAsia" w:ascii="Times New Roman" w:hAnsi="Times New Roman" w:eastAsia="宋体" w:cs="Times New Roman"/>
                <w:color w:val="000000" w:themeColor="text1"/>
                <w:sz w:val="21"/>
                <w:szCs w:val="21"/>
                <w:lang w:eastAsia="zh-CN"/>
              </w:rPr>
              <w:t>、</w:t>
            </w:r>
            <w:r>
              <w:rPr>
                <w:rFonts w:hint="eastAsia" w:cs="Times New Roman"/>
                <w:color w:val="000000" w:themeColor="text1"/>
                <w:sz w:val="21"/>
                <w:szCs w:val="21"/>
                <w:lang w:val="en-US" w:eastAsia="zh-CN"/>
              </w:rPr>
              <w:t>LAS、氨氮</w:t>
            </w:r>
          </w:p>
        </w:tc>
        <w:tc>
          <w:tcPr>
            <w:tcW w:w="1245" w:type="dxa"/>
            <w:vAlign w:val="center"/>
          </w:tcPr>
          <w:p w14:paraId="0B86A4D3">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eastAsia" w:ascii="Times New Roman" w:hAnsi="Times New Roman" w:cs="Times New Roman"/>
                <w:color w:val="000000" w:themeColor="text1"/>
                <w:kern w:val="0"/>
                <w:sz w:val="21"/>
                <w:szCs w:val="21"/>
                <w:highlight w:val="none"/>
                <w:lang w:val="en-US" w:eastAsia="zh-CN"/>
              </w:rPr>
              <w:t>化粪池</w:t>
            </w:r>
          </w:p>
        </w:tc>
        <w:tc>
          <w:tcPr>
            <w:tcW w:w="2862" w:type="dxa"/>
            <w:vAlign w:val="center"/>
          </w:tcPr>
          <w:p w14:paraId="2654AA54">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lang w:val="en-US" w:eastAsia="zh-CN"/>
              </w:rPr>
            </w:pPr>
            <w:r>
              <w:rPr>
                <w:rFonts w:hint="eastAsia" w:ascii="Times New Roman" w:hAnsi="Times New Roman" w:cs="Times New Roman"/>
                <w:color w:val="000000" w:themeColor="text1"/>
                <w:kern w:val="0"/>
                <w:sz w:val="21"/>
                <w:szCs w:val="21"/>
                <w:lang w:val="en-US" w:eastAsia="zh-CN"/>
              </w:rPr>
              <w:t>/</w:t>
            </w:r>
          </w:p>
        </w:tc>
      </w:tr>
      <w:tr w14:paraId="6FBA60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continue"/>
            <w:vAlign w:val="center"/>
          </w:tcPr>
          <w:p w14:paraId="5E1F885F">
            <w:pPr>
              <w:adjustRightInd w:val="0"/>
              <w:snapToGrid w:val="0"/>
              <w:jc w:val="center"/>
              <w:rPr>
                <w:rFonts w:hint="default" w:ascii="Times New Roman" w:hAnsi="Times New Roman" w:eastAsia="宋体" w:cs="Times New Roman"/>
                <w:color w:val="000000" w:themeColor="text1"/>
                <w:sz w:val="21"/>
                <w:szCs w:val="21"/>
              </w:rPr>
            </w:pPr>
          </w:p>
        </w:tc>
        <w:tc>
          <w:tcPr>
            <w:tcW w:w="1493" w:type="dxa"/>
            <w:vAlign w:val="center"/>
          </w:tcPr>
          <w:p w14:paraId="443BBA3C">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cs="Times New Roman"/>
                <w:bCs/>
                <w:color w:val="000000" w:themeColor="text1"/>
                <w:spacing w:val="-10"/>
                <w:sz w:val="21"/>
                <w:szCs w:val="21"/>
                <w:lang w:val="en-US" w:eastAsia="zh-CN"/>
              </w:rPr>
            </w:pPr>
            <w:r>
              <w:rPr>
                <w:rFonts w:hint="eastAsia" w:cs="Times New Roman"/>
                <w:color w:val="000000" w:themeColor="text1"/>
                <w:u w:val="none"/>
                <w:lang w:val="en-US" w:eastAsia="zh-CN"/>
              </w:rPr>
              <w:t>食堂废水</w:t>
            </w:r>
          </w:p>
        </w:tc>
        <w:tc>
          <w:tcPr>
            <w:tcW w:w="1905" w:type="dxa"/>
            <w:vAlign w:val="center"/>
          </w:tcPr>
          <w:p w14:paraId="483CDD4C">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w:t>
            </w:r>
            <w:r>
              <w:rPr>
                <w:rFonts w:hint="eastAsia" w:ascii="Times New Roman" w:hAnsi="Times New Roman" w:eastAsia="宋体" w:cs="Times New Roman"/>
                <w:color w:val="000000" w:themeColor="text1"/>
                <w:sz w:val="21"/>
                <w:szCs w:val="21"/>
                <w:lang w:val="en-US" w:eastAsia="zh-CN"/>
              </w:rPr>
              <w:t>动植物油、</w:t>
            </w:r>
            <w:r>
              <w:rPr>
                <w:rFonts w:hint="eastAsia" w:cs="Times New Roman"/>
                <w:color w:val="000000" w:themeColor="text1"/>
                <w:sz w:val="21"/>
                <w:szCs w:val="21"/>
                <w:lang w:val="en-US" w:eastAsia="zh-CN"/>
              </w:rPr>
              <w:t>LAS、氨氮</w:t>
            </w:r>
          </w:p>
        </w:tc>
        <w:tc>
          <w:tcPr>
            <w:tcW w:w="1245" w:type="dxa"/>
            <w:vAlign w:val="center"/>
          </w:tcPr>
          <w:p w14:paraId="7C5BDFDB">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eastAsia" w:ascii="Times New Roman" w:hAnsi="Times New Roman" w:cs="Times New Roman"/>
                <w:color w:val="000000" w:themeColor="text1"/>
                <w:kern w:val="0"/>
                <w:sz w:val="21"/>
                <w:szCs w:val="21"/>
                <w:highlight w:val="none"/>
                <w:lang w:val="en-US" w:eastAsia="zh-CN"/>
              </w:rPr>
              <w:t>隔油池</w:t>
            </w:r>
          </w:p>
        </w:tc>
        <w:tc>
          <w:tcPr>
            <w:tcW w:w="2862" w:type="dxa"/>
            <w:vAlign w:val="center"/>
          </w:tcPr>
          <w:p w14:paraId="05ADA00A">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rPr>
            </w:pPr>
            <w:r>
              <w:rPr>
                <w:rFonts w:hint="eastAsia" w:cs="Times New Roman"/>
                <w:color w:val="000000" w:themeColor="text1"/>
                <w:kern w:val="0"/>
                <w:sz w:val="21"/>
                <w:szCs w:val="21"/>
                <w:lang w:val="en-US" w:eastAsia="zh-CN"/>
              </w:rPr>
              <w:t>/</w:t>
            </w:r>
          </w:p>
        </w:tc>
      </w:tr>
      <w:tr w14:paraId="535F3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295" w:type="dxa"/>
            <w:vMerge w:val="continue"/>
            <w:vAlign w:val="center"/>
          </w:tcPr>
          <w:p w14:paraId="31FA49CA">
            <w:pPr>
              <w:adjustRightInd w:val="0"/>
              <w:snapToGrid w:val="0"/>
              <w:jc w:val="center"/>
              <w:rPr>
                <w:rFonts w:hint="default" w:ascii="Times New Roman" w:hAnsi="Times New Roman" w:eastAsia="宋体" w:cs="Times New Roman"/>
                <w:color w:val="000000" w:themeColor="text1"/>
                <w:sz w:val="21"/>
                <w:szCs w:val="21"/>
              </w:rPr>
            </w:pPr>
          </w:p>
        </w:tc>
        <w:tc>
          <w:tcPr>
            <w:tcW w:w="1493" w:type="dxa"/>
            <w:vAlign w:val="center"/>
          </w:tcPr>
          <w:p w14:paraId="17F7B3ED">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cs="Times New Roman"/>
                <w:bCs/>
                <w:color w:val="000000" w:themeColor="text1"/>
                <w:spacing w:val="-10"/>
                <w:sz w:val="21"/>
                <w:szCs w:val="21"/>
                <w:lang w:val="en-US" w:eastAsia="zh-CN"/>
              </w:rPr>
            </w:pPr>
            <w:r>
              <w:rPr>
                <w:rFonts w:hint="eastAsia" w:cs="Times New Roman"/>
                <w:color w:val="000000" w:themeColor="text1"/>
                <w:u w:val="none"/>
                <w:lang w:val="en-US" w:eastAsia="zh-CN"/>
              </w:rPr>
              <w:t>传染科废水</w:t>
            </w:r>
          </w:p>
        </w:tc>
        <w:tc>
          <w:tcPr>
            <w:tcW w:w="1905" w:type="dxa"/>
            <w:vAlign w:val="center"/>
          </w:tcPr>
          <w:p w14:paraId="3EBF2FAA">
            <w:pPr>
              <w:pStyle w:val="82"/>
              <w:keepNext w:val="0"/>
              <w:keepLines w:val="0"/>
              <w:pageBreakBefore w:val="0"/>
              <w:widowControl/>
              <w:kinsoku/>
              <w:wordWrap/>
              <w:overflowPunct/>
              <w:topLinePunct w:val="0"/>
              <w:autoSpaceDE/>
              <w:autoSpaceDN/>
              <w:bidi w:val="0"/>
              <w:adjustRightInd/>
              <w:snapToGrid w:val="0"/>
              <w:spacing w:after="60" w:line="240" w:lineRule="auto"/>
              <w:ind w:right="0" w:rightChars="0"/>
              <w:jc w:val="center"/>
              <w:textAlignment w:val="auto"/>
              <w:rPr>
                <w:rFonts w:hint="default" w:ascii="Times New Roman" w:hAnsi="Times New Roman" w:cs="Times New Roman"/>
                <w:color w:val="000000" w:themeColor="text1"/>
                <w:sz w:val="21"/>
                <w:szCs w:val="21"/>
                <w:lang w:val="en-US" w:eastAsia="zh-CN"/>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default" w:ascii="Times New Roman" w:hAnsi="Times New Roman" w:eastAsia="宋体" w:cs="Times New Roman"/>
                <w:color w:val="000000" w:themeColor="text1"/>
                <w:sz w:val="21"/>
                <w:szCs w:val="21"/>
                <w:lang w:eastAsia="zh-CN"/>
              </w:rPr>
              <w:t>、肠道致病菌、肠道病毒、结核杆菌</w:t>
            </w:r>
            <w:r>
              <w:rPr>
                <w:rFonts w:hint="default" w:ascii="Times New Roman" w:hAnsi="Times New Roman" w:eastAsia="宋体" w:cs="Times New Roman"/>
                <w:color w:val="000000" w:themeColor="text1"/>
                <w:sz w:val="21"/>
                <w:szCs w:val="21"/>
              </w:rPr>
              <w:t>、总余氯</w:t>
            </w:r>
            <w:r>
              <w:rPr>
                <w:rFonts w:hint="eastAsia" w:cs="Times New Roman"/>
                <w:color w:val="000000" w:themeColor="text1"/>
                <w:sz w:val="21"/>
                <w:szCs w:val="21"/>
                <w:lang w:eastAsia="zh-CN"/>
              </w:rPr>
              <w:t>、</w:t>
            </w:r>
            <w:r>
              <w:rPr>
                <w:rFonts w:hint="eastAsia" w:cs="Times New Roman"/>
                <w:color w:val="000000" w:themeColor="text1"/>
                <w:sz w:val="21"/>
                <w:szCs w:val="21"/>
                <w:lang w:val="en-US" w:eastAsia="zh-CN"/>
              </w:rPr>
              <w:t>氨氮</w:t>
            </w:r>
          </w:p>
        </w:tc>
        <w:tc>
          <w:tcPr>
            <w:tcW w:w="1245" w:type="dxa"/>
            <w:vAlign w:val="center"/>
          </w:tcPr>
          <w:p w14:paraId="5080DCB7">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cs="Times New Roman"/>
                <w:color w:val="000000" w:themeColor="text1"/>
                <w:kern w:val="0"/>
                <w:sz w:val="21"/>
                <w:szCs w:val="21"/>
                <w:highlight w:val="none"/>
                <w:lang w:val="en-US" w:eastAsia="zh-CN"/>
              </w:rPr>
            </w:pPr>
            <w:r>
              <w:rPr>
                <w:rFonts w:hint="eastAsia" w:ascii="Times New Roman" w:hAnsi="Times New Roman" w:cs="Times New Roman"/>
                <w:color w:val="000000" w:themeColor="text1"/>
                <w:kern w:val="0"/>
                <w:sz w:val="21"/>
                <w:szCs w:val="21"/>
                <w:highlight w:val="none"/>
                <w:lang w:val="en-US" w:eastAsia="zh-CN"/>
              </w:rPr>
              <w:t>传染病废水预处理系统</w:t>
            </w:r>
          </w:p>
        </w:tc>
        <w:tc>
          <w:tcPr>
            <w:tcW w:w="2862" w:type="dxa"/>
            <w:vAlign w:val="center"/>
          </w:tcPr>
          <w:p w14:paraId="319ECCA5">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rPr>
            </w:pPr>
            <w:r>
              <w:rPr>
                <w:rFonts w:hint="eastAsia" w:cs="Times New Roman"/>
                <w:color w:val="000000" w:themeColor="text1"/>
                <w:kern w:val="0"/>
                <w:sz w:val="21"/>
                <w:szCs w:val="21"/>
                <w:lang w:val="en-US" w:eastAsia="zh-CN"/>
              </w:rPr>
              <w:t>/</w:t>
            </w:r>
          </w:p>
        </w:tc>
      </w:tr>
      <w:tr w14:paraId="70ACCD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295" w:type="dxa"/>
            <w:vMerge w:val="continue"/>
            <w:vAlign w:val="center"/>
          </w:tcPr>
          <w:p w14:paraId="6EBF2BFC">
            <w:pPr>
              <w:adjustRightInd w:val="0"/>
              <w:snapToGrid w:val="0"/>
              <w:jc w:val="center"/>
              <w:rPr>
                <w:rFonts w:hint="default" w:ascii="Times New Roman" w:hAnsi="Times New Roman" w:eastAsia="宋体" w:cs="Times New Roman"/>
                <w:color w:val="000000" w:themeColor="text1"/>
                <w:sz w:val="21"/>
                <w:szCs w:val="21"/>
              </w:rPr>
            </w:pPr>
          </w:p>
        </w:tc>
        <w:tc>
          <w:tcPr>
            <w:tcW w:w="1493" w:type="dxa"/>
            <w:vAlign w:val="center"/>
          </w:tcPr>
          <w:p w14:paraId="43F77D48">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rPr>
            </w:pPr>
            <w:r>
              <w:rPr>
                <w:rFonts w:hint="eastAsia" w:ascii="Times New Roman" w:hAnsi="Times New Roman" w:cs="Times New Roman"/>
                <w:color w:val="000000" w:themeColor="text1"/>
                <w:sz w:val="21"/>
                <w:szCs w:val="21"/>
                <w:lang w:val="en-US" w:eastAsia="zh-CN"/>
              </w:rPr>
              <w:t>DW001，企业废水</w:t>
            </w:r>
            <w:r>
              <w:rPr>
                <w:rFonts w:hint="default" w:ascii="Times New Roman" w:hAnsi="Times New Roman" w:eastAsia="宋体" w:cs="Times New Roman"/>
                <w:color w:val="000000" w:themeColor="text1"/>
                <w:sz w:val="21"/>
                <w:szCs w:val="21"/>
              </w:rPr>
              <w:t>总排口</w:t>
            </w:r>
          </w:p>
        </w:tc>
        <w:tc>
          <w:tcPr>
            <w:tcW w:w="1905" w:type="dxa"/>
            <w:vAlign w:val="center"/>
          </w:tcPr>
          <w:p w14:paraId="5E452D4C">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sz w:val="21"/>
                <w:szCs w:val="21"/>
              </w:rPr>
              <w:t>pH、SS、COD、BOD</w:t>
            </w:r>
            <w:r>
              <w:rPr>
                <w:rFonts w:hint="default" w:ascii="Times New Roman" w:hAnsi="Times New Roman" w:eastAsia="宋体" w:cs="Times New Roman"/>
                <w:color w:val="000000" w:themeColor="text1"/>
                <w:sz w:val="21"/>
                <w:szCs w:val="21"/>
                <w:vertAlign w:val="subscript"/>
              </w:rPr>
              <w:t>5</w:t>
            </w:r>
            <w:r>
              <w:rPr>
                <w:rFonts w:hint="default" w:ascii="Times New Roman" w:hAnsi="Times New Roman" w:eastAsia="宋体" w:cs="Times New Roman"/>
                <w:color w:val="000000" w:themeColor="text1"/>
                <w:sz w:val="21"/>
                <w:szCs w:val="21"/>
              </w:rPr>
              <w:t>、粪大肠菌群数</w:t>
            </w:r>
            <w:r>
              <w:rPr>
                <w:rFonts w:hint="default" w:ascii="Times New Roman" w:hAnsi="Times New Roman" w:eastAsia="宋体" w:cs="Times New Roman"/>
                <w:color w:val="000000" w:themeColor="text1"/>
                <w:sz w:val="21"/>
                <w:szCs w:val="21"/>
                <w:lang w:eastAsia="zh-CN"/>
              </w:rPr>
              <w:t>、肠道致病菌、肠道病毒、结核杆菌</w:t>
            </w:r>
            <w:r>
              <w:rPr>
                <w:rFonts w:hint="default" w:ascii="Times New Roman" w:hAnsi="Times New Roman" w:eastAsia="宋体" w:cs="Times New Roman"/>
                <w:color w:val="000000" w:themeColor="text1"/>
                <w:sz w:val="21"/>
                <w:szCs w:val="21"/>
              </w:rPr>
              <w:t>、石油类</w:t>
            </w:r>
            <w:r>
              <w:rPr>
                <w:rFonts w:hint="default" w:ascii="Times New Roman" w:hAnsi="Times New Roman" w:eastAsia="宋体" w:cs="Times New Roman"/>
                <w:color w:val="000000" w:themeColor="text1"/>
                <w:sz w:val="21"/>
                <w:szCs w:val="21"/>
                <w:lang w:eastAsia="zh-CN"/>
              </w:rPr>
              <w:t>、</w:t>
            </w:r>
            <w:r>
              <w:rPr>
                <w:rFonts w:hint="eastAsia" w:cs="Times New Roman"/>
                <w:color w:val="000000" w:themeColor="text1"/>
                <w:sz w:val="21"/>
                <w:szCs w:val="21"/>
                <w:lang w:val="en-US" w:eastAsia="zh-CN"/>
              </w:rPr>
              <w:t>LAS</w:t>
            </w:r>
            <w:r>
              <w:rPr>
                <w:rFonts w:hint="default" w:ascii="Times New Roman" w:hAnsi="Times New Roman" w:eastAsia="宋体" w:cs="Times New Roman"/>
                <w:color w:val="000000" w:themeColor="text1"/>
                <w:sz w:val="21"/>
                <w:szCs w:val="21"/>
              </w:rPr>
              <w:t>、挥发酚、总余氯</w:t>
            </w:r>
            <w:r>
              <w:rPr>
                <w:rFonts w:hint="eastAsia" w:cs="Times New Roman"/>
                <w:color w:val="000000" w:themeColor="text1"/>
                <w:sz w:val="21"/>
                <w:szCs w:val="21"/>
                <w:lang w:eastAsia="zh-CN"/>
              </w:rPr>
              <w:t>、</w:t>
            </w:r>
            <w:r>
              <w:rPr>
                <w:rFonts w:hint="eastAsia" w:cs="Times New Roman"/>
                <w:color w:val="000000" w:themeColor="text1"/>
                <w:sz w:val="21"/>
                <w:szCs w:val="21"/>
                <w:lang w:val="en-US" w:eastAsia="zh-CN"/>
              </w:rPr>
              <w:t>氨氮</w:t>
            </w:r>
          </w:p>
        </w:tc>
        <w:tc>
          <w:tcPr>
            <w:tcW w:w="1245" w:type="dxa"/>
            <w:vAlign w:val="center"/>
          </w:tcPr>
          <w:p w14:paraId="006D6DEE">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kern w:val="0"/>
                <w:sz w:val="21"/>
                <w:szCs w:val="21"/>
                <w:lang w:val="en-US" w:eastAsia="zh-CN"/>
              </w:rPr>
              <w:t>格栅+A/O工艺+氯系消毒</w:t>
            </w:r>
          </w:p>
        </w:tc>
        <w:tc>
          <w:tcPr>
            <w:tcW w:w="2862" w:type="dxa"/>
            <w:vAlign w:val="center"/>
          </w:tcPr>
          <w:p w14:paraId="4E430ECE">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kern w:val="0"/>
                <w:sz w:val="21"/>
                <w:szCs w:val="21"/>
              </w:rPr>
            </w:pPr>
            <w:r>
              <w:rPr>
                <w:rFonts w:hint="default" w:ascii="Times New Roman" w:hAnsi="Times New Roman" w:eastAsia="宋体" w:cs="Times New Roman"/>
                <w:color w:val="000000" w:themeColor="text1"/>
                <w:kern w:val="0"/>
                <w:sz w:val="21"/>
                <w:szCs w:val="21"/>
              </w:rPr>
              <w:t>《医疗机构水污染物排放标准》（GB18466-2005）预处理标准及</w:t>
            </w:r>
            <w:r>
              <w:rPr>
                <w:rFonts w:hint="eastAsia" w:ascii="Times New Roman" w:hAnsi="Times New Roman" w:cs="Times New Roman"/>
                <w:color w:val="000000" w:themeColor="text1"/>
                <w:kern w:val="0"/>
                <w:sz w:val="21"/>
                <w:szCs w:val="21"/>
                <w:lang w:val="en-US" w:eastAsia="zh-CN"/>
              </w:rPr>
              <w:t>南津港</w:t>
            </w:r>
            <w:r>
              <w:rPr>
                <w:rFonts w:hint="default" w:ascii="Times New Roman" w:hAnsi="Times New Roman" w:eastAsia="宋体" w:cs="Times New Roman"/>
                <w:color w:val="000000" w:themeColor="text1"/>
                <w:kern w:val="0"/>
                <w:sz w:val="21"/>
                <w:szCs w:val="21"/>
              </w:rPr>
              <w:t>污水</w:t>
            </w:r>
            <w:r>
              <w:rPr>
                <w:rFonts w:hint="eastAsia" w:ascii="Times New Roman" w:hAnsi="Times New Roman" w:cs="Times New Roman"/>
                <w:color w:val="000000" w:themeColor="text1"/>
                <w:kern w:val="0"/>
                <w:sz w:val="21"/>
                <w:szCs w:val="21"/>
                <w:lang w:val="en-US" w:eastAsia="zh-CN"/>
              </w:rPr>
              <w:t>处理</w:t>
            </w:r>
            <w:r>
              <w:rPr>
                <w:rFonts w:hint="default" w:ascii="Times New Roman" w:hAnsi="Times New Roman" w:eastAsia="宋体" w:cs="Times New Roman"/>
                <w:color w:val="000000" w:themeColor="text1"/>
                <w:kern w:val="0"/>
                <w:sz w:val="21"/>
                <w:szCs w:val="21"/>
              </w:rPr>
              <w:t>厂接管标准</w:t>
            </w:r>
          </w:p>
        </w:tc>
      </w:tr>
      <w:tr w14:paraId="6C441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5" w:type="dxa"/>
            <w:vAlign w:val="center"/>
          </w:tcPr>
          <w:p w14:paraId="13AA026A">
            <w:pPr>
              <w:adjustRightInd w:val="0"/>
              <w:snapToGrid w:val="0"/>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声环境</w:t>
            </w:r>
          </w:p>
        </w:tc>
        <w:tc>
          <w:tcPr>
            <w:tcW w:w="1493" w:type="dxa"/>
            <w:vAlign w:val="center"/>
          </w:tcPr>
          <w:p w14:paraId="4C03419F">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lang w:val="en-US" w:eastAsia="zh-CN"/>
              </w:rPr>
            </w:pPr>
            <w:r>
              <w:rPr>
                <w:rFonts w:hint="default" w:ascii="Times New Roman" w:hAnsi="Times New Roman" w:cs="Times New Roman"/>
                <w:color w:val="000000" w:themeColor="text1"/>
                <w:sz w:val="21"/>
                <w:szCs w:val="21"/>
                <w:lang w:val="en-US" w:eastAsia="zh-CN"/>
              </w:rPr>
              <w:t>设备噪声</w:t>
            </w:r>
          </w:p>
        </w:tc>
        <w:tc>
          <w:tcPr>
            <w:tcW w:w="1905" w:type="dxa"/>
            <w:vAlign w:val="center"/>
          </w:tcPr>
          <w:p w14:paraId="764B2FF9">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噪声</w:t>
            </w:r>
          </w:p>
        </w:tc>
        <w:tc>
          <w:tcPr>
            <w:tcW w:w="1245" w:type="dxa"/>
            <w:vAlign w:val="center"/>
          </w:tcPr>
          <w:p w14:paraId="348C2D9E">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cs="Times New Roman"/>
                <w:color w:val="000000" w:themeColor="text1"/>
                <w:sz w:val="21"/>
                <w:szCs w:val="21"/>
                <w:lang w:val="en-US" w:eastAsia="zh-CN"/>
              </w:rPr>
              <w:t>减振措施</w:t>
            </w:r>
            <w:r>
              <w:rPr>
                <w:rFonts w:hint="default" w:ascii="Times New Roman" w:hAnsi="Times New Roman" w:eastAsia="宋体" w:cs="Times New Roman"/>
                <w:color w:val="000000" w:themeColor="text1"/>
                <w:sz w:val="21"/>
                <w:szCs w:val="21"/>
              </w:rPr>
              <w:t>、距离衰减</w:t>
            </w:r>
          </w:p>
        </w:tc>
        <w:tc>
          <w:tcPr>
            <w:tcW w:w="2862" w:type="dxa"/>
            <w:vAlign w:val="center"/>
          </w:tcPr>
          <w:p w14:paraId="10629876">
            <w:pPr>
              <w:keepNext w:val="0"/>
              <w:keepLines w:val="0"/>
              <w:pageBreakBefore w:val="0"/>
              <w:widowControl/>
              <w:kinsoku/>
              <w:wordWrap/>
              <w:overflowPunct/>
              <w:topLinePunct w:val="0"/>
              <w:autoSpaceDE/>
              <w:autoSpaceDN/>
              <w:bidi w:val="0"/>
              <w:spacing w:before="60" w:after="6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kern w:val="0"/>
                <w:sz w:val="21"/>
                <w:szCs w:val="21"/>
              </w:rPr>
              <w:t>《工业企业厂界环境噪声排放标准》（GB12348—2008）2 类标准</w:t>
            </w:r>
          </w:p>
        </w:tc>
      </w:tr>
      <w:tr w14:paraId="3CDE1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295" w:type="dxa"/>
            <w:vAlign w:val="center"/>
          </w:tcPr>
          <w:p w14:paraId="44C526D0">
            <w:pPr>
              <w:adjustRightInd w:val="0"/>
              <w:snapToGrid w:val="0"/>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固体废物</w:t>
            </w:r>
          </w:p>
        </w:tc>
        <w:tc>
          <w:tcPr>
            <w:tcW w:w="7505" w:type="dxa"/>
            <w:gridSpan w:val="4"/>
            <w:vAlign w:val="center"/>
          </w:tcPr>
          <w:p w14:paraId="385C5231">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1、</w:t>
            </w:r>
            <w:r>
              <w:rPr>
                <w:rFonts w:hint="default" w:ascii="Times New Roman" w:hAnsi="Times New Roman" w:eastAsia="宋体" w:cs="Times New Roman"/>
                <w:color w:val="000000" w:themeColor="text1"/>
                <w:sz w:val="21"/>
                <w:szCs w:val="21"/>
                <w:lang w:val="en-US" w:eastAsia="zh-CN"/>
              </w:rPr>
              <w:t>生活垃圾</w:t>
            </w:r>
            <w:r>
              <w:rPr>
                <w:rFonts w:hint="default" w:ascii="Times New Roman" w:hAnsi="Times New Roman" w:eastAsia="宋体" w:cs="Times New Roman"/>
                <w:color w:val="000000" w:themeColor="text1"/>
                <w:sz w:val="21"/>
                <w:szCs w:val="21"/>
              </w:rPr>
              <w:t>：</w:t>
            </w:r>
            <w:r>
              <w:rPr>
                <w:rFonts w:hint="default" w:ascii="Times New Roman" w:hAnsi="Times New Roman" w:eastAsia="宋体" w:cs="Times New Roman"/>
                <w:color w:val="000000" w:themeColor="text1"/>
                <w:sz w:val="21"/>
                <w:szCs w:val="21"/>
                <w:lang w:val="en-US" w:eastAsia="zh-CN"/>
              </w:rPr>
              <w:t>生活垃圾</w:t>
            </w:r>
            <w:r>
              <w:rPr>
                <w:rFonts w:hint="default" w:ascii="Times New Roman" w:hAnsi="Times New Roman" w:eastAsia="宋体" w:cs="Times New Roman"/>
                <w:color w:val="000000" w:themeColor="text1"/>
                <w:sz w:val="21"/>
                <w:szCs w:val="21"/>
              </w:rPr>
              <w:t>收集后</w:t>
            </w:r>
            <w:r>
              <w:rPr>
                <w:rFonts w:hint="default" w:ascii="Times New Roman" w:hAnsi="Times New Roman" w:eastAsia="宋体" w:cs="Times New Roman"/>
                <w:color w:val="000000" w:themeColor="text1"/>
                <w:sz w:val="21"/>
                <w:szCs w:val="21"/>
                <w:lang w:val="en-US" w:eastAsia="zh-CN"/>
              </w:rPr>
              <w:t>交由环卫部门</w:t>
            </w:r>
            <w:r>
              <w:rPr>
                <w:rFonts w:hint="default" w:ascii="Times New Roman" w:hAnsi="Times New Roman" w:eastAsia="宋体" w:cs="Times New Roman"/>
                <w:color w:val="000000" w:themeColor="text1"/>
                <w:sz w:val="21"/>
                <w:szCs w:val="21"/>
              </w:rPr>
              <w:t>清运</w:t>
            </w:r>
            <w:r>
              <w:rPr>
                <w:rFonts w:hint="default" w:ascii="Times New Roman" w:hAnsi="Times New Roman" w:cs="Times New Roman"/>
                <w:color w:val="000000" w:themeColor="text1"/>
                <w:sz w:val="21"/>
                <w:szCs w:val="21"/>
                <w:lang w:eastAsia="zh-CN"/>
              </w:rPr>
              <w:t>；</w:t>
            </w:r>
            <w:r>
              <w:rPr>
                <w:rFonts w:hint="default" w:ascii="Times New Roman" w:hAnsi="Times New Roman" w:cs="Times New Roman"/>
                <w:color w:val="000000" w:themeColor="text1"/>
                <w:sz w:val="21"/>
                <w:szCs w:val="21"/>
                <w:lang w:val="en-US" w:eastAsia="zh-CN"/>
              </w:rPr>
              <w:t>2、未被污染的医用一次医用玻璃、输液瓶（袋)统一收集后委托湖南宝叶再生资源开发有限公司回收利用；</w:t>
            </w:r>
            <w:r>
              <w:rPr>
                <w:rFonts w:hint="default" w:ascii="Times New Roman" w:hAnsi="Times New Roman" w:cs="Times New Roman"/>
                <w:color w:val="000000" w:themeColor="text1"/>
                <w:sz w:val="21"/>
                <w:szCs w:val="21"/>
                <w:highlight w:val="none"/>
                <w:lang w:val="en-US" w:eastAsia="zh-CN"/>
              </w:rPr>
              <w:t>3</w:t>
            </w:r>
            <w:r>
              <w:rPr>
                <w:rFonts w:hint="default" w:ascii="Times New Roman" w:hAnsi="Times New Roman" w:eastAsia="宋体" w:cs="Times New Roman"/>
                <w:color w:val="000000" w:themeColor="text1"/>
                <w:sz w:val="21"/>
                <w:szCs w:val="21"/>
                <w:highlight w:val="none"/>
              </w:rPr>
              <w:t>、</w:t>
            </w:r>
            <w:r>
              <w:rPr>
                <w:rFonts w:hint="default" w:ascii="Times New Roman" w:hAnsi="Times New Roman" w:eastAsia="宋体" w:cs="Times New Roman"/>
                <w:color w:val="000000" w:themeColor="text1"/>
                <w:sz w:val="21"/>
                <w:szCs w:val="21"/>
                <w:highlight w:val="none"/>
                <w:lang w:val="en-US" w:eastAsia="zh-CN"/>
              </w:rPr>
              <w:t>医疗</w:t>
            </w:r>
            <w:r>
              <w:rPr>
                <w:rFonts w:hint="default" w:ascii="Times New Roman" w:hAnsi="Times New Roman" w:eastAsia="宋体" w:cs="Times New Roman"/>
                <w:color w:val="000000" w:themeColor="text1"/>
                <w:sz w:val="21"/>
                <w:szCs w:val="21"/>
                <w:highlight w:val="none"/>
              </w:rPr>
              <w:t>废物</w:t>
            </w:r>
            <w:r>
              <w:rPr>
                <w:rFonts w:hint="default" w:ascii="Times New Roman" w:hAnsi="Times New Roman" w:cs="Times New Roman"/>
                <w:color w:val="000000" w:themeColor="text1"/>
                <w:sz w:val="21"/>
                <w:szCs w:val="21"/>
                <w:highlight w:val="none"/>
                <w:lang w:val="en-US" w:eastAsia="zh-CN"/>
              </w:rPr>
              <w:t>分类收集后</w:t>
            </w:r>
            <w:r>
              <w:rPr>
                <w:rFonts w:hint="default" w:ascii="Times New Roman" w:hAnsi="Times New Roman" w:eastAsia="宋体" w:cs="Times New Roman"/>
                <w:color w:val="000000" w:themeColor="text1"/>
                <w:sz w:val="21"/>
                <w:szCs w:val="21"/>
                <w:highlight w:val="none"/>
              </w:rPr>
              <w:t>暂存于</w:t>
            </w:r>
            <w:r>
              <w:rPr>
                <w:rFonts w:hint="default" w:ascii="Times New Roman" w:hAnsi="Times New Roman" w:cs="Times New Roman"/>
                <w:color w:val="000000" w:themeColor="text1"/>
                <w:sz w:val="21"/>
                <w:szCs w:val="21"/>
                <w:highlight w:val="none"/>
                <w:lang w:val="en-US" w:eastAsia="zh-CN"/>
              </w:rPr>
              <w:t>危废</w:t>
            </w:r>
            <w:r>
              <w:rPr>
                <w:rFonts w:hint="default" w:ascii="Times New Roman" w:hAnsi="Times New Roman" w:eastAsia="宋体" w:cs="Times New Roman"/>
                <w:color w:val="000000" w:themeColor="text1"/>
                <w:sz w:val="21"/>
                <w:szCs w:val="21"/>
                <w:highlight w:val="none"/>
              </w:rPr>
              <w:t>暂存间，</w:t>
            </w:r>
            <w:r>
              <w:rPr>
                <w:rFonts w:hint="default" w:ascii="Times New Roman" w:hAnsi="Times New Roman" w:cs="Times New Roman"/>
                <w:color w:val="000000" w:themeColor="text1"/>
                <w:sz w:val="21"/>
                <w:szCs w:val="21"/>
                <w:highlight w:val="none"/>
                <w:lang w:val="en-US" w:eastAsia="zh-CN"/>
              </w:rPr>
              <w:t>污泥</w:t>
            </w:r>
            <w:r>
              <w:rPr>
                <w:rFonts w:hint="eastAsia" w:cs="Times New Roman"/>
                <w:color w:val="000000" w:themeColor="text1"/>
                <w:sz w:val="21"/>
                <w:szCs w:val="21"/>
                <w:highlight w:val="none"/>
                <w:lang w:val="en-US" w:eastAsia="zh-CN"/>
              </w:rPr>
              <w:t>委托第三方机构清掏、消毒、</w:t>
            </w:r>
            <w:r>
              <w:rPr>
                <w:rFonts w:hint="default" w:ascii="Times New Roman" w:hAnsi="Times New Roman" w:cs="Times New Roman"/>
                <w:color w:val="000000" w:themeColor="text1"/>
                <w:sz w:val="21"/>
                <w:szCs w:val="21"/>
                <w:highlight w:val="none"/>
                <w:lang w:val="en-US" w:eastAsia="zh-CN"/>
              </w:rPr>
              <w:t>脱水后</w:t>
            </w:r>
            <w:r>
              <w:rPr>
                <w:rFonts w:hint="eastAsia" w:cs="Times New Roman"/>
                <w:color w:val="000000" w:themeColor="text1"/>
                <w:sz w:val="21"/>
                <w:szCs w:val="21"/>
                <w:highlight w:val="none"/>
                <w:lang w:val="en-US" w:eastAsia="zh-CN"/>
              </w:rPr>
              <w:t>与栅渣一同</w:t>
            </w:r>
            <w:r>
              <w:rPr>
                <w:rFonts w:hint="default" w:ascii="Times New Roman" w:hAnsi="Times New Roman" w:cs="Times New Roman"/>
                <w:color w:val="000000" w:themeColor="text1"/>
                <w:sz w:val="21"/>
                <w:szCs w:val="21"/>
                <w:highlight w:val="none"/>
                <w:lang w:val="en-US" w:eastAsia="zh-CN"/>
              </w:rPr>
              <w:t>暂存于危废暂存间，委托岳阳市方向固废安全处置有限公司无害化处置4、废活性炭</w:t>
            </w:r>
            <w:r>
              <w:rPr>
                <w:rFonts w:hint="eastAsia" w:ascii="Times New Roman" w:hAnsi="Times New Roman" w:cs="Times New Roman"/>
                <w:color w:val="000000" w:themeColor="text1"/>
                <w:sz w:val="21"/>
                <w:szCs w:val="21"/>
                <w:highlight w:val="none"/>
                <w:lang w:val="en-US" w:eastAsia="zh-CN"/>
              </w:rPr>
              <w:t>、废紫外灯管</w:t>
            </w:r>
            <w:r>
              <w:rPr>
                <w:rFonts w:hint="default" w:ascii="Times New Roman" w:hAnsi="Times New Roman" w:cs="Times New Roman"/>
                <w:color w:val="000000" w:themeColor="text1"/>
                <w:sz w:val="21"/>
                <w:szCs w:val="21"/>
                <w:highlight w:val="none"/>
                <w:lang w:val="en-US" w:eastAsia="zh-CN"/>
              </w:rPr>
              <w:t>收集后暂存于危废暂存间后委托资质单位无害化处置；5、</w:t>
            </w:r>
            <w:r>
              <w:rPr>
                <w:rFonts w:hint="default" w:ascii="Times New Roman" w:hAnsi="Times New Roman" w:cs="Times New Roman"/>
                <w:color w:val="000000" w:themeColor="text1"/>
                <w:sz w:val="21"/>
                <w:szCs w:val="21"/>
                <w:lang w:val="en-US" w:eastAsia="zh-CN"/>
              </w:rPr>
              <w:t>所有危废暂存、转移均</w:t>
            </w:r>
            <w:r>
              <w:rPr>
                <w:rFonts w:hint="default" w:ascii="Times New Roman" w:hAnsi="Times New Roman" w:eastAsia="宋体" w:cs="Times New Roman"/>
                <w:color w:val="000000" w:themeColor="text1"/>
                <w:sz w:val="21"/>
                <w:szCs w:val="21"/>
              </w:rPr>
              <w:t>符合GB18597-2023、《危险废物转移联单管理办法》要求。</w:t>
            </w:r>
          </w:p>
        </w:tc>
      </w:tr>
      <w:tr w14:paraId="003D22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295" w:type="dxa"/>
            <w:vAlign w:val="center"/>
          </w:tcPr>
          <w:p w14:paraId="091179C3">
            <w:pPr>
              <w:adjustRightInd w:val="0"/>
              <w:snapToGrid w:val="0"/>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土壤及地下水污染防治措施</w:t>
            </w:r>
          </w:p>
        </w:tc>
        <w:tc>
          <w:tcPr>
            <w:tcW w:w="7505" w:type="dxa"/>
            <w:gridSpan w:val="4"/>
            <w:vAlign w:val="center"/>
          </w:tcPr>
          <w:p w14:paraId="13953187">
            <w:pPr>
              <w:keepNext w:val="0"/>
              <w:keepLines w:val="0"/>
              <w:pageBreakBefore w:val="0"/>
              <w:kinsoku/>
              <w:wordWrap/>
              <w:overflowPunct/>
              <w:topLinePunct w:val="0"/>
              <w:autoSpaceDE/>
              <w:autoSpaceDN/>
              <w:bidi w:val="0"/>
              <w:adjustRightInd w:val="0"/>
              <w:snapToGrid w:val="0"/>
              <w:spacing w:before="60" w:after="6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cs="Times New Roman"/>
                <w:color w:val="000000" w:themeColor="text1"/>
                <w:sz w:val="21"/>
                <w:szCs w:val="21"/>
                <w:lang w:val="en-US" w:eastAsia="zh-CN"/>
              </w:rPr>
              <w:t>危险</w:t>
            </w:r>
            <w:r>
              <w:rPr>
                <w:rFonts w:hint="default" w:ascii="Times New Roman" w:hAnsi="Times New Roman" w:eastAsia="宋体" w:cs="Times New Roman"/>
                <w:color w:val="000000" w:themeColor="text1"/>
                <w:sz w:val="21"/>
                <w:szCs w:val="21"/>
                <w:lang w:val="en-US" w:eastAsia="zh-CN"/>
              </w:rPr>
              <w:t>废物暂存间应严格按照《危险废物贮存污染控制标准》（GB18597-20</w:t>
            </w:r>
            <w:r>
              <w:rPr>
                <w:rFonts w:hint="default" w:ascii="Times New Roman" w:hAnsi="Times New Roman" w:cs="Times New Roman"/>
                <w:color w:val="000000" w:themeColor="text1"/>
                <w:sz w:val="21"/>
                <w:szCs w:val="21"/>
                <w:lang w:val="en-US" w:eastAsia="zh-CN"/>
              </w:rPr>
              <w:t>23</w:t>
            </w:r>
            <w:r>
              <w:rPr>
                <w:rFonts w:hint="default" w:ascii="Times New Roman" w:hAnsi="Times New Roman" w:eastAsia="宋体" w:cs="Times New Roman"/>
                <w:color w:val="000000" w:themeColor="text1"/>
                <w:sz w:val="21"/>
                <w:szCs w:val="21"/>
                <w:lang w:val="en-US" w:eastAsia="zh-CN"/>
              </w:rPr>
              <w:t>）及其修改清单实施，</w:t>
            </w:r>
            <w:r>
              <w:rPr>
                <w:rFonts w:hint="default" w:ascii="Times New Roman" w:hAnsi="Times New Roman" w:cs="Times New Roman"/>
                <w:color w:val="000000" w:themeColor="text1"/>
                <w:sz w:val="21"/>
                <w:szCs w:val="21"/>
                <w:lang w:val="en-US" w:eastAsia="zh-CN"/>
              </w:rPr>
              <w:t>危险</w:t>
            </w:r>
            <w:r>
              <w:rPr>
                <w:rFonts w:hint="default" w:ascii="Times New Roman" w:hAnsi="Times New Roman" w:eastAsia="宋体" w:cs="Times New Roman"/>
                <w:color w:val="000000" w:themeColor="text1"/>
                <w:sz w:val="21"/>
                <w:szCs w:val="21"/>
                <w:lang w:val="en-US" w:eastAsia="zh-CN"/>
              </w:rPr>
              <w:t>废物暂存</w:t>
            </w:r>
            <w:r>
              <w:rPr>
                <w:rFonts w:hint="default" w:ascii="Times New Roman" w:hAnsi="Times New Roman" w:cs="Times New Roman"/>
                <w:color w:val="000000" w:themeColor="text1"/>
                <w:sz w:val="21"/>
                <w:szCs w:val="21"/>
                <w:lang w:val="en-US" w:eastAsia="zh-CN"/>
              </w:rPr>
              <w:t>间</w:t>
            </w:r>
            <w:r>
              <w:rPr>
                <w:rFonts w:hint="default" w:ascii="Times New Roman" w:hAnsi="Times New Roman" w:eastAsia="宋体" w:cs="Times New Roman"/>
                <w:color w:val="000000" w:themeColor="text1"/>
                <w:sz w:val="21"/>
                <w:szCs w:val="21"/>
                <w:lang w:val="en-US" w:eastAsia="zh-CN"/>
              </w:rPr>
              <w:t>、污水处理站采取防渗混凝土+2mm 厚人工防渗涂料进行防渗、防腐处理，确保防渗系数≤10</w:t>
            </w:r>
            <w:r>
              <w:rPr>
                <w:rFonts w:hint="default" w:ascii="Times New Roman" w:hAnsi="Times New Roman" w:eastAsia="宋体" w:cs="Times New Roman"/>
                <w:color w:val="000000" w:themeColor="text1"/>
                <w:sz w:val="21"/>
                <w:szCs w:val="21"/>
                <w:vertAlign w:val="superscript"/>
                <w:lang w:val="en-US" w:eastAsia="zh-CN"/>
              </w:rPr>
              <w:t>-10</w:t>
            </w:r>
            <w:r>
              <w:rPr>
                <w:rFonts w:hint="default" w:ascii="Times New Roman" w:hAnsi="Times New Roman" w:eastAsia="宋体" w:cs="Times New Roman"/>
                <w:color w:val="000000" w:themeColor="text1"/>
                <w:sz w:val="21"/>
                <w:szCs w:val="21"/>
                <w:lang w:val="en-US" w:eastAsia="zh-CN"/>
              </w:rPr>
              <w:t>cm/s。</w:t>
            </w:r>
          </w:p>
        </w:tc>
      </w:tr>
      <w:tr w14:paraId="207ED5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1295" w:type="dxa"/>
            <w:vAlign w:val="center"/>
          </w:tcPr>
          <w:p w14:paraId="7FB5ACF5">
            <w:pPr>
              <w:adjustRightInd w:val="0"/>
              <w:snapToGrid w:val="0"/>
              <w:jc w:val="center"/>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themeColor="text1"/>
                <w:sz w:val="21"/>
                <w:szCs w:val="21"/>
              </w:rPr>
              <w:t>生态保护措施</w:t>
            </w:r>
          </w:p>
        </w:tc>
        <w:tc>
          <w:tcPr>
            <w:tcW w:w="7505" w:type="dxa"/>
            <w:gridSpan w:val="4"/>
            <w:vAlign w:val="center"/>
          </w:tcPr>
          <w:p w14:paraId="656935C8">
            <w:pPr>
              <w:keepNext w:val="0"/>
              <w:keepLines w:val="0"/>
              <w:pageBreakBefore w:val="0"/>
              <w:widowControl/>
              <w:suppressLineNumbers w:val="0"/>
              <w:kinsoku/>
              <w:wordWrap/>
              <w:overflowPunct/>
              <w:topLinePunct w:val="0"/>
              <w:autoSpaceDE/>
              <w:autoSpaceDN/>
              <w:bidi w:val="0"/>
              <w:spacing w:before="60" w:after="60"/>
              <w:ind w:firstLine="420" w:firstLineChars="200"/>
              <w:jc w:val="center"/>
              <w:textAlignment w:val="auto"/>
              <w:rPr>
                <w:rFonts w:hint="default" w:ascii="Times New Roman" w:hAnsi="Times New Roman" w:eastAsia="宋体" w:cs="Times New Roman"/>
                <w:color w:val="000000" w:themeColor="text1"/>
                <w:sz w:val="21"/>
                <w:szCs w:val="21"/>
              </w:rPr>
            </w:pPr>
            <w:r>
              <w:rPr>
                <w:rFonts w:hint="default" w:ascii="Times New Roman" w:hAnsi="Times New Roman" w:eastAsia="宋体" w:cs="Times New Roman"/>
                <w:color w:val="000000"/>
                <w:kern w:val="0"/>
                <w:sz w:val="21"/>
                <w:szCs w:val="21"/>
                <w:lang w:val="en-US" w:eastAsia="zh-CN" w:bidi="ar"/>
              </w:rPr>
              <w:t>根据现场勘察，本项目评价区域所处环境为城市生态环境，周围无生态敏感点，不涉及野生动植物，项目产生的各种</w:t>
            </w:r>
            <w:r>
              <w:rPr>
                <w:rFonts w:hint="default" w:ascii="Times New Roman" w:hAnsi="Times New Roman" w:cs="Times New Roman"/>
                <w:color w:val="000000"/>
                <w:kern w:val="0"/>
                <w:sz w:val="21"/>
                <w:szCs w:val="21"/>
                <w:lang w:val="en-US" w:eastAsia="zh-CN" w:bidi="ar"/>
              </w:rPr>
              <w:t>污染物</w:t>
            </w:r>
            <w:r>
              <w:rPr>
                <w:rFonts w:hint="default" w:ascii="Times New Roman" w:hAnsi="Times New Roman" w:eastAsia="宋体" w:cs="Times New Roman"/>
                <w:color w:val="000000"/>
                <w:kern w:val="0"/>
                <w:sz w:val="21"/>
                <w:szCs w:val="21"/>
                <w:lang w:val="en-US" w:eastAsia="zh-CN" w:bidi="ar"/>
              </w:rPr>
              <w:t>，均采取相应措施处理，不会对所在地生态环境产生明显影响。</w:t>
            </w:r>
          </w:p>
        </w:tc>
      </w:tr>
      <w:tr w14:paraId="60F429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1295" w:type="dxa"/>
            <w:vAlign w:val="center"/>
          </w:tcPr>
          <w:p w14:paraId="366B58FA">
            <w:pPr>
              <w:adjustRightInd w:val="0"/>
              <w:snapToGrid w:val="0"/>
              <w:jc w:val="center"/>
              <w:rPr>
                <w:rFonts w:hint="eastAsia" w:ascii="宋体" w:hAnsi="宋体" w:eastAsia="宋体" w:cs="宋体"/>
                <w:color w:val="000000" w:themeColor="text1"/>
                <w:spacing w:val="-8"/>
                <w:sz w:val="21"/>
                <w:szCs w:val="21"/>
              </w:rPr>
            </w:pPr>
            <w:r>
              <w:rPr>
                <w:rFonts w:hint="eastAsia" w:ascii="宋体" w:hAnsi="宋体" w:eastAsia="宋体" w:cs="宋体"/>
                <w:color w:val="000000" w:themeColor="text1"/>
                <w:spacing w:val="-8"/>
                <w:sz w:val="21"/>
                <w:szCs w:val="21"/>
              </w:rPr>
              <w:t>环境风险</w:t>
            </w:r>
          </w:p>
          <w:p w14:paraId="48CD29A0">
            <w:pPr>
              <w:adjustRightInd w:val="0"/>
              <w:snapToGrid w:val="0"/>
              <w:jc w:val="center"/>
              <w:rPr>
                <w:rFonts w:hint="eastAsia" w:ascii="宋体" w:hAnsi="宋体" w:eastAsia="宋体" w:cs="宋体"/>
                <w:color w:val="000000" w:themeColor="text1"/>
                <w:spacing w:val="-8"/>
                <w:sz w:val="21"/>
                <w:szCs w:val="21"/>
              </w:rPr>
            </w:pPr>
            <w:r>
              <w:rPr>
                <w:rFonts w:hint="eastAsia" w:ascii="宋体" w:hAnsi="宋体" w:eastAsia="宋体" w:cs="宋体"/>
                <w:color w:val="000000" w:themeColor="text1"/>
                <w:spacing w:val="-8"/>
                <w:sz w:val="21"/>
                <w:szCs w:val="21"/>
              </w:rPr>
              <w:t>防范措施</w:t>
            </w:r>
          </w:p>
        </w:tc>
        <w:tc>
          <w:tcPr>
            <w:tcW w:w="7505" w:type="dxa"/>
            <w:gridSpan w:val="4"/>
            <w:vAlign w:val="center"/>
          </w:tcPr>
          <w:p w14:paraId="60692AEC">
            <w:pPr>
              <w:keepNext w:val="0"/>
              <w:keepLines w:val="0"/>
              <w:pageBreakBefore w:val="0"/>
              <w:widowControl/>
              <w:suppressLineNumbers w:val="0"/>
              <w:kinsoku/>
              <w:wordWrap/>
              <w:overflowPunct/>
              <w:topLinePunct w:val="0"/>
              <w:autoSpaceDE/>
              <w:autoSpaceDN/>
              <w:bidi w:val="0"/>
              <w:spacing w:before="60" w:after="60"/>
              <w:jc w:val="center"/>
              <w:textAlignment w:val="auto"/>
              <w:rPr>
                <w:rFonts w:hint="eastAsia" w:ascii="宋体" w:hAnsi="宋体" w:eastAsia="宋体" w:cs="宋体"/>
                <w:color w:val="000000" w:themeColor="text1"/>
                <w:sz w:val="21"/>
                <w:szCs w:val="21"/>
                <w:lang w:val="en-US" w:eastAsia="zh-CN"/>
              </w:rPr>
            </w:pPr>
            <w:r>
              <w:rPr>
                <w:rFonts w:hint="eastAsia" w:ascii="宋体" w:hAnsi="宋体" w:eastAsia="宋体" w:cs="宋体"/>
                <w:color w:val="000000"/>
                <w:kern w:val="0"/>
                <w:sz w:val="21"/>
                <w:szCs w:val="21"/>
                <w:lang w:val="en-US" w:eastAsia="zh-CN" w:bidi="ar"/>
              </w:rPr>
              <w:t>根据相关的环境管理要求，制定医疗污水处理站环境保护管理制度、严格医疗废物暂存和储运管理，制定事故应急计划、配置相应的应急处理手段及设施，编制企业突发环境事件应急预案。</w:t>
            </w:r>
          </w:p>
        </w:tc>
      </w:tr>
      <w:tr w14:paraId="25049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25" w:hRule="atLeast"/>
          <w:jc w:val="center"/>
        </w:trPr>
        <w:tc>
          <w:tcPr>
            <w:tcW w:w="1295" w:type="dxa"/>
            <w:vAlign w:val="center"/>
          </w:tcPr>
          <w:p w14:paraId="33960677">
            <w:pPr>
              <w:adjustRightInd w:val="0"/>
              <w:snapToGrid w:val="0"/>
              <w:jc w:val="center"/>
              <w:rPr>
                <w:rFonts w:hint="default" w:ascii="Times New Roman" w:hAnsi="Times New Roman" w:eastAsia="宋体" w:cs="Times New Roman"/>
                <w:color w:val="000000" w:themeColor="text1"/>
                <w:spacing w:val="-8"/>
                <w:sz w:val="21"/>
                <w:szCs w:val="21"/>
              </w:rPr>
            </w:pPr>
            <w:r>
              <w:rPr>
                <w:rFonts w:hint="default" w:ascii="Times New Roman" w:hAnsi="Times New Roman" w:eastAsia="宋体" w:cs="Times New Roman"/>
                <w:color w:val="000000" w:themeColor="text1"/>
                <w:spacing w:val="-8"/>
                <w:sz w:val="21"/>
                <w:szCs w:val="21"/>
              </w:rPr>
              <w:t>其他环境</w:t>
            </w:r>
          </w:p>
          <w:p w14:paraId="0CE4E467">
            <w:pPr>
              <w:adjustRightInd w:val="0"/>
              <w:snapToGrid w:val="0"/>
              <w:jc w:val="center"/>
              <w:rPr>
                <w:rFonts w:hint="default" w:ascii="Times New Roman" w:hAnsi="Times New Roman" w:eastAsia="宋体" w:cs="Times New Roman"/>
                <w:color w:val="000000" w:themeColor="text1"/>
                <w:spacing w:val="-8"/>
                <w:sz w:val="21"/>
                <w:szCs w:val="21"/>
              </w:rPr>
            </w:pPr>
            <w:r>
              <w:rPr>
                <w:rFonts w:hint="default" w:ascii="Times New Roman" w:hAnsi="Times New Roman" w:eastAsia="宋体" w:cs="Times New Roman"/>
                <w:color w:val="000000" w:themeColor="text1"/>
                <w:spacing w:val="-8"/>
                <w:sz w:val="21"/>
                <w:szCs w:val="21"/>
              </w:rPr>
              <w:t>管理要求</w:t>
            </w:r>
          </w:p>
        </w:tc>
        <w:tc>
          <w:tcPr>
            <w:tcW w:w="7505" w:type="dxa"/>
            <w:gridSpan w:val="4"/>
            <w:vAlign w:val="center"/>
          </w:tcPr>
          <w:p w14:paraId="7E384531">
            <w:pPr>
              <w:keepNext w:val="0"/>
              <w:keepLines w:val="0"/>
              <w:widowControl/>
              <w:suppressLineNumbers w:val="0"/>
              <w:spacing w:line="360" w:lineRule="auto"/>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①建立完善的环境管理制度，设立专门环境管理机构，建立完善的环境监测制度。 </w:t>
            </w:r>
          </w:p>
          <w:p w14:paraId="29F813A2">
            <w:pPr>
              <w:keepNext w:val="0"/>
              <w:keepLines w:val="0"/>
              <w:widowControl/>
              <w:suppressLineNumbers w:val="0"/>
              <w:spacing w:line="360" w:lineRule="auto"/>
              <w:jc w:val="left"/>
              <w:rPr>
                <w:rFonts w:hint="default" w:ascii="Times New Roman" w:hAnsi="Times New Roman" w:cs="Times New Roman"/>
                <w:sz w:val="21"/>
                <w:szCs w:val="21"/>
              </w:rPr>
            </w:pPr>
            <w:r>
              <w:rPr>
                <w:rFonts w:hint="default" w:ascii="Times New Roman" w:hAnsi="Times New Roman" w:eastAsia="宋体" w:cs="Times New Roman"/>
                <w:color w:val="000000"/>
                <w:kern w:val="0"/>
                <w:sz w:val="21"/>
                <w:szCs w:val="21"/>
                <w:lang w:val="en-US" w:eastAsia="zh-CN" w:bidi="ar"/>
              </w:rPr>
              <w:t xml:space="preserve">②按照环境监测计划对项目废水、废气、噪声等定期进行监测。③废水排放 </w:t>
            </w:r>
          </w:p>
          <w:p w14:paraId="6365916C">
            <w:pPr>
              <w:keepNext w:val="0"/>
              <w:keepLines w:val="0"/>
              <w:widowControl/>
              <w:suppressLineNumbers w:val="0"/>
              <w:spacing w:line="360" w:lineRule="auto"/>
              <w:jc w:val="left"/>
              <w:rPr>
                <w:rFonts w:hint="default" w:ascii="Times New Roman" w:hAnsi="Times New Roman" w:eastAsia="宋体" w:cs="Times New Roman"/>
                <w:color w:val="000000" w:themeColor="text1"/>
                <w:sz w:val="21"/>
                <w:szCs w:val="21"/>
                <w:lang w:val="en-US"/>
              </w:rPr>
            </w:pPr>
            <w:r>
              <w:rPr>
                <w:rFonts w:hint="default" w:ascii="Times New Roman" w:hAnsi="Times New Roman" w:eastAsia="宋体" w:cs="Times New Roman"/>
                <w:color w:val="000000"/>
                <w:kern w:val="0"/>
                <w:sz w:val="21"/>
                <w:szCs w:val="21"/>
                <w:lang w:val="en-US" w:eastAsia="zh-CN" w:bidi="ar"/>
              </w:rPr>
              <w:t>口预留监测口并设立相应标志牌。④</w:t>
            </w:r>
            <w:r>
              <w:rPr>
                <w:rFonts w:hint="default" w:ascii="Times New Roman" w:hAnsi="Times New Roman" w:cs="Times New Roman"/>
                <w:color w:val="000000"/>
                <w:kern w:val="0"/>
                <w:sz w:val="21"/>
                <w:szCs w:val="21"/>
                <w:lang w:val="en-US" w:eastAsia="zh-CN" w:bidi="ar"/>
              </w:rPr>
              <w:t>参照</w:t>
            </w:r>
            <w:r>
              <w:rPr>
                <w:rFonts w:hint="default" w:ascii="Times New Roman" w:hAnsi="Times New Roman" w:eastAsia="宋体" w:cs="Times New Roman"/>
                <w:color w:val="000000"/>
                <w:kern w:val="0"/>
                <w:sz w:val="21"/>
                <w:szCs w:val="21"/>
                <w:lang w:val="en-US" w:eastAsia="zh-CN" w:bidi="ar"/>
              </w:rPr>
              <w:t>《排污单位污染物排放口监测点位设置技术规范》（HJ 1405-2024）要求设置采样口。⑤项目竣工后，建设单位应依据《建设项目竣工环境保护验收技术指南污染影响类》 （生态环境部 2018 年第 9 号公告）、环评文件及其批复的要求，自主开展环境保护竣工验收相关工作。⑥根据《排污许可管理办法（试行）》（环境保护部令第 48 号）以及《固定污染源排污许可分类管理名录（</w:t>
            </w:r>
            <w:r>
              <w:rPr>
                <w:rFonts w:hint="default" w:ascii="Times New Roman" w:hAnsi="Times New Roman" w:cs="Times New Roman"/>
                <w:color w:val="000000"/>
                <w:kern w:val="0"/>
                <w:sz w:val="21"/>
                <w:szCs w:val="21"/>
                <w:lang w:val="en-US" w:eastAsia="zh-CN" w:bidi="ar"/>
              </w:rPr>
              <w:t>2019</w:t>
            </w:r>
            <w:r>
              <w:rPr>
                <w:rFonts w:hint="default" w:ascii="Times New Roman" w:hAnsi="Times New Roman" w:eastAsia="宋体" w:cs="Times New Roman"/>
                <w:color w:val="000000"/>
                <w:kern w:val="0"/>
                <w:sz w:val="21"/>
                <w:szCs w:val="21"/>
                <w:lang w:val="en-US" w:eastAsia="zh-CN" w:bidi="ar"/>
              </w:rPr>
              <w:t>年版）》要求，</w:t>
            </w:r>
            <w:r>
              <w:rPr>
                <w:rFonts w:hint="default" w:ascii="Times New Roman" w:hAnsi="Times New Roman" w:cs="Times New Roman"/>
                <w:color w:val="000000"/>
                <w:kern w:val="0"/>
                <w:sz w:val="21"/>
                <w:szCs w:val="21"/>
                <w:lang w:val="en-US" w:eastAsia="zh-CN" w:bidi="ar"/>
              </w:rPr>
              <w:t>及时更换排污许可证。</w:t>
            </w:r>
          </w:p>
        </w:tc>
      </w:tr>
    </w:tbl>
    <w:p w14:paraId="27A85FCC">
      <w:pPr>
        <w:pStyle w:val="2"/>
        <w:jc w:val="center"/>
        <w:rPr>
          <w:rFonts w:eastAsia="宋体"/>
          <w:b w:val="0"/>
          <w:bCs w:val="0"/>
          <w:snapToGrid w:val="0"/>
          <w:color w:val="000000" w:themeColor="text1"/>
        </w:rPr>
      </w:pPr>
      <w:r>
        <w:rPr>
          <w:rFonts w:eastAsia="宋体"/>
          <w:snapToGrid w:val="0"/>
          <w:color w:val="000000" w:themeColor="text1"/>
        </w:rPr>
        <w:br w:type="page"/>
      </w:r>
      <w:bookmarkStart w:id="17" w:name="_Toc139925583"/>
      <w:bookmarkStart w:id="18" w:name="_Toc70435066"/>
      <w:r>
        <w:rPr>
          <w:rFonts w:eastAsia="宋体"/>
          <w:b/>
          <w:bCs/>
          <w:snapToGrid w:val="0"/>
          <w:color w:val="000000" w:themeColor="text1"/>
        </w:rPr>
        <w:t>六、结论</w:t>
      </w:r>
      <w:bookmarkEnd w:id="17"/>
      <w:bookmarkEnd w:id="18"/>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3445E3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center"/>
          </w:tcPr>
          <w:p w14:paraId="073B587A">
            <w:pPr>
              <w:spacing w:line="360" w:lineRule="auto"/>
              <w:ind w:firstLine="480" w:firstLineChars="200"/>
              <w:rPr>
                <w:color w:val="000000" w:themeColor="text1"/>
                <w:sz w:val="24"/>
                <w:szCs w:val="24"/>
              </w:rPr>
            </w:pPr>
            <w:r>
              <w:rPr>
                <w:color w:val="000000" w:themeColor="text1"/>
                <w:sz w:val="24"/>
                <w:szCs w:val="24"/>
              </w:rPr>
              <w:t>本建设项目</w:t>
            </w:r>
            <w:r>
              <w:rPr>
                <w:rFonts w:hint="eastAsia"/>
                <w:color w:val="000000" w:themeColor="text1"/>
                <w:sz w:val="24"/>
                <w:szCs w:val="24"/>
                <w:lang w:val="en-US" w:eastAsia="zh-CN"/>
              </w:rPr>
              <w:t>搬迁后</w:t>
            </w:r>
            <w:r>
              <w:rPr>
                <w:color w:val="000000" w:themeColor="text1"/>
                <w:sz w:val="24"/>
                <w:szCs w:val="24"/>
              </w:rPr>
              <w:t>符合国家和湖南省相关产业政策要求，选址合理，总平面布置合理可行，项目对</w:t>
            </w:r>
            <w:r>
              <w:rPr>
                <w:rFonts w:hint="eastAsia"/>
                <w:color w:val="000000" w:themeColor="text1"/>
                <w:sz w:val="24"/>
                <w:szCs w:val="24"/>
              </w:rPr>
              <w:t>废气、</w:t>
            </w:r>
            <w:r>
              <w:rPr>
                <w:color w:val="000000" w:themeColor="text1"/>
                <w:sz w:val="24"/>
                <w:szCs w:val="24"/>
              </w:rPr>
              <w:t>废水、噪声和固体废物等污染物采取了妥善的处理处置措施，污染物排放总量较小，在落实各项规定的污染防治措施后，各污染物能达标排放，对周围的环境影响可控制在允许的范围内，周围环境质量能满足功能区划要求。在全面落实各项污染防范措施、</w:t>
            </w:r>
            <w:r>
              <w:rPr>
                <w:rFonts w:hint="eastAsia"/>
                <w:color w:val="000000" w:themeColor="text1"/>
                <w:sz w:val="24"/>
                <w:szCs w:val="24"/>
              </w:rPr>
              <w:t>落实“</w:t>
            </w:r>
            <w:r>
              <w:rPr>
                <w:color w:val="000000" w:themeColor="text1"/>
                <w:sz w:val="24"/>
                <w:szCs w:val="24"/>
              </w:rPr>
              <w:t>三同时</w:t>
            </w:r>
            <w:r>
              <w:rPr>
                <w:rFonts w:hint="eastAsia"/>
                <w:color w:val="000000" w:themeColor="text1"/>
                <w:sz w:val="24"/>
                <w:szCs w:val="24"/>
              </w:rPr>
              <w:t>”</w:t>
            </w:r>
            <w:r>
              <w:rPr>
                <w:color w:val="000000" w:themeColor="text1"/>
                <w:sz w:val="24"/>
                <w:szCs w:val="24"/>
              </w:rPr>
              <w:t>制度</w:t>
            </w:r>
            <w:r>
              <w:rPr>
                <w:rFonts w:hint="eastAsia"/>
                <w:color w:val="000000" w:themeColor="text1"/>
                <w:sz w:val="24"/>
                <w:szCs w:val="24"/>
              </w:rPr>
              <w:t>及</w:t>
            </w:r>
            <w:r>
              <w:rPr>
                <w:color w:val="000000" w:themeColor="text1"/>
                <w:sz w:val="24"/>
                <w:szCs w:val="24"/>
              </w:rPr>
              <w:t>保证安全生产的前提下，</w:t>
            </w:r>
            <w:r>
              <w:rPr>
                <w:rFonts w:hint="eastAsia"/>
                <w:color w:val="000000" w:themeColor="text1"/>
                <w:sz w:val="24"/>
                <w:szCs w:val="24"/>
              </w:rPr>
              <w:t>本建设</w:t>
            </w:r>
            <w:r>
              <w:rPr>
                <w:color w:val="000000" w:themeColor="text1"/>
                <w:sz w:val="24"/>
                <w:szCs w:val="24"/>
              </w:rPr>
              <w:t>项目整体上符合环境保护和社会可持续发展的要求，从环境保护角度分析，本项目的是可行的。</w:t>
            </w:r>
          </w:p>
          <w:p w14:paraId="7606411A">
            <w:pPr>
              <w:spacing w:line="360" w:lineRule="auto"/>
              <w:ind w:firstLine="420" w:firstLineChars="200"/>
              <w:rPr>
                <w:color w:val="000000" w:themeColor="text1"/>
                <w:sz w:val="21"/>
                <w:szCs w:val="21"/>
              </w:rPr>
            </w:pPr>
          </w:p>
        </w:tc>
      </w:tr>
    </w:tbl>
    <w:p w14:paraId="3B4185C5">
      <w:pPr>
        <w:pStyle w:val="21"/>
        <w:adjustRightInd w:val="0"/>
        <w:snapToGrid w:val="0"/>
        <w:spacing w:before="0" w:beforeAutospacing="0" w:after="0" w:afterAutospacing="0"/>
        <w:outlineLvl w:val="0"/>
        <w:rPr>
          <w:rFonts w:ascii="Times New Roman" w:hAnsi="Times New Roman"/>
          <w:snapToGrid w:val="0"/>
          <w:color w:val="000000" w:themeColor="text1"/>
          <w:sz w:val="32"/>
          <w:szCs w:val="32"/>
        </w:rPr>
        <w:sectPr>
          <w:footerReference r:id="rId8" w:type="default"/>
          <w:pgSz w:w="11906" w:h="16838"/>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14:paraId="1DA96F5C">
      <w:pPr>
        <w:pStyle w:val="21"/>
        <w:adjustRightInd w:val="0"/>
        <w:snapToGrid w:val="0"/>
        <w:spacing w:before="0" w:beforeAutospacing="0" w:after="0" w:afterAutospacing="0"/>
        <w:outlineLvl w:val="0"/>
        <w:rPr>
          <w:rFonts w:ascii="Times New Roman" w:hAnsi="Times New Roman"/>
          <w:snapToGrid w:val="0"/>
          <w:color w:val="000000" w:themeColor="text1"/>
          <w:sz w:val="32"/>
          <w:szCs w:val="32"/>
        </w:rPr>
      </w:pPr>
      <w:bookmarkStart w:id="19" w:name="_Toc139925584"/>
      <w:bookmarkStart w:id="20" w:name="_Toc127454737"/>
      <w:r>
        <w:rPr>
          <w:rFonts w:ascii="Times New Roman" w:hAnsi="Times New Roman"/>
          <w:snapToGrid w:val="0"/>
          <w:color w:val="000000" w:themeColor="text1"/>
          <w:sz w:val="32"/>
          <w:szCs w:val="32"/>
        </w:rPr>
        <w:t>附表</w:t>
      </w:r>
      <w:bookmarkEnd w:id="19"/>
      <w:bookmarkEnd w:id="20"/>
    </w:p>
    <w:p w14:paraId="01B83732">
      <w:pPr>
        <w:jc w:val="center"/>
        <w:rPr>
          <w:b/>
          <w:bCs/>
          <w:snapToGrid w:val="0"/>
          <w:color w:val="000000" w:themeColor="text1"/>
          <w:sz w:val="48"/>
          <w:szCs w:val="48"/>
        </w:rPr>
      </w:pPr>
      <w:bookmarkStart w:id="21" w:name="_Toc70435068"/>
      <w:r>
        <w:rPr>
          <w:b/>
          <w:bCs/>
          <w:snapToGrid w:val="0"/>
          <w:color w:val="000000" w:themeColor="text1"/>
          <w:sz w:val="48"/>
          <w:szCs w:val="48"/>
        </w:rPr>
        <w:t>建设项目污染物排放量汇总表</w:t>
      </w:r>
      <w:bookmarkEnd w:id="21"/>
    </w:p>
    <w:tbl>
      <w:tblPr>
        <w:tblStyle w:val="24"/>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50"/>
        <w:gridCol w:w="2279"/>
        <w:gridCol w:w="1563"/>
        <w:gridCol w:w="1190"/>
        <w:gridCol w:w="1701"/>
        <w:gridCol w:w="1559"/>
        <w:gridCol w:w="1424"/>
        <w:gridCol w:w="1843"/>
        <w:gridCol w:w="1279"/>
      </w:tblGrid>
      <w:tr w14:paraId="4D93DA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 w:type="dxa"/>
            <w:tcBorders>
              <w:tl2br w:val="single" w:color="auto" w:sz="4" w:space="0"/>
            </w:tcBorders>
            <w:tcMar>
              <w:left w:w="28" w:type="dxa"/>
              <w:right w:w="28" w:type="dxa"/>
            </w:tcMar>
            <w:vAlign w:val="center"/>
          </w:tcPr>
          <w:p w14:paraId="078B4605">
            <w:pPr>
              <w:pStyle w:val="47"/>
              <w:spacing w:beforeLines="0" w:afterLines="0" w:line="240" w:lineRule="auto"/>
              <w:ind w:left="0" w:leftChars="0" w:firstLine="0" w:firstLineChars="0"/>
              <w:jc w:val="right"/>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项目</w:t>
            </w:r>
          </w:p>
          <w:p w14:paraId="2D5D5103">
            <w:pPr>
              <w:pStyle w:val="47"/>
              <w:spacing w:beforeLines="0" w:afterLines="0" w:line="240" w:lineRule="auto"/>
              <w:ind w:left="398" w:hanging="398"/>
              <w:jc w:val="both"/>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分类</w:t>
            </w:r>
          </w:p>
        </w:tc>
        <w:tc>
          <w:tcPr>
            <w:tcW w:w="2279" w:type="dxa"/>
            <w:tcMar>
              <w:left w:w="28" w:type="dxa"/>
              <w:right w:w="28" w:type="dxa"/>
            </w:tcMar>
            <w:vAlign w:val="center"/>
          </w:tcPr>
          <w:p w14:paraId="165EA3AF">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污染物名称</w:t>
            </w:r>
          </w:p>
        </w:tc>
        <w:tc>
          <w:tcPr>
            <w:tcW w:w="1563" w:type="dxa"/>
            <w:tcMar>
              <w:left w:w="28" w:type="dxa"/>
              <w:right w:w="28" w:type="dxa"/>
            </w:tcMar>
            <w:vAlign w:val="center"/>
          </w:tcPr>
          <w:p w14:paraId="13AF0E17">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现有工程</w:t>
            </w:r>
          </w:p>
          <w:p w14:paraId="26635E73">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排放量（固体废物产生量）</w:t>
            </w:r>
            <w:r>
              <w:rPr>
                <w:rFonts w:ascii="Times New Roman" w:hAnsi="Times New Roman"/>
                <w:b/>
                <w:bCs/>
                <w:snapToGrid w:val="0"/>
                <w:color w:val="000000" w:themeColor="text1"/>
                <w:spacing w:val="-6"/>
                <w:kern w:val="21"/>
                <w:szCs w:val="21"/>
              </w:rPr>
              <w:fldChar w:fldCharType="begin"/>
            </w:r>
            <w:r>
              <w:rPr>
                <w:rFonts w:ascii="Times New Roman" w:hAnsi="Times New Roman"/>
                <w:b/>
                <w:bCs/>
                <w:snapToGrid w:val="0"/>
                <w:color w:val="000000" w:themeColor="text1"/>
                <w:spacing w:val="-6"/>
                <w:kern w:val="21"/>
                <w:szCs w:val="21"/>
              </w:rPr>
              <w:instrText xml:space="preserve"> = 1 \* GB3 \* MERGEFORMAT </w:instrText>
            </w:r>
            <w:r>
              <w:rPr>
                <w:rFonts w:ascii="Times New Roman" w:hAnsi="Times New Roman"/>
                <w:b/>
                <w:bCs/>
                <w:snapToGrid w:val="0"/>
                <w:color w:val="000000" w:themeColor="text1"/>
                <w:spacing w:val="-6"/>
                <w:kern w:val="21"/>
                <w:szCs w:val="21"/>
              </w:rPr>
              <w:fldChar w:fldCharType="separate"/>
            </w:r>
            <w:r>
              <w:rPr>
                <w:rFonts w:hint="eastAsia" w:cs="宋体"/>
                <w:b/>
                <w:bCs/>
                <w:color w:val="000000" w:themeColor="text1"/>
                <w:kern w:val="2"/>
                <w:szCs w:val="21"/>
              </w:rPr>
              <w:t>①</w:t>
            </w:r>
            <w:r>
              <w:rPr>
                <w:rFonts w:ascii="Times New Roman" w:hAnsi="Times New Roman"/>
                <w:b/>
                <w:bCs/>
                <w:snapToGrid w:val="0"/>
                <w:color w:val="000000" w:themeColor="text1"/>
                <w:spacing w:val="-6"/>
                <w:kern w:val="21"/>
                <w:szCs w:val="21"/>
              </w:rPr>
              <w:fldChar w:fldCharType="end"/>
            </w:r>
          </w:p>
        </w:tc>
        <w:tc>
          <w:tcPr>
            <w:tcW w:w="1190" w:type="dxa"/>
            <w:tcMar>
              <w:left w:w="28" w:type="dxa"/>
              <w:right w:w="28" w:type="dxa"/>
            </w:tcMar>
            <w:vAlign w:val="center"/>
          </w:tcPr>
          <w:p w14:paraId="20708594">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现有工程</w:t>
            </w:r>
          </w:p>
          <w:p w14:paraId="631C105B">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许可排放量</w:t>
            </w:r>
          </w:p>
          <w:p w14:paraId="4AC96271">
            <w:pPr>
              <w:pStyle w:val="47"/>
              <w:spacing w:beforeLines="0" w:afterLines="0"/>
              <w:ind w:left="422" w:hanging="422"/>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fldChar w:fldCharType="begin"/>
            </w:r>
            <w:r>
              <w:rPr>
                <w:rFonts w:ascii="Times New Roman" w:hAnsi="Times New Roman"/>
                <w:b/>
                <w:bCs/>
                <w:snapToGrid w:val="0"/>
                <w:color w:val="000000" w:themeColor="text1"/>
                <w:spacing w:val="-6"/>
                <w:kern w:val="21"/>
                <w:szCs w:val="21"/>
              </w:rPr>
              <w:instrText xml:space="preserve"> = 2 \* GB3 \* MERGEFORMAT </w:instrText>
            </w:r>
            <w:r>
              <w:rPr>
                <w:rFonts w:ascii="Times New Roman" w:hAnsi="Times New Roman"/>
                <w:b/>
                <w:bCs/>
                <w:snapToGrid w:val="0"/>
                <w:color w:val="000000" w:themeColor="text1"/>
                <w:spacing w:val="-6"/>
                <w:kern w:val="21"/>
                <w:szCs w:val="21"/>
              </w:rPr>
              <w:fldChar w:fldCharType="separate"/>
            </w:r>
            <w:r>
              <w:rPr>
                <w:rFonts w:hint="eastAsia" w:cs="宋体"/>
                <w:b/>
                <w:bCs/>
                <w:snapToGrid w:val="0"/>
                <w:color w:val="000000" w:themeColor="text1"/>
                <w:spacing w:val="-6"/>
                <w:kern w:val="21"/>
                <w:szCs w:val="21"/>
              </w:rPr>
              <w:t>②</w:t>
            </w:r>
            <w:r>
              <w:rPr>
                <w:rFonts w:ascii="Times New Roman" w:hAnsi="Times New Roman"/>
                <w:b/>
                <w:bCs/>
                <w:snapToGrid w:val="0"/>
                <w:color w:val="000000" w:themeColor="text1"/>
                <w:spacing w:val="-6"/>
                <w:kern w:val="21"/>
                <w:szCs w:val="21"/>
              </w:rPr>
              <w:fldChar w:fldCharType="end"/>
            </w:r>
          </w:p>
        </w:tc>
        <w:tc>
          <w:tcPr>
            <w:tcW w:w="1701" w:type="dxa"/>
            <w:tcMar>
              <w:left w:w="28" w:type="dxa"/>
              <w:right w:w="28" w:type="dxa"/>
            </w:tcMar>
            <w:vAlign w:val="center"/>
          </w:tcPr>
          <w:p w14:paraId="742274E3">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在建工程</w:t>
            </w:r>
          </w:p>
          <w:p w14:paraId="0C139E8A">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排放量（固体废物产生量）</w:t>
            </w:r>
            <w:r>
              <w:rPr>
                <w:rFonts w:ascii="Times New Roman" w:hAnsi="Times New Roman"/>
                <w:b/>
                <w:bCs/>
                <w:snapToGrid w:val="0"/>
                <w:color w:val="000000" w:themeColor="text1"/>
                <w:spacing w:val="-6"/>
                <w:kern w:val="21"/>
                <w:szCs w:val="21"/>
              </w:rPr>
              <w:fldChar w:fldCharType="begin"/>
            </w:r>
            <w:r>
              <w:rPr>
                <w:rFonts w:ascii="Times New Roman" w:hAnsi="Times New Roman"/>
                <w:b/>
                <w:bCs/>
                <w:snapToGrid w:val="0"/>
                <w:color w:val="000000" w:themeColor="text1"/>
                <w:spacing w:val="-6"/>
                <w:kern w:val="21"/>
                <w:szCs w:val="21"/>
              </w:rPr>
              <w:instrText xml:space="preserve"> = 3 \* GB3 \* MERGEFORMAT </w:instrText>
            </w:r>
            <w:r>
              <w:rPr>
                <w:rFonts w:ascii="Times New Roman" w:hAnsi="Times New Roman"/>
                <w:b/>
                <w:bCs/>
                <w:snapToGrid w:val="0"/>
                <w:color w:val="000000" w:themeColor="text1"/>
                <w:spacing w:val="-6"/>
                <w:kern w:val="21"/>
                <w:szCs w:val="21"/>
              </w:rPr>
              <w:fldChar w:fldCharType="separate"/>
            </w:r>
            <w:r>
              <w:rPr>
                <w:rFonts w:hint="eastAsia" w:cs="宋体"/>
                <w:b/>
                <w:bCs/>
                <w:color w:val="000000" w:themeColor="text1"/>
                <w:kern w:val="2"/>
                <w:szCs w:val="21"/>
              </w:rPr>
              <w:t>③</w:t>
            </w:r>
            <w:r>
              <w:rPr>
                <w:rFonts w:ascii="Times New Roman" w:hAnsi="Times New Roman"/>
                <w:b/>
                <w:bCs/>
                <w:snapToGrid w:val="0"/>
                <w:color w:val="000000" w:themeColor="text1"/>
                <w:spacing w:val="-6"/>
                <w:kern w:val="21"/>
                <w:szCs w:val="21"/>
              </w:rPr>
              <w:fldChar w:fldCharType="end"/>
            </w:r>
          </w:p>
        </w:tc>
        <w:tc>
          <w:tcPr>
            <w:tcW w:w="1559" w:type="dxa"/>
            <w:tcMar>
              <w:left w:w="28" w:type="dxa"/>
              <w:right w:w="28" w:type="dxa"/>
            </w:tcMar>
            <w:vAlign w:val="center"/>
          </w:tcPr>
          <w:p w14:paraId="0F4A83E7">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本项目</w:t>
            </w:r>
          </w:p>
          <w:p w14:paraId="7A6F738E">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排放量（固体废物产生量）</w:t>
            </w:r>
            <w:r>
              <w:rPr>
                <w:rFonts w:ascii="Times New Roman" w:hAnsi="Times New Roman"/>
                <w:b/>
                <w:bCs/>
                <w:snapToGrid w:val="0"/>
                <w:color w:val="000000" w:themeColor="text1"/>
                <w:spacing w:val="-6"/>
                <w:kern w:val="21"/>
                <w:szCs w:val="21"/>
              </w:rPr>
              <w:fldChar w:fldCharType="begin"/>
            </w:r>
            <w:r>
              <w:rPr>
                <w:rFonts w:ascii="Times New Roman" w:hAnsi="Times New Roman"/>
                <w:b/>
                <w:bCs/>
                <w:snapToGrid w:val="0"/>
                <w:color w:val="000000" w:themeColor="text1"/>
                <w:spacing w:val="-6"/>
                <w:kern w:val="21"/>
                <w:szCs w:val="21"/>
              </w:rPr>
              <w:instrText xml:space="preserve"> = 4 \* GB3 \* MERGEFORMAT </w:instrText>
            </w:r>
            <w:r>
              <w:rPr>
                <w:rFonts w:ascii="Times New Roman" w:hAnsi="Times New Roman"/>
                <w:b/>
                <w:bCs/>
                <w:snapToGrid w:val="0"/>
                <w:color w:val="000000" w:themeColor="text1"/>
                <w:spacing w:val="-6"/>
                <w:kern w:val="21"/>
                <w:szCs w:val="21"/>
              </w:rPr>
              <w:fldChar w:fldCharType="separate"/>
            </w:r>
            <w:r>
              <w:rPr>
                <w:rFonts w:hint="eastAsia" w:cs="宋体"/>
                <w:b/>
                <w:bCs/>
                <w:color w:val="000000" w:themeColor="text1"/>
                <w:kern w:val="2"/>
                <w:szCs w:val="21"/>
              </w:rPr>
              <w:t>④</w:t>
            </w:r>
            <w:r>
              <w:rPr>
                <w:rFonts w:ascii="Times New Roman" w:hAnsi="Times New Roman"/>
                <w:b/>
                <w:bCs/>
                <w:snapToGrid w:val="0"/>
                <w:color w:val="000000" w:themeColor="text1"/>
                <w:spacing w:val="-6"/>
                <w:kern w:val="21"/>
                <w:szCs w:val="21"/>
              </w:rPr>
              <w:fldChar w:fldCharType="end"/>
            </w:r>
          </w:p>
        </w:tc>
        <w:tc>
          <w:tcPr>
            <w:tcW w:w="1424" w:type="dxa"/>
            <w:tcMar>
              <w:left w:w="28" w:type="dxa"/>
              <w:right w:w="28" w:type="dxa"/>
            </w:tcMar>
            <w:vAlign w:val="center"/>
          </w:tcPr>
          <w:p w14:paraId="361258B9">
            <w:pPr>
              <w:pStyle w:val="47"/>
              <w:spacing w:beforeLines="0" w:afterLines="0" w:line="240" w:lineRule="auto"/>
              <w:ind w:left="358" w:hanging="358"/>
              <w:rPr>
                <w:rFonts w:ascii="Times New Roman" w:hAnsi="Times New Roman"/>
                <w:b/>
                <w:bCs/>
                <w:snapToGrid w:val="0"/>
                <w:color w:val="000000" w:themeColor="text1"/>
                <w:spacing w:val="-16"/>
                <w:kern w:val="21"/>
                <w:szCs w:val="21"/>
              </w:rPr>
            </w:pPr>
            <w:r>
              <w:rPr>
                <w:rFonts w:ascii="Times New Roman" w:hAnsi="Times New Roman"/>
                <w:b/>
                <w:bCs/>
                <w:snapToGrid w:val="0"/>
                <w:color w:val="000000" w:themeColor="text1"/>
                <w:spacing w:val="-16"/>
                <w:kern w:val="21"/>
                <w:szCs w:val="21"/>
              </w:rPr>
              <w:t>以新带老削减量</w:t>
            </w:r>
          </w:p>
          <w:p w14:paraId="36F65AB2">
            <w:pPr>
              <w:pStyle w:val="47"/>
              <w:spacing w:beforeLines="0" w:afterLines="0" w:line="240" w:lineRule="auto"/>
              <w:ind w:left="358" w:hanging="358"/>
              <w:rPr>
                <w:rFonts w:ascii="Times New Roman" w:hAnsi="Times New Roman"/>
                <w:b/>
                <w:bCs/>
                <w:snapToGrid w:val="0"/>
                <w:color w:val="000000" w:themeColor="text1"/>
                <w:spacing w:val="-16"/>
                <w:kern w:val="21"/>
                <w:szCs w:val="21"/>
              </w:rPr>
            </w:pPr>
            <w:r>
              <w:rPr>
                <w:rFonts w:ascii="Times New Roman" w:hAnsi="Times New Roman"/>
                <w:b/>
                <w:bCs/>
                <w:snapToGrid w:val="0"/>
                <w:color w:val="000000" w:themeColor="text1"/>
                <w:spacing w:val="-16"/>
                <w:kern w:val="21"/>
                <w:szCs w:val="21"/>
              </w:rPr>
              <w:t>（新建项目不填）</w:t>
            </w:r>
            <w:r>
              <w:rPr>
                <w:rFonts w:ascii="Times New Roman" w:hAnsi="Times New Roman"/>
                <w:b/>
                <w:bCs/>
                <w:snapToGrid w:val="0"/>
                <w:color w:val="000000" w:themeColor="text1"/>
                <w:spacing w:val="-16"/>
                <w:kern w:val="21"/>
                <w:szCs w:val="21"/>
              </w:rPr>
              <w:fldChar w:fldCharType="begin"/>
            </w:r>
            <w:r>
              <w:rPr>
                <w:rFonts w:ascii="Times New Roman" w:hAnsi="Times New Roman"/>
                <w:b/>
                <w:bCs/>
                <w:snapToGrid w:val="0"/>
                <w:color w:val="000000" w:themeColor="text1"/>
                <w:spacing w:val="-16"/>
                <w:kern w:val="21"/>
                <w:szCs w:val="21"/>
              </w:rPr>
              <w:instrText xml:space="preserve"> = 5 \* GB3 \* MERGEFORMAT </w:instrText>
            </w:r>
            <w:r>
              <w:rPr>
                <w:rFonts w:ascii="Times New Roman" w:hAnsi="Times New Roman"/>
                <w:b/>
                <w:bCs/>
                <w:snapToGrid w:val="0"/>
                <w:color w:val="000000" w:themeColor="text1"/>
                <w:spacing w:val="-16"/>
                <w:kern w:val="21"/>
                <w:szCs w:val="21"/>
              </w:rPr>
              <w:fldChar w:fldCharType="separate"/>
            </w:r>
            <w:r>
              <w:rPr>
                <w:rFonts w:hint="eastAsia" w:cs="宋体"/>
                <w:b/>
                <w:bCs/>
                <w:color w:val="000000" w:themeColor="text1"/>
                <w:kern w:val="2"/>
                <w:szCs w:val="21"/>
              </w:rPr>
              <w:t>⑤</w:t>
            </w:r>
            <w:r>
              <w:rPr>
                <w:rFonts w:ascii="Times New Roman" w:hAnsi="Times New Roman"/>
                <w:b/>
                <w:bCs/>
                <w:snapToGrid w:val="0"/>
                <w:color w:val="000000" w:themeColor="text1"/>
                <w:spacing w:val="-16"/>
                <w:kern w:val="21"/>
                <w:szCs w:val="21"/>
              </w:rPr>
              <w:fldChar w:fldCharType="end"/>
            </w:r>
          </w:p>
        </w:tc>
        <w:tc>
          <w:tcPr>
            <w:tcW w:w="1843" w:type="dxa"/>
            <w:tcMar>
              <w:left w:w="28" w:type="dxa"/>
              <w:right w:w="28" w:type="dxa"/>
            </w:tcMar>
            <w:vAlign w:val="center"/>
          </w:tcPr>
          <w:p w14:paraId="221D92C7">
            <w:pPr>
              <w:pStyle w:val="47"/>
              <w:spacing w:beforeLines="0" w:afterLines="0" w:line="240" w:lineRule="auto"/>
              <w:ind w:left="358" w:hanging="358"/>
              <w:rPr>
                <w:rFonts w:ascii="Times New Roman" w:hAnsi="Times New Roman"/>
                <w:b/>
                <w:bCs/>
                <w:snapToGrid w:val="0"/>
                <w:color w:val="000000" w:themeColor="text1"/>
                <w:spacing w:val="-16"/>
                <w:kern w:val="21"/>
                <w:szCs w:val="21"/>
              </w:rPr>
            </w:pPr>
            <w:r>
              <w:rPr>
                <w:rFonts w:ascii="Times New Roman" w:hAnsi="Times New Roman"/>
                <w:b/>
                <w:bCs/>
                <w:snapToGrid w:val="0"/>
                <w:color w:val="000000" w:themeColor="text1"/>
                <w:spacing w:val="-16"/>
                <w:kern w:val="21"/>
                <w:szCs w:val="21"/>
              </w:rPr>
              <w:t>本项目建成后</w:t>
            </w:r>
          </w:p>
          <w:p w14:paraId="2ECDA042">
            <w:pPr>
              <w:pStyle w:val="47"/>
              <w:spacing w:beforeLines="0" w:afterLines="0" w:line="240" w:lineRule="auto"/>
              <w:ind w:left="358" w:hanging="358"/>
              <w:rPr>
                <w:rFonts w:ascii="Times New Roman" w:hAnsi="Times New Roman"/>
                <w:b/>
                <w:bCs/>
                <w:snapToGrid w:val="0"/>
                <w:color w:val="000000" w:themeColor="text1"/>
                <w:spacing w:val="-16"/>
                <w:kern w:val="21"/>
                <w:szCs w:val="21"/>
              </w:rPr>
            </w:pPr>
            <w:r>
              <w:rPr>
                <w:rFonts w:ascii="Times New Roman" w:hAnsi="Times New Roman"/>
                <w:b/>
                <w:bCs/>
                <w:snapToGrid w:val="0"/>
                <w:color w:val="000000" w:themeColor="text1"/>
                <w:spacing w:val="-16"/>
                <w:kern w:val="21"/>
                <w:szCs w:val="21"/>
              </w:rPr>
              <w:t>全厂排放量（固体废物产生量）</w:t>
            </w:r>
            <w:r>
              <w:rPr>
                <w:rFonts w:ascii="Times New Roman" w:hAnsi="Times New Roman"/>
                <w:b/>
                <w:bCs/>
                <w:snapToGrid w:val="0"/>
                <w:color w:val="000000" w:themeColor="text1"/>
                <w:spacing w:val="-16"/>
                <w:kern w:val="21"/>
                <w:szCs w:val="21"/>
              </w:rPr>
              <w:fldChar w:fldCharType="begin"/>
            </w:r>
            <w:r>
              <w:rPr>
                <w:rFonts w:ascii="Times New Roman" w:hAnsi="Times New Roman"/>
                <w:b/>
                <w:bCs/>
                <w:snapToGrid w:val="0"/>
                <w:color w:val="000000" w:themeColor="text1"/>
                <w:spacing w:val="-16"/>
                <w:kern w:val="21"/>
                <w:szCs w:val="21"/>
              </w:rPr>
              <w:instrText xml:space="preserve"> = 6 \* GB3 \* MERGEFORMAT </w:instrText>
            </w:r>
            <w:r>
              <w:rPr>
                <w:rFonts w:ascii="Times New Roman" w:hAnsi="Times New Roman"/>
                <w:b/>
                <w:bCs/>
                <w:snapToGrid w:val="0"/>
                <w:color w:val="000000" w:themeColor="text1"/>
                <w:spacing w:val="-16"/>
                <w:kern w:val="21"/>
                <w:szCs w:val="21"/>
              </w:rPr>
              <w:fldChar w:fldCharType="separate"/>
            </w:r>
            <w:r>
              <w:rPr>
                <w:rFonts w:hint="eastAsia" w:cs="宋体"/>
                <w:b/>
                <w:bCs/>
                <w:color w:val="000000" w:themeColor="text1"/>
                <w:kern w:val="2"/>
                <w:szCs w:val="21"/>
              </w:rPr>
              <w:t>⑥</w:t>
            </w:r>
            <w:r>
              <w:rPr>
                <w:rFonts w:ascii="Times New Roman" w:hAnsi="Times New Roman"/>
                <w:b/>
                <w:bCs/>
                <w:snapToGrid w:val="0"/>
                <w:color w:val="000000" w:themeColor="text1"/>
                <w:spacing w:val="-16"/>
                <w:kern w:val="21"/>
                <w:szCs w:val="21"/>
              </w:rPr>
              <w:fldChar w:fldCharType="end"/>
            </w:r>
          </w:p>
        </w:tc>
        <w:tc>
          <w:tcPr>
            <w:tcW w:w="1279" w:type="dxa"/>
            <w:tcMar>
              <w:left w:w="28" w:type="dxa"/>
              <w:right w:w="28" w:type="dxa"/>
            </w:tcMar>
            <w:vAlign w:val="center"/>
          </w:tcPr>
          <w:p w14:paraId="171D75C0">
            <w:pPr>
              <w:pStyle w:val="47"/>
              <w:spacing w:beforeLines="0" w:afterLines="0" w:line="240" w:lineRule="auto"/>
              <w:ind w:left="398" w:hanging="398"/>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t>变化量</w:t>
            </w:r>
          </w:p>
          <w:p w14:paraId="4A95229F">
            <w:pPr>
              <w:pStyle w:val="47"/>
              <w:spacing w:beforeLines="0" w:afterLines="0" w:line="240" w:lineRule="auto"/>
              <w:ind w:left="422" w:hanging="422"/>
              <w:rPr>
                <w:rFonts w:ascii="Times New Roman" w:hAnsi="Times New Roman"/>
                <w:b/>
                <w:bCs/>
                <w:snapToGrid w:val="0"/>
                <w:color w:val="000000" w:themeColor="text1"/>
                <w:spacing w:val="-6"/>
                <w:kern w:val="21"/>
                <w:szCs w:val="21"/>
              </w:rPr>
            </w:pPr>
            <w:r>
              <w:rPr>
                <w:rFonts w:ascii="Times New Roman" w:hAnsi="Times New Roman"/>
                <w:b/>
                <w:bCs/>
                <w:snapToGrid w:val="0"/>
                <w:color w:val="000000" w:themeColor="text1"/>
                <w:spacing w:val="-6"/>
                <w:kern w:val="21"/>
                <w:szCs w:val="21"/>
              </w:rPr>
              <w:fldChar w:fldCharType="begin"/>
            </w:r>
            <w:r>
              <w:rPr>
                <w:rFonts w:ascii="Times New Roman" w:hAnsi="Times New Roman"/>
                <w:b/>
                <w:bCs/>
                <w:snapToGrid w:val="0"/>
                <w:color w:val="000000" w:themeColor="text1"/>
                <w:spacing w:val="-6"/>
                <w:kern w:val="21"/>
                <w:szCs w:val="21"/>
              </w:rPr>
              <w:instrText xml:space="preserve"> = 7 \* GB3 \* MERGEFORMAT </w:instrText>
            </w:r>
            <w:r>
              <w:rPr>
                <w:rFonts w:ascii="Times New Roman" w:hAnsi="Times New Roman"/>
                <w:b/>
                <w:bCs/>
                <w:snapToGrid w:val="0"/>
                <w:color w:val="000000" w:themeColor="text1"/>
                <w:spacing w:val="-6"/>
                <w:kern w:val="21"/>
                <w:szCs w:val="21"/>
              </w:rPr>
              <w:fldChar w:fldCharType="separate"/>
            </w:r>
            <w:r>
              <w:rPr>
                <w:rFonts w:hint="eastAsia" w:cs="宋体"/>
                <w:b/>
                <w:bCs/>
                <w:color w:val="000000" w:themeColor="text1"/>
                <w:kern w:val="2"/>
                <w:szCs w:val="21"/>
              </w:rPr>
              <w:t>⑦</w:t>
            </w:r>
            <w:r>
              <w:rPr>
                <w:rFonts w:ascii="Times New Roman" w:hAnsi="Times New Roman"/>
                <w:b/>
                <w:bCs/>
                <w:snapToGrid w:val="0"/>
                <w:color w:val="000000" w:themeColor="text1"/>
                <w:spacing w:val="-6"/>
                <w:kern w:val="21"/>
                <w:szCs w:val="21"/>
              </w:rPr>
              <w:fldChar w:fldCharType="end"/>
            </w:r>
          </w:p>
        </w:tc>
      </w:tr>
      <w:tr w14:paraId="147BE9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restart"/>
            <w:vAlign w:val="center"/>
          </w:tcPr>
          <w:p w14:paraId="6BF55BDA">
            <w:pPr>
              <w:pStyle w:val="47"/>
              <w:spacing w:before="31" w:after="31" w:line="240" w:lineRule="auto"/>
              <w:ind w:left="420" w:hanging="420"/>
              <w:rPr>
                <w:rFonts w:hint="default" w:ascii="Times New Roman" w:hAnsi="Times New Roman" w:eastAsia="宋体"/>
                <w:snapToGrid w:val="0"/>
                <w:color w:val="000000" w:themeColor="text1"/>
                <w:kern w:val="21"/>
                <w:szCs w:val="21"/>
                <w:lang w:val="en-US" w:eastAsia="zh-CN"/>
              </w:rPr>
            </w:pPr>
            <w:r>
              <w:rPr>
                <w:rFonts w:hint="eastAsia" w:ascii="Times New Roman" w:hAnsi="Times New Roman"/>
                <w:snapToGrid w:val="0"/>
                <w:color w:val="000000" w:themeColor="text1"/>
                <w:kern w:val="21"/>
                <w:szCs w:val="21"/>
                <w:lang w:val="en-US" w:eastAsia="zh-CN"/>
              </w:rPr>
              <w:t>废气</w:t>
            </w:r>
          </w:p>
        </w:tc>
        <w:tc>
          <w:tcPr>
            <w:tcW w:w="2279" w:type="dxa"/>
            <w:shd w:val="clear" w:color="auto" w:fill="auto"/>
            <w:vAlign w:val="center"/>
          </w:tcPr>
          <w:p w14:paraId="0C0D1AE0">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color w:val="000000" w:themeColor="text1"/>
                <w:kern w:val="0"/>
                <w:szCs w:val="21"/>
                <w:lang w:val="en-US" w:eastAsia="zh-CN"/>
              </w:rPr>
            </w:pPr>
            <w:r>
              <w:rPr>
                <w:rFonts w:hint="eastAsia"/>
                <w:color w:val="000000" w:themeColor="text1"/>
                <w:kern w:val="0"/>
                <w:szCs w:val="21"/>
                <w:lang w:val="en-US" w:eastAsia="zh-CN"/>
              </w:rPr>
              <w:t>NH</w:t>
            </w:r>
            <w:r>
              <w:rPr>
                <w:rFonts w:hint="eastAsia"/>
                <w:color w:val="000000" w:themeColor="text1"/>
                <w:kern w:val="0"/>
                <w:szCs w:val="21"/>
                <w:vertAlign w:val="subscript"/>
                <w:lang w:val="en-US" w:eastAsia="zh-CN"/>
              </w:rPr>
              <w:t>3</w:t>
            </w:r>
          </w:p>
        </w:tc>
        <w:tc>
          <w:tcPr>
            <w:tcW w:w="1563" w:type="dxa"/>
            <w:shd w:val="clear" w:color="auto" w:fill="auto"/>
            <w:vAlign w:val="center"/>
          </w:tcPr>
          <w:p w14:paraId="4AB647B5">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190" w:type="dxa"/>
            <w:vAlign w:val="center"/>
          </w:tcPr>
          <w:p w14:paraId="67EEB054">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146A8244">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39042619">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bCs/>
                <w:color w:val="000000" w:themeColor="text1"/>
                <w:spacing w:val="-10"/>
                <w:szCs w:val="21"/>
                <w:lang w:val="en-US" w:eastAsia="zh-CN"/>
              </w:rPr>
            </w:pPr>
            <w:r>
              <w:rPr>
                <w:rFonts w:hint="eastAsia"/>
                <w:bCs/>
                <w:color w:val="000000" w:themeColor="text1"/>
                <w:spacing w:val="-10"/>
                <w:szCs w:val="21"/>
                <w:lang w:val="en-US" w:eastAsia="zh-CN"/>
              </w:rPr>
              <w:t>0.00419</w:t>
            </w:r>
          </w:p>
        </w:tc>
        <w:tc>
          <w:tcPr>
            <w:tcW w:w="1424" w:type="dxa"/>
            <w:vAlign w:val="center"/>
          </w:tcPr>
          <w:p w14:paraId="67317ABD">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5BC627A2">
            <w:pPr>
              <w:keepNext w:val="0"/>
              <w:keepLines w:val="0"/>
              <w:pageBreakBefore w:val="0"/>
              <w:kinsoku/>
              <w:wordWrap/>
              <w:overflowPunct/>
              <w:topLinePunct w:val="0"/>
              <w:autoSpaceDE/>
              <w:autoSpaceDN/>
              <w:bidi w:val="0"/>
              <w:adjustRightInd w:val="0"/>
              <w:snapToGrid w:val="0"/>
              <w:spacing w:before="40" w:after="40"/>
              <w:ind w:left="0" w:leftChars="0"/>
              <w:jc w:val="center"/>
              <w:textAlignment w:val="auto"/>
              <w:rPr>
                <w:rFonts w:hint="default"/>
                <w:bCs/>
                <w:color w:val="000000" w:themeColor="text1"/>
                <w:spacing w:val="-10"/>
                <w:szCs w:val="21"/>
                <w:lang w:val="en-US"/>
              </w:rPr>
            </w:pPr>
            <w:r>
              <w:rPr>
                <w:rFonts w:hint="eastAsia"/>
                <w:bCs/>
                <w:color w:val="000000" w:themeColor="text1"/>
                <w:spacing w:val="-10"/>
                <w:szCs w:val="21"/>
                <w:lang w:val="en-US" w:eastAsia="zh-CN"/>
              </w:rPr>
              <w:t>0.00419</w:t>
            </w:r>
          </w:p>
        </w:tc>
        <w:tc>
          <w:tcPr>
            <w:tcW w:w="1279" w:type="dxa"/>
            <w:shd w:val="clear" w:color="auto" w:fill="auto"/>
            <w:vAlign w:val="center"/>
          </w:tcPr>
          <w:p w14:paraId="2CDFCD11">
            <w:pPr>
              <w:keepNext w:val="0"/>
              <w:keepLines w:val="0"/>
              <w:pageBreakBefore w:val="0"/>
              <w:kinsoku/>
              <w:wordWrap/>
              <w:overflowPunct/>
              <w:topLinePunct w:val="0"/>
              <w:autoSpaceDE/>
              <w:autoSpaceDN/>
              <w:bidi w:val="0"/>
              <w:adjustRightInd w:val="0"/>
              <w:snapToGrid w:val="0"/>
              <w:spacing w:before="40" w:after="40"/>
              <w:ind w:left="0" w:leftChars="0"/>
              <w:jc w:val="center"/>
              <w:textAlignment w:val="auto"/>
              <w:rPr>
                <w:rFonts w:hint="default"/>
                <w:bCs/>
                <w:color w:val="000000" w:themeColor="text1"/>
                <w:spacing w:val="-10"/>
                <w:szCs w:val="21"/>
                <w:lang w:val="en-US"/>
              </w:rPr>
            </w:pPr>
            <w:r>
              <w:rPr>
                <w:rFonts w:hint="eastAsia"/>
                <w:bCs/>
                <w:color w:val="000000" w:themeColor="text1"/>
                <w:spacing w:val="-10"/>
                <w:szCs w:val="21"/>
                <w:lang w:val="en-US" w:eastAsia="zh-CN"/>
              </w:rPr>
              <w:t>+0.00419</w:t>
            </w:r>
          </w:p>
        </w:tc>
      </w:tr>
      <w:tr w14:paraId="4709B1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950" w:type="dxa"/>
            <w:vMerge w:val="continue"/>
            <w:vAlign w:val="center"/>
          </w:tcPr>
          <w:p w14:paraId="3FEE9AE5">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1A09662B">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color w:val="000000" w:themeColor="text1"/>
                <w:kern w:val="0"/>
                <w:szCs w:val="21"/>
                <w:lang w:val="en-US" w:eastAsia="zh-CN"/>
              </w:rPr>
            </w:pPr>
            <w:r>
              <w:rPr>
                <w:rFonts w:hint="eastAsia"/>
                <w:color w:val="000000" w:themeColor="text1"/>
                <w:kern w:val="0"/>
                <w:szCs w:val="21"/>
                <w:lang w:val="en-US" w:eastAsia="zh-CN"/>
              </w:rPr>
              <w:t>H</w:t>
            </w:r>
            <w:r>
              <w:rPr>
                <w:rFonts w:hint="eastAsia"/>
                <w:color w:val="000000" w:themeColor="text1"/>
                <w:kern w:val="0"/>
                <w:szCs w:val="21"/>
                <w:vertAlign w:val="subscript"/>
                <w:lang w:val="en-US" w:eastAsia="zh-CN"/>
              </w:rPr>
              <w:t>2</w:t>
            </w:r>
            <w:r>
              <w:rPr>
                <w:rFonts w:hint="eastAsia"/>
                <w:color w:val="000000" w:themeColor="text1"/>
                <w:kern w:val="0"/>
                <w:szCs w:val="21"/>
                <w:lang w:val="en-US" w:eastAsia="zh-CN"/>
              </w:rPr>
              <w:t>S</w:t>
            </w:r>
          </w:p>
        </w:tc>
        <w:tc>
          <w:tcPr>
            <w:tcW w:w="1563" w:type="dxa"/>
            <w:shd w:val="clear" w:color="auto" w:fill="auto"/>
            <w:vAlign w:val="center"/>
          </w:tcPr>
          <w:p w14:paraId="2B7A2AA1">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190" w:type="dxa"/>
            <w:vAlign w:val="center"/>
          </w:tcPr>
          <w:p w14:paraId="2FA03AB9">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7AFDB29A">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3543AEC4">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bCs/>
                <w:color w:val="000000" w:themeColor="text1"/>
                <w:spacing w:val="-10"/>
                <w:szCs w:val="21"/>
                <w:lang w:val="en-US" w:eastAsia="zh-CN"/>
              </w:rPr>
            </w:pPr>
            <w:r>
              <w:rPr>
                <w:rFonts w:hint="eastAsia"/>
                <w:bCs/>
                <w:color w:val="000000" w:themeColor="text1"/>
                <w:spacing w:val="-10"/>
                <w:szCs w:val="21"/>
                <w:lang w:val="en-US" w:eastAsia="zh-CN"/>
              </w:rPr>
              <w:t>0.00016</w:t>
            </w:r>
          </w:p>
        </w:tc>
        <w:tc>
          <w:tcPr>
            <w:tcW w:w="1424" w:type="dxa"/>
            <w:vAlign w:val="center"/>
          </w:tcPr>
          <w:p w14:paraId="6B60E428">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68694678">
            <w:pPr>
              <w:keepNext w:val="0"/>
              <w:keepLines w:val="0"/>
              <w:pageBreakBefore w:val="0"/>
              <w:kinsoku/>
              <w:wordWrap/>
              <w:overflowPunct/>
              <w:topLinePunct w:val="0"/>
              <w:autoSpaceDE/>
              <w:autoSpaceDN/>
              <w:bidi w:val="0"/>
              <w:adjustRightInd w:val="0"/>
              <w:snapToGrid w:val="0"/>
              <w:spacing w:before="40" w:after="40"/>
              <w:ind w:left="0" w:leftChars="0"/>
              <w:jc w:val="center"/>
              <w:textAlignment w:val="auto"/>
              <w:rPr>
                <w:rFonts w:hint="default"/>
                <w:bCs/>
                <w:color w:val="000000" w:themeColor="text1"/>
                <w:spacing w:val="-10"/>
                <w:szCs w:val="21"/>
                <w:lang w:val="en-US"/>
              </w:rPr>
            </w:pPr>
            <w:r>
              <w:rPr>
                <w:rFonts w:hint="eastAsia"/>
                <w:bCs/>
                <w:color w:val="000000" w:themeColor="text1"/>
                <w:spacing w:val="-10"/>
                <w:szCs w:val="21"/>
                <w:lang w:val="en-US" w:eastAsia="zh-CN"/>
              </w:rPr>
              <w:t>0.00016</w:t>
            </w:r>
          </w:p>
        </w:tc>
        <w:tc>
          <w:tcPr>
            <w:tcW w:w="1279" w:type="dxa"/>
            <w:shd w:val="clear" w:color="auto" w:fill="auto"/>
            <w:vAlign w:val="center"/>
          </w:tcPr>
          <w:p w14:paraId="55B78158">
            <w:pPr>
              <w:keepNext w:val="0"/>
              <w:keepLines w:val="0"/>
              <w:pageBreakBefore w:val="0"/>
              <w:kinsoku/>
              <w:wordWrap/>
              <w:overflowPunct/>
              <w:topLinePunct w:val="0"/>
              <w:autoSpaceDE/>
              <w:autoSpaceDN/>
              <w:bidi w:val="0"/>
              <w:adjustRightInd w:val="0"/>
              <w:snapToGrid w:val="0"/>
              <w:spacing w:before="40" w:after="40"/>
              <w:ind w:left="0" w:leftChars="0"/>
              <w:jc w:val="center"/>
              <w:textAlignment w:val="auto"/>
              <w:rPr>
                <w:rFonts w:hint="default"/>
                <w:bCs/>
                <w:color w:val="000000" w:themeColor="text1"/>
                <w:spacing w:val="-10"/>
                <w:szCs w:val="21"/>
                <w:lang w:val="en-US"/>
              </w:rPr>
            </w:pPr>
            <w:r>
              <w:rPr>
                <w:rFonts w:hint="eastAsia"/>
                <w:bCs/>
                <w:color w:val="000000" w:themeColor="text1"/>
                <w:spacing w:val="-10"/>
                <w:szCs w:val="21"/>
                <w:lang w:val="en-US" w:eastAsia="zh-CN"/>
              </w:rPr>
              <w:t>+0.00016</w:t>
            </w:r>
          </w:p>
        </w:tc>
      </w:tr>
      <w:tr w14:paraId="5439A3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09DB96B4">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4DBD6CCC">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color w:val="000000" w:themeColor="text1"/>
                <w:kern w:val="0"/>
                <w:szCs w:val="21"/>
                <w:lang w:val="en-US" w:eastAsia="zh-CN"/>
              </w:rPr>
            </w:pPr>
            <w:r>
              <w:rPr>
                <w:rFonts w:hint="eastAsia"/>
                <w:color w:val="000000" w:themeColor="text1"/>
                <w:kern w:val="0"/>
                <w:szCs w:val="21"/>
                <w:lang w:val="en-US" w:eastAsia="zh-CN"/>
              </w:rPr>
              <w:t>颗粒物</w:t>
            </w:r>
          </w:p>
        </w:tc>
        <w:tc>
          <w:tcPr>
            <w:tcW w:w="1563" w:type="dxa"/>
            <w:shd w:val="clear" w:color="auto" w:fill="auto"/>
            <w:vAlign w:val="center"/>
          </w:tcPr>
          <w:p w14:paraId="7F870817">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190" w:type="dxa"/>
            <w:vAlign w:val="center"/>
          </w:tcPr>
          <w:p w14:paraId="2243E322">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12729F98">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59637049">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0.00608</w:t>
            </w:r>
          </w:p>
        </w:tc>
        <w:tc>
          <w:tcPr>
            <w:tcW w:w="1424" w:type="dxa"/>
            <w:vAlign w:val="center"/>
          </w:tcPr>
          <w:p w14:paraId="0BB7942F">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6DB57F85">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0.00608</w:t>
            </w:r>
          </w:p>
        </w:tc>
        <w:tc>
          <w:tcPr>
            <w:tcW w:w="1279" w:type="dxa"/>
            <w:shd w:val="clear" w:color="auto" w:fill="auto"/>
            <w:vAlign w:val="center"/>
          </w:tcPr>
          <w:p w14:paraId="240C509C">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+0.00608</w:t>
            </w:r>
          </w:p>
        </w:tc>
      </w:tr>
      <w:tr w14:paraId="503589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020BF026">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34EEB4F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color w:val="000000" w:themeColor="text1"/>
                <w:kern w:val="0"/>
                <w:szCs w:val="21"/>
                <w:lang w:val="en-US" w:eastAsia="zh-CN"/>
              </w:rPr>
            </w:pPr>
            <w:r>
              <w:rPr>
                <w:rFonts w:hint="eastAsia"/>
                <w:color w:val="000000" w:themeColor="text1"/>
                <w:kern w:val="0"/>
                <w:szCs w:val="21"/>
                <w:lang w:val="en-US" w:eastAsia="zh-CN"/>
              </w:rPr>
              <w:t>SO</w:t>
            </w:r>
            <w:r>
              <w:rPr>
                <w:rFonts w:hint="eastAsia"/>
                <w:color w:val="000000" w:themeColor="text1"/>
                <w:kern w:val="0"/>
                <w:szCs w:val="21"/>
                <w:vertAlign w:val="subscript"/>
                <w:lang w:val="en-US" w:eastAsia="zh-CN"/>
              </w:rPr>
              <w:t>2</w:t>
            </w:r>
          </w:p>
        </w:tc>
        <w:tc>
          <w:tcPr>
            <w:tcW w:w="1563" w:type="dxa"/>
            <w:shd w:val="clear" w:color="auto" w:fill="auto"/>
            <w:vAlign w:val="center"/>
          </w:tcPr>
          <w:p w14:paraId="674AE9CD">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190" w:type="dxa"/>
            <w:vAlign w:val="center"/>
          </w:tcPr>
          <w:p w14:paraId="733104BC">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64524B17">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442165A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0.01170</w:t>
            </w:r>
          </w:p>
        </w:tc>
        <w:tc>
          <w:tcPr>
            <w:tcW w:w="1424" w:type="dxa"/>
            <w:vAlign w:val="center"/>
          </w:tcPr>
          <w:p w14:paraId="6ACC42F2">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095A2261">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0.01170</w:t>
            </w:r>
          </w:p>
        </w:tc>
        <w:tc>
          <w:tcPr>
            <w:tcW w:w="1279" w:type="dxa"/>
            <w:shd w:val="clear" w:color="auto" w:fill="auto"/>
            <w:vAlign w:val="center"/>
          </w:tcPr>
          <w:p w14:paraId="43FABFC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+0.01170</w:t>
            </w:r>
          </w:p>
        </w:tc>
      </w:tr>
      <w:tr w14:paraId="544F8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539AC66B">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36B8210B">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color w:val="000000" w:themeColor="text1"/>
                <w:kern w:val="0"/>
                <w:szCs w:val="21"/>
                <w:lang w:val="en-US" w:eastAsia="zh-CN"/>
              </w:rPr>
            </w:pPr>
            <w:r>
              <w:rPr>
                <w:rFonts w:hint="eastAsia"/>
                <w:color w:val="000000" w:themeColor="text1"/>
                <w:kern w:val="0"/>
                <w:szCs w:val="21"/>
                <w:lang w:val="en-US" w:eastAsia="zh-CN"/>
              </w:rPr>
              <w:t>NOx</w:t>
            </w:r>
          </w:p>
        </w:tc>
        <w:tc>
          <w:tcPr>
            <w:tcW w:w="1563" w:type="dxa"/>
            <w:shd w:val="clear" w:color="auto" w:fill="auto"/>
            <w:vAlign w:val="center"/>
          </w:tcPr>
          <w:p w14:paraId="32866BAC">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190" w:type="dxa"/>
            <w:vAlign w:val="center"/>
          </w:tcPr>
          <w:p w14:paraId="73804B85">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16153910">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29F249D1">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0.09280</w:t>
            </w:r>
          </w:p>
        </w:tc>
        <w:tc>
          <w:tcPr>
            <w:tcW w:w="1424" w:type="dxa"/>
            <w:vAlign w:val="center"/>
          </w:tcPr>
          <w:p w14:paraId="240F3B95">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3E59E2F6">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0.09280</w:t>
            </w:r>
          </w:p>
        </w:tc>
        <w:tc>
          <w:tcPr>
            <w:tcW w:w="1279" w:type="dxa"/>
            <w:shd w:val="clear" w:color="auto" w:fill="auto"/>
            <w:vAlign w:val="center"/>
          </w:tcPr>
          <w:p w14:paraId="050B746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+0.09280</w:t>
            </w:r>
          </w:p>
        </w:tc>
      </w:tr>
      <w:tr w14:paraId="6E5A8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37EE7662">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3D858F5C">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color w:val="000000" w:themeColor="text1"/>
                <w:kern w:val="0"/>
                <w:szCs w:val="21"/>
                <w:lang w:val="en-US" w:eastAsia="zh-CN"/>
              </w:rPr>
            </w:pPr>
            <w:r>
              <w:rPr>
                <w:rFonts w:hint="eastAsia"/>
                <w:color w:val="000000" w:themeColor="text1"/>
                <w:kern w:val="0"/>
                <w:szCs w:val="21"/>
                <w:lang w:val="en-US" w:eastAsia="zh-CN"/>
              </w:rPr>
              <w:t>油烟</w:t>
            </w:r>
          </w:p>
        </w:tc>
        <w:tc>
          <w:tcPr>
            <w:tcW w:w="1563" w:type="dxa"/>
            <w:shd w:val="clear" w:color="auto" w:fill="auto"/>
            <w:vAlign w:val="center"/>
          </w:tcPr>
          <w:p w14:paraId="0731D8A1">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190" w:type="dxa"/>
            <w:vAlign w:val="center"/>
          </w:tcPr>
          <w:p w14:paraId="38D03518">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3DDEC1F5">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241E4C3B">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0.0274</w:t>
            </w:r>
          </w:p>
        </w:tc>
        <w:tc>
          <w:tcPr>
            <w:tcW w:w="1424" w:type="dxa"/>
            <w:vAlign w:val="center"/>
          </w:tcPr>
          <w:p w14:paraId="0B35F44E">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7109DA2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0.0274</w:t>
            </w:r>
          </w:p>
        </w:tc>
        <w:tc>
          <w:tcPr>
            <w:tcW w:w="1279" w:type="dxa"/>
            <w:shd w:val="clear" w:color="auto" w:fill="auto"/>
            <w:vAlign w:val="center"/>
          </w:tcPr>
          <w:p w14:paraId="45BD62D7">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+0.0274</w:t>
            </w:r>
          </w:p>
        </w:tc>
      </w:tr>
      <w:tr w14:paraId="439FDE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 w:hRule="atLeast"/>
          <w:jc w:val="center"/>
        </w:trPr>
        <w:tc>
          <w:tcPr>
            <w:tcW w:w="950" w:type="dxa"/>
            <w:vMerge w:val="restart"/>
            <w:vAlign w:val="center"/>
          </w:tcPr>
          <w:p w14:paraId="14A45280">
            <w:pPr>
              <w:pStyle w:val="47"/>
              <w:spacing w:beforeLines="0" w:afterLines="0" w:line="240" w:lineRule="auto"/>
              <w:ind w:left="420" w:hanging="420"/>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废水</w:t>
            </w:r>
          </w:p>
        </w:tc>
        <w:tc>
          <w:tcPr>
            <w:tcW w:w="2279" w:type="dxa"/>
            <w:vAlign w:val="center"/>
          </w:tcPr>
          <w:p w14:paraId="0332AEF6">
            <w:pPr>
              <w:pStyle w:val="23"/>
              <w:keepNext w:val="0"/>
              <w:keepLines w:val="0"/>
              <w:pageBreakBefore w:val="0"/>
              <w:kinsoku/>
              <w:wordWrap/>
              <w:overflowPunct/>
              <w:topLinePunct w:val="0"/>
              <w:autoSpaceDE/>
              <w:autoSpaceDN/>
              <w:bidi w:val="0"/>
              <w:spacing w:before="40" w:after="40"/>
              <w:ind w:left="0" w:firstLine="0" w:firstLineChars="0"/>
              <w:jc w:val="center"/>
              <w:textAlignment w:val="auto"/>
              <w:rPr>
                <w:color w:val="000000" w:themeColor="text1"/>
                <w:sz w:val="21"/>
                <w:szCs w:val="21"/>
              </w:rPr>
            </w:pPr>
            <w:r>
              <w:rPr>
                <w:rFonts w:hint="eastAsia"/>
                <w:color w:val="000000" w:themeColor="text1"/>
                <w:sz w:val="21"/>
                <w:szCs w:val="21"/>
              </w:rPr>
              <w:t>化学需氧量</w:t>
            </w:r>
          </w:p>
        </w:tc>
        <w:tc>
          <w:tcPr>
            <w:tcW w:w="1563" w:type="dxa"/>
            <w:shd w:val="clear" w:color="auto" w:fill="auto"/>
            <w:vAlign w:val="center"/>
          </w:tcPr>
          <w:p w14:paraId="46B536A6">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color w:val="000000" w:themeColor="text1"/>
              </w:rPr>
            </w:pPr>
            <w:r>
              <w:rPr>
                <w:rFonts w:ascii="Times New Roman" w:hAnsi="Times New Roman"/>
                <w:snapToGrid w:val="0"/>
                <w:color w:val="000000" w:themeColor="text1"/>
                <w:kern w:val="21"/>
                <w:szCs w:val="21"/>
              </w:rPr>
              <w:t>/</w:t>
            </w:r>
          </w:p>
        </w:tc>
        <w:tc>
          <w:tcPr>
            <w:tcW w:w="1190" w:type="dxa"/>
            <w:vAlign w:val="center"/>
          </w:tcPr>
          <w:p w14:paraId="192D16D8">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30B1031D">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38BA9AA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bCs/>
                <w:color w:val="000000" w:themeColor="text1"/>
                <w:spacing w:val="-10"/>
                <w:szCs w:val="21"/>
                <w:lang w:val="en-US" w:eastAsia="zh-CN"/>
              </w:rPr>
            </w:pPr>
            <w:r>
              <w:rPr>
                <w:rFonts w:hint="eastAsia"/>
                <w:bCs/>
                <w:color w:val="000000" w:themeColor="text1"/>
                <w:spacing w:val="-10"/>
                <w:szCs w:val="21"/>
                <w:highlight w:val="none"/>
                <w:lang w:val="en-US" w:eastAsia="zh-CN"/>
              </w:rPr>
              <w:t>2.949</w:t>
            </w:r>
          </w:p>
        </w:tc>
        <w:tc>
          <w:tcPr>
            <w:tcW w:w="1424" w:type="dxa"/>
            <w:vAlign w:val="center"/>
          </w:tcPr>
          <w:p w14:paraId="6753146D">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234C1224">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spacing w:val="-10"/>
                <w:szCs w:val="21"/>
              </w:rPr>
            </w:pPr>
            <w:r>
              <w:rPr>
                <w:rFonts w:hint="eastAsia"/>
                <w:bCs/>
                <w:color w:val="000000" w:themeColor="text1"/>
                <w:spacing w:val="-10"/>
                <w:szCs w:val="21"/>
                <w:highlight w:val="none"/>
                <w:lang w:val="en-US" w:eastAsia="zh-CN"/>
              </w:rPr>
              <w:t>2.949</w:t>
            </w:r>
          </w:p>
        </w:tc>
        <w:tc>
          <w:tcPr>
            <w:tcW w:w="1279" w:type="dxa"/>
            <w:shd w:val="clear" w:color="auto" w:fill="auto"/>
            <w:vAlign w:val="center"/>
          </w:tcPr>
          <w:p w14:paraId="4D728CC3">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spacing w:val="-10"/>
                <w:szCs w:val="21"/>
              </w:rPr>
            </w:pPr>
            <w:r>
              <w:rPr>
                <w:rFonts w:hint="eastAsia"/>
                <w:bCs/>
                <w:color w:val="000000" w:themeColor="text1"/>
                <w:spacing w:val="-10"/>
                <w:szCs w:val="21"/>
                <w:lang w:val="en-US" w:eastAsia="zh-CN"/>
              </w:rPr>
              <w:t>+</w:t>
            </w:r>
            <w:r>
              <w:rPr>
                <w:rFonts w:hint="eastAsia"/>
                <w:bCs/>
                <w:color w:val="000000" w:themeColor="text1"/>
                <w:spacing w:val="-10"/>
                <w:szCs w:val="21"/>
                <w:highlight w:val="none"/>
                <w:lang w:val="en-US" w:eastAsia="zh-CN"/>
              </w:rPr>
              <w:t>2.949</w:t>
            </w:r>
          </w:p>
        </w:tc>
      </w:tr>
      <w:tr w14:paraId="2F87DD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0DA1D6D8">
            <w:pPr>
              <w:pStyle w:val="47"/>
              <w:spacing w:beforeLines="0" w:afterLines="0" w:line="240" w:lineRule="auto"/>
              <w:ind w:left="420" w:hanging="420"/>
              <w:rPr>
                <w:rFonts w:ascii="Times New Roman" w:hAnsi="Times New Roman"/>
                <w:snapToGrid w:val="0"/>
                <w:color w:val="000000" w:themeColor="text1"/>
                <w:kern w:val="21"/>
                <w:szCs w:val="21"/>
              </w:rPr>
            </w:pPr>
          </w:p>
        </w:tc>
        <w:tc>
          <w:tcPr>
            <w:tcW w:w="2279" w:type="dxa"/>
            <w:vAlign w:val="center"/>
          </w:tcPr>
          <w:p w14:paraId="66008AE7">
            <w:pPr>
              <w:pStyle w:val="23"/>
              <w:keepNext w:val="0"/>
              <w:keepLines w:val="0"/>
              <w:pageBreakBefore w:val="0"/>
              <w:kinsoku/>
              <w:wordWrap/>
              <w:overflowPunct/>
              <w:topLinePunct w:val="0"/>
              <w:autoSpaceDE/>
              <w:autoSpaceDN/>
              <w:bidi w:val="0"/>
              <w:spacing w:before="40" w:after="40"/>
              <w:ind w:left="0" w:firstLine="0" w:firstLineChars="0"/>
              <w:jc w:val="center"/>
              <w:textAlignment w:val="auto"/>
              <w:rPr>
                <w:rFonts w:hint="eastAsia"/>
                <w:color w:val="000000" w:themeColor="text1"/>
                <w:sz w:val="21"/>
                <w:szCs w:val="21"/>
              </w:rPr>
            </w:pPr>
            <w:r>
              <w:rPr>
                <w:rFonts w:hint="eastAsia"/>
                <w:color w:val="000000" w:themeColor="text1"/>
                <w:sz w:val="21"/>
                <w:szCs w:val="21"/>
              </w:rPr>
              <w:t>氨氮</w:t>
            </w:r>
          </w:p>
        </w:tc>
        <w:tc>
          <w:tcPr>
            <w:tcW w:w="1563" w:type="dxa"/>
            <w:shd w:val="clear" w:color="auto" w:fill="auto"/>
            <w:vAlign w:val="center"/>
          </w:tcPr>
          <w:p w14:paraId="2F7E57D2">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color w:val="000000" w:themeColor="text1"/>
              </w:rPr>
            </w:pPr>
            <w:r>
              <w:rPr>
                <w:rFonts w:ascii="Times New Roman" w:hAnsi="Times New Roman"/>
                <w:snapToGrid w:val="0"/>
                <w:color w:val="000000" w:themeColor="text1"/>
                <w:kern w:val="21"/>
                <w:szCs w:val="21"/>
              </w:rPr>
              <w:t>/</w:t>
            </w:r>
          </w:p>
        </w:tc>
        <w:tc>
          <w:tcPr>
            <w:tcW w:w="1190" w:type="dxa"/>
            <w:vAlign w:val="center"/>
          </w:tcPr>
          <w:p w14:paraId="03319E25">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03BCEC5A">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77F1F31C">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bCs/>
                <w:color w:val="000000" w:themeColor="text1"/>
                <w:spacing w:val="-10"/>
                <w:szCs w:val="21"/>
                <w:lang w:val="en-US" w:eastAsia="zh-CN"/>
              </w:rPr>
            </w:pPr>
            <w:r>
              <w:rPr>
                <w:rFonts w:hint="eastAsia"/>
                <w:bCs/>
                <w:color w:val="000000" w:themeColor="text1"/>
                <w:spacing w:val="-10"/>
                <w:szCs w:val="21"/>
                <w:highlight w:val="none"/>
                <w:lang w:val="en-US" w:eastAsia="zh-CN"/>
              </w:rPr>
              <w:t>0.295</w:t>
            </w:r>
          </w:p>
        </w:tc>
        <w:tc>
          <w:tcPr>
            <w:tcW w:w="1424" w:type="dxa"/>
            <w:vAlign w:val="center"/>
          </w:tcPr>
          <w:p w14:paraId="72A8064C">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28A422C6">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spacing w:val="-10"/>
                <w:szCs w:val="21"/>
              </w:rPr>
            </w:pPr>
            <w:r>
              <w:rPr>
                <w:rFonts w:hint="eastAsia"/>
                <w:bCs/>
                <w:color w:val="000000" w:themeColor="text1"/>
                <w:spacing w:val="-10"/>
                <w:szCs w:val="21"/>
                <w:highlight w:val="none"/>
                <w:lang w:val="en-US" w:eastAsia="zh-CN"/>
              </w:rPr>
              <w:t>0.295</w:t>
            </w:r>
          </w:p>
        </w:tc>
        <w:tc>
          <w:tcPr>
            <w:tcW w:w="1279" w:type="dxa"/>
            <w:shd w:val="clear" w:color="auto" w:fill="auto"/>
            <w:vAlign w:val="center"/>
          </w:tcPr>
          <w:p w14:paraId="28A94A82">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spacing w:val="-10"/>
                <w:szCs w:val="21"/>
              </w:rPr>
            </w:pPr>
            <w:r>
              <w:rPr>
                <w:rFonts w:hint="eastAsia"/>
                <w:bCs/>
                <w:color w:val="000000" w:themeColor="text1"/>
                <w:spacing w:val="-10"/>
                <w:szCs w:val="21"/>
                <w:lang w:val="en-US" w:eastAsia="zh-CN"/>
              </w:rPr>
              <w:t>+</w:t>
            </w:r>
            <w:r>
              <w:rPr>
                <w:rFonts w:hint="eastAsia"/>
                <w:bCs/>
                <w:color w:val="000000" w:themeColor="text1"/>
                <w:spacing w:val="-10"/>
                <w:szCs w:val="21"/>
                <w:highlight w:val="none"/>
                <w:lang w:val="en-US" w:eastAsia="zh-CN"/>
              </w:rPr>
              <w:t>0.295</w:t>
            </w:r>
          </w:p>
        </w:tc>
      </w:tr>
      <w:tr w14:paraId="71F9B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950" w:type="dxa"/>
            <w:vMerge w:val="restart"/>
            <w:vAlign w:val="center"/>
          </w:tcPr>
          <w:p w14:paraId="248208D0">
            <w:pPr>
              <w:pStyle w:val="47"/>
              <w:spacing w:beforeLines="0" w:afterLines="0" w:line="240" w:lineRule="auto"/>
              <w:ind w:left="420" w:hanging="420"/>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固废</w:t>
            </w:r>
          </w:p>
          <w:p w14:paraId="23F9D224">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5CE21A3E">
            <w:pPr>
              <w:keepNext w:val="0"/>
              <w:keepLines w:val="0"/>
              <w:pageBreakBefore w:val="0"/>
              <w:kinsoku/>
              <w:wordWrap/>
              <w:overflowPunct/>
              <w:topLinePunct w:val="0"/>
              <w:autoSpaceDE/>
              <w:autoSpaceDN/>
              <w:bidi w:val="0"/>
              <w:spacing w:before="40" w:after="40"/>
              <w:ind w:left="0"/>
              <w:jc w:val="center"/>
              <w:textAlignment w:val="auto"/>
              <w:rPr>
                <w:color w:val="000000" w:themeColor="text1"/>
                <w:szCs w:val="21"/>
              </w:rPr>
            </w:pPr>
            <w:r>
              <w:rPr>
                <w:rFonts w:hint="eastAsia"/>
                <w:color w:val="000000" w:themeColor="text1"/>
                <w:szCs w:val="21"/>
              </w:rPr>
              <w:t>生活垃圾</w:t>
            </w:r>
          </w:p>
        </w:tc>
        <w:tc>
          <w:tcPr>
            <w:tcW w:w="1563" w:type="dxa"/>
            <w:shd w:val="clear" w:color="auto" w:fill="auto"/>
            <w:vAlign w:val="center"/>
          </w:tcPr>
          <w:p w14:paraId="055EEA65">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bCs/>
                <w:color w:val="000000" w:themeColor="text1"/>
                <w:spacing w:val="-10"/>
                <w:szCs w:val="21"/>
              </w:rPr>
            </w:pPr>
            <w:r>
              <w:rPr>
                <w:rFonts w:ascii="Times New Roman" w:hAnsi="Times New Roman"/>
                <w:snapToGrid w:val="0"/>
                <w:color w:val="000000" w:themeColor="text1"/>
                <w:kern w:val="21"/>
                <w:szCs w:val="21"/>
              </w:rPr>
              <w:t>/</w:t>
            </w:r>
          </w:p>
        </w:tc>
        <w:tc>
          <w:tcPr>
            <w:tcW w:w="1190" w:type="dxa"/>
            <w:vAlign w:val="center"/>
          </w:tcPr>
          <w:p w14:paraId="7EF66777">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4C4C4E42">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0E4A89D3">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bCs/>
                <w:color w:val="000000" w:themeColor="text1"/>
                <w:spacing w:val="-10"/>
                <w:szCs w:val="21"/>
                <w:lang w:val="en-US" w:eastAsia="zh-CN"/>
              </w:rPr>
            </w:pPr>
            <w:r>
              <w:rPr>
                <w:rFonts w:hint="eastAsia"/>
                <w:bCs/>
                <w:color w:val="000000" w:themeColor="text1"/>
                <w:spacing w:val="-10"/>
                <w:szCs w:val="21"/>
                <w:lang w:val="en-US" w:eastAsia="zh-CN"/>
              </w:rPr>
              <w:t>233.6</w:t>
            </w:r>
          </w:p>
        </w:tc>
        <w:tc>
          <w:tcPr>
            <w:tcW w:w="1424" w:type="dxa"/>
            <w:vAlign w:val="center"/>
          </w:tcPr>
          <w:p w14:paraId="05420DE9">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4315851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rPr>
            </w:pPr>
            <w:r>
              <w:rPr>
                <w:rFonts w:hint="eastAsia"/>
                <w:bCs/>
                <w:color w:val="000000" w:themeColor="text1"/>
                <w:spacing w:val="-10"/>
                <w:szCs w:val="21"/>
                <w:lang w:val="en-US" w:eastAsia="zh-CN"/>
              </w:rPr>
              <w:t>233.6</w:t>
            </w:r>
          </w:p>
        </w:tc>
        <w:tc>
          <w:tcPr>
            <w:tcW w:w="1279" w:type="dxa"/>
            <w:vAlign w:val="center"/>
          </w:tcPr>
          <w:p w14:paraId="279EC59A">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spacing w:val="-10"/>
                <w:szCs w:val="21"/>
              </w:rPr>
            </w:pPr>
            <w:r>
              <w:rPr>
                <w:rFonts w:hint="eastAsia"/>
                <w:bCs/>
                <w:color w:val="000000" w:themeColor="text1"/>
                <w:spacing w:val="-10"/>
                <w:szCs w:val="21"/>
                <w:lang w:val="en-US" w:eastAsia="zh-CN"/>
              </w:rPr>
              <w:t>+233.6</w:t>
            </w:r>
          </w:p>
        </w:tc>
      </w:tr>
      <w:tr w14:paraId="0BB7D5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950" w:type="dxa"/>
            <w:vMerge w:val="continue"/>
            <w:vAlign w:val="center"/>
          </w:tcPr>
          <w:p w14:paraId="4C627976">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482E27CE">
            <w:pPr>
              <w:keepNext w:val="0"/>
              <w:keepLines w:val="0"/>
              <w:pageBreakBefore w:val="0"/>
              <w:kinsoku/>
              <w:wordWrap/>
              <w:overflowPunct/>
              <w:topLinePunct w:val="0"/>
              <w:autoSpaceDE/>
              <w:autoSpaceDN/>
              <w:bidi w:val="0"/>
              <w:spacing w:before="40" w:after="40"/>
              <w:ind w:left="0"/>
              <w:jc w:val="center"/>
              <w:textAlignment w:val="auto"/>
              <w:rPr>
                <w:rFonts w:hint="eastAsia"/>
                <w:color w:val="000000" w:themeColor="text1"/>
                <w:szCs w:val="21"/>
              </w:rPr>
            </w:pPr>
            <w:r>
              <w:rPr>
                <w:rFonts w:hint="eastAsia"/>
                <w:color w:val="000000" w:themeColor="text1"/>
                <w:szCs w:val="21"/>
              </w:rPr>
              <w:t>未被污染的医用一次医用玻璃、输液瓶（袋)</w:t>
            </w:r>
          </w:p>
        </w:tc>
        <w:tc>
          <w:tcPr>
            <w:tcW w:w="1563" w:type="dxa"/>
            <w:shd w:val="clear" w:color="auto" w:fill="auto"/>
            <w:vAlign w:val="center"/>
          </w:tcPr>
          <w:p w14:paraId="73F7EE10">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190" w:type="dxa"/>
            <w:vAlign w:val="center"/>
          </w:tcPr>
          <w:p w14:paraId="03E55D28">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7355E81D">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607043EF">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16.2</w:t>
            </w:r>
          </w:p>
        </w:tc>
        <w:tc>
          <w:tcPr>
            <w:tcW w:w="1424" w:type="dxa"/>
            <w:vAlign w:val="center"/>
          </w:tcPr>
          <w:p w14:paraId="3FB8F37E">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hint="eastAsia" w:ascii="Times New Roman" w:hAnsi="Times New Roman" w:eastAsia="宋体"/>
                <w:bCs/>
                <w:snapToGrid w:val="0"/>
                <w:color w:val="000000" w:themeColor="text1"/>
                <w:kern w:val="21"/>
                <w:szCs w:val="21"/>
                <w:lang w:val="en-US" w:eastAsia="zh-CN"/>
              </w:rPr>
            </w:pPr>
            <w:r>
              <w:rPr>
                <w:rFonts w:hint="eastAsia" w:ascii="Times New Roman" w:hAnsi="Times New Roman"/>
                <w:bCs/>
                <w:snapToGrid w:val="0"/>
                <w:color w:val="000000" w:themeColor="text1"/>
                <w:kern w:val="21"/>
                <w:szCs w:val="21"/>
                <w:lang w:val="en-US" w:eastAsia="zh-CN"/>
              </w:rPr>
              <w:t>/</w:t>
            </w:r>
          </w:p>
        </w:tc>
        <w:tc>
          <w:tcPr>
            <w:tcW w:w="1843" w:type="dxa"/>
            <w:shd w:val="clear" w:color="auto" w:fill="auto"/>
            <w:vAlign w:val="center"/>
          </w:tcPr>
          <w:p w14:paraId="3A6B5D63">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eastAsia"/>
                <w:bCs/>
                <w:color w:val="000000" w:themeColor="text1"/>
                <w:spacing w:val="-10"/>
                <w:szCs w:val="21"/>
                <w:lang w:val="en-US" w:eastAsia="zh-CN"/>
              </w:rPr>
            </w:pPr>
            <w:r>
              <w:rPr>
                <w:rFonts w:hint="eastAsia"/>
                <w:bCs/>
                <w:color w:val="000000" w:themeColor="text1"/>
                <w:spacing w:val="-10"/>
                <w:szCs w:val="21"/>
                <w:lang w:val="en-US" w:eastAsia="zh-CN"/>
              </w:rPr>
              <w:t>16.2</w:t>
            </w:r>
          </w:p>
        </w:tc>
        <w:tc>
          <w:tcPr>
            <w:tcW w:w="1279" w:type="dxa"/>
            <w:vAlign w:val="center"/>
          </w:tcPr>
          <w:p w14:paraId="5B61B365">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eastAsia"/>
                <w:bCs/>
                <w:color w:val="000000" w:themeColor="text1"/>
                <w:spacing w:val="-10"/>
                <w:szCs w:val="21"/>
                <w:lang w:val="en-US" w:eastAsia="zh-CN"/>
              </w:rPr>
            </w:pPr>
            <w:r>
              <w:rPr>
                <w:rFonts w:hint="eastAsia"/>
                <w:bCs/>
                <w:color w:val="000000" w:themeColor="text1"/>
                <w:spacing w:val="-10"/>
                <w:szCs w:val="21"/>
                <w:lang w:val="en-US" w:eastAsia="zh-CN"/>
              </w:rPr>
              <w:t>+16.2</w:t>
            </w:r>
          </w:p>
        </w:tc>
      </w:tr>
      <w:tr w14:paraId="6B5499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6821C89B">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58BD9A3C">
            <w:pPr>
              <w:keepNext w:val="0"/>
              <w:keepLines w:val="0"/>
              <w:pageBreakBefore w:val="0"/>
              <w:kinsoku/>
              <w:wordWrap/>
              <w:overflowPunct/>
              <w:topLinePunct w:val="0"/>
              <w:autoSpaceDE/>
              <w:autoSpaceDN/>
              <w:bidi w:val="0"/>
              <w:spacing w:before="40" w:after="40"/>
              <w:ind w:left="0"/>
              <w:jc w:val="center"/>
              <w:textAlignment w:val="auto"/>
              <w:rPr>
                <w:rFonts w:hint="default" w:eastAsia="宋体"/>
                <w:color w:val="000000" w:themeColor="text1"/>
                <w:szCs w:val="21"/>
                <w:lang w:val="en-US" w:eastAsia="zh-CN"/>
              </w:rPr>
            </w:pPr>
            <w:r>
              <w:rPr>
                <w:rFonts w:hint="eastAsia"/>
                <w:color w:val="000000" w:themeColor="text1"/>
                <w:szCs w:val="21"/>
                <w:lang w:val="en-US" w:eastAsia="zh-CN"/>
              </w:rPr>
              <w:t>废包装材料</w:t>
            </w:r>
          </w:p>
        </w:tc>
        <w:tc>
          <w:tcPr>
            <w:tcW w:w="1563" w:type="dxa"/>
            <w:shd w:val="clear" w:color="auto" w:fill="auto"/>
            <w:vAlign w:val="center"/>
          </w:tcPr>
          <w:p w14:paraId="7E88BDA0">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hint="eastAsia" w:ascii="Times New Roman" w:hAnsi="Times New Roman" w:eastAsia="宋体"/>
                <w:snapToGrid w:val="0"/>
                <w:color w:val="000000" w:themeColor="text1"/>
                <w:kern w:val="21"/>
                <w:szCs w:val="21"/>
                <w:lang w:val="en-US" w:eastAsia="zh-CN"/>
              </w:rPr>
            </w:pPr>
            <w:r>
              <w:rPr>
                <w:rFonts w:hint="eastAsia" w:ascii="Times New Roman" w:hAnsi="Times New Roman"/>
                <w:snapToGrid w:val="0"/>
                <w:color w:val="000000" w:themeColor="text1"/>
                <w:kern w:val="21"/>
                <w:szCs w:val="21"/>
                <w:lang w:val="en-US" w:eastAsia="zh-CN"/>
              </w:rPr>
              <w:t>/</w:t>
            </w:r>
          </w:p>
        </w:tc>
        <w:tc>
          <w:tcPr>
            <w:tcW w:w="1190" w:type="dxa"/>
            <w:vAlign w:val="center"/>
          </w:tcPr>
          <w:p w14:paraId="18E1993B">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hint="eastAsia" w:ascii="Times New Roman" w:hAnsi="Times New Roman" w:eastAsia="宋体"/>
                <w:snapToGrid w:val="0"/>
                <w:color w:val="000000" w:themeColor="text1"/>
                <w:kern w:val="21"/>
                <w:szCs w:val="21"/>
                <w:lang w:val="en-US" w:eastAsia="zh-CN"/>
              </w:rPr>
            </w:pPr>
            <w:r>
              <w:rPr>
                <w:rFonts w:hint="eastAsia" w:ascii="Times New Roman" w:hAnsi="Times New Roman"/>
                <w:snapToGrid w:val="0"/>
                <w:color w:val="000000" w:themeColor="text1"/>
                <w:kern w:val="21"/>
                <w:szCs w:val="21"/>
                <w:lang w:val="en-US" w:eastAsia="zh-CN"/>
              </w:rPr>
              <w:t>/</w:t>
            </w:r>
          </w:p>
        </w:tc>
        <w:tc>
          <w:tcPr>
            <w:tcW w:w="1701" w:type="dxa"/>
            <w:vAlign w:val="center"/>
          </w:tcPr>
          <w:p w14:paraId="1E89CFCE">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hint="eastAsia" w:ascii="Times New Roman" w:hAnsi="Times New Roman" w:eastAsia="宋体"/>
                <w:snapToGrid w:val="0"/>
                <w:color w:val="000000" w:themeColor="text1"/>
                <w:kern w:val="21"/>
                <w:szCs w:val="21"/>
                <w:lang w:val="en-US" w:eastAsia="zh-CN"/>
              </w:rPr>
            </w:pPr>
            <w:r>
              <w:rPr>
                <w:rFonts w:hint="eastAsia" w:ascii="Times New Roman" w:hAnsi="Times New Roman"/>
                <w:snapToGrid w:val="0"/>
                <w:color w:val="000000" w:themeColor="text1"/>
                <w:kern w:val="21"/>
                <w:szCs w:val="21"/>
                <w:lang w:val="en-US" w:eastAsia="zh-CN"/>
              </w:rPr>
              <w:t>/</w:t>
            </w:r>
          </w:p>
        </w:tc>
        <w:tc>
          <w:tcPr>
            <w:tcW w:w="1559" w:type="dxa"/>
            <w:shd w:val="clear" w:color="auto" w:fill="auto"/>
            <w:vAlign w:val="center"/>
          </w:tcPr>
          <w:p w14:paraId="7A922355">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0.2</w:t>
            </w:r>
          </w:p>
        </w:tc>
        <w:tc>
          <w:tcPr>
            <w:tcW w:w="1424" w:type="dxa"/>
            <w:vAlign w:val="center"/>
          </w:tcPr>
          <w:p w14:paraId="1CF1F8FB">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hint="default" w:ascii="Times New Roman" w:hAnsi="Times New Roman"/>
                <w:bCs/>
                <w:snapToGrid w:val="0"/>
                <w:color w:val="000000" w:themeColor="text1"/>
                <w:kern w:val="21"/>
                <w:szCs w:val="21"/>
                <w:lang w:val="en-US" w:eastAsia="zh-CN"/>
              </w:rPr>
            </w:pPr>
            <w:r>
              <w:rPr>
                <w:rFonts w:hint="eastAsia" w:ascii="Times New Roman" w:hAnsi="Times New Roman"/>
                <w:bCs/>
                <w:snapToGrid w:val="0"/>
                <w:color w:val="000000" w:themeColor="text1"/>
                <w:kern w:val="21"/>
                <w:szCs w:val="21"/>
                <w:lang w:val="en-US" w:eastAsia="zh-CN"/>
              </w:rPr>
              <w:t>/</w:t>
            </w:r>
          </w:p>
        </w:tc>
        <w:tc>
          <w:tcPr>
            <w:tcW w:w="1843" w:type="dxa"/>
            <w:shd w:val="clear" w:color="auto" w:fill="auto"/>
            <w:vAlign w:val="center"/>
          </w:tcPr>
          <w:p w14:paraId="14E16006">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0.2</w:t>
            </w:r>
          </w:p>
        </w:tc>
        <w:tc>
          <w:tcPr>
            <w:tcW w:w="1279" w:type="dxa"/>
            <w:vAlign w:val="center"/>
          </w:tcPr>
          <w:p w14:paraId="71507B11">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+0.2</w:t>
            </w:r>
          </w:p>
        </w:tc>
      </w:tr>
      <w:tr w14:paraId="71AB2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950" w:type="dxa"/>
            <w:vMerge w:val="continue"/>
            <w:vAlign w:val="center"/>
          </w:tcPr>
          <w:p w14:paraId="7612E995">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1F786053">
            <w:pPr>
              <w:keepNext w:val="0"/>
              <w:keepLines w:val="0"/>
              <w:pageBreakBefore w:val="0"/>
              <w:kinsoku/>
              <w:wordWrap/>
              <w:overflowPunct/>
              <w:topLinePunct w:val="0"/>
              <w:autoSpaceDE/>
              <w:autoSpaceDN/>
              <w:bidi w:val="0"/>
              <w:spacing w:before="40" w:after="40"/>
              <w:ind w:left="0"/>
              <w:jc w:val="center"/>
              <w:textAlignment w:val="auto"/>
              <w:rPr>
                <w:color w:val="000000" w:themeColor="text1"/>
                <w:szCs w:val="21"/>
              </w:rPr>
            </w:pPr>
            <w:r>
              <w:rPr>
                <w:rFonts w:hint="eastAsia"/>
                <w:color w:val="000000" w:themeColor="text1"/>
                <w:szCs w:val="21"/>
              </w:rPr>
              <w:t>医疗废物</w:t>
            </w:r>
          </w:p>
        </w:tc>
        <w:tc>
          <w:tcPr>
            <w:tcW w:w="1563" w:type="dxa"/>
            <w:vAlign w:val="center"/>
          </w:tcPr>
          <w:p w14:paraId="5A259F0C">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bCs/>
                <w:color w:val="000000" w:themeColor="text1"/>
                <w:spacing w:val="-10"/>
                <w:szCs w:val="21"/>
              </w:rPr>
            </w:pPr>
            <w:r>
              <w:rPr>
                <w:rFonts w:ascii="Times New Roman" w:hAnsi="Times New Roman"/>
                <w:snapToGrid w:val="0"/>
                <w:color w:val="000000" w:themeColor="text1"/>
                <w:kern w:val="21"/>
                <w:szCs w:val="21"/>
              </w:rPr>
              <w:t>/</w:t>
            </w:r>
          </w:p>
        </w:tc>
        <w:tc>
          <w:tcPr>
            <w:tcW w:w="1190" w:type="dxa"/>
            <w:vAlign w:val="center"/>
          </w:tcPr>
          <w:p w14:paraId="715680C8">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0E2876A3">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0A95E034">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bCs/>
                <w:color w:val="000000" w:themeColor="text1"/>
                <w:spacing w:val="-10"/>
                <w:szCs w:val="21"/>
                <w:lang w:val="en-US" w:eastAsia="zh-CN"/>
              </w:rPr>
            </w:pPr>
            <w:r>
              <w:rPr>
                <w:rFonts w:hint="eastAsia"/>
                <w:bCs/>
                <w:color w:val="000000" w:themeColor="text1"/>
                <w:spacing w:val="-10"/>
                <w:szCs w:val="21"/>
                <w:lang w:val="en-US" w:eastAsia="zh-CN"/>
              </w:rPr>
              <w:t>84.242</w:t>
            </w:r>
          </w:p>
        </w:tc>
        <w:tc>
          <w:tcPr>
            <w:tcW w:w="1424" w:type="dxa"/>
            <w:vAlign w:val="center"/>
          </w:tcPr>
          <w:p w14:paraId="1061A7CA">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74157FC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rPr>
            </w:pPr>
            <w:r>
              <w:rPr>
                <w:rFonts w:hint="eastAsia"/>
                <w:bCs/>
                <w:color w:val="000000" w:themeColor="text1"/>
                <w:spacing w:val="-10"/>
                <w:szCs w:val="21"/>
                <w:lang w:val="en-US" w:eastAsia="zh-CN"/>
              </w:rPr>
              <w:t>84.242</w:t>
            </w:r>
          </w:p>
        </w:tc>
        <w:tc>
          <w:tcPr>
            <w:tcW w:w="1279" w:type="dxa"/>
            <w:vAlign w:val="center"/>
          </w:tcPr>
          <w:p w14:paraId="450DE2E0">
            <w:pPr>
              <w:keepNext w:val="0"/>
              <w:keepLines w:val="0"/>
              <w:pageBreakBefore w:val="0"/>
              <w:kinsoku/>
              <w:wordWrap/>
              <w:overflowPunct/>
              <w:topLinePunct w:val="0"/>
              <w:autoSpaceDE/>
              <w:autoSpaceDN/>
              <w:bidi w:val="0"/>
              <w:adjustRightInd w:val="0"/>
              <w:snapToGrid w:val="0"/>
              <w:spacing w:before="40" w:after="40"/>
              <w:ind w:left="0"/>
              <w:jc w:val="center"/>
              <w:textAlignment w:val="auto"/>
              <w:rPr>
                <w:bCs/>
                <w:color w:val="000000" w:themeColor="text1"/>
                <w:spacing w:val="-10"/>
                <w:szCs w:val="21"/>
              </w:rPr>
            </w:pPr>
            <w:r>
              <w:rPr>
                <w:rFonts w:hint="eastAsia"/>
                <w:bCs/>
                <w:color w:val="000000" w:themeColor="text1"/>
                <w:spacing w:val="-10"/>
                <w:szCs w:val="21"/>
                <w:lang w:val="en-US" w:eastAsia="zh-CN"/>
              </w:rPr>
              <w:t>+84.242</w:t>
            </w:r>
          </w:p>
        </w:tc>
      </w:tr>
      <w:tr w14:paraId="73F257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764BBC38">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2D190F6B">
            <w:pPr>
              <w:keepNext w:val="0"/>
              <w:keepLines w:val="0"/>
              <w:pageBreakBefore w:val="0"/>
              <w:kinsoku/>
              <w:wordWrap/>
              <w:overflowPunct/>
              <w:topLinePunct w:val="0"/>
              <w:autoSpaceDE/>
              <w:autoSpaceDN/>
              <w:bidi w:val="0"/>
              <w:spacing w:before="40" w:after="40"/>
              <w:ind w:left="0"/>
              <w:jc w:val="center"/>
              <w:textAlignment w:val="auto"/>
              <w:rPr>
                <w:rFonts w:hint="default" w:eastAsia="宋体"/>
                <w:color w:val="000000" w:themeColor="text1"/>
                <w:szCs w:val="21"/>
                <w:lang w:val="en-US" w:eastAsia="zh-CN"/>
              </w:rPr>
            </w:pPr>
            <w:r>
              <w:rPr>
                <w:rFonts w:hint="eastAsia"/>
                <w:color w:val="000000" w:themeColor="text1"/>
                <w:szCs w:val="21"/>
                <w:lang w:val="en-US" w:eastAsia="zh-CN"/>
              </w:rPr>
              <w:t>污水站</w:t>
            </w:r>
            <w:r>
              <w:rPr>
                <w:rFonts w:hint="eastAsia"/>
                <w:color w:val="000000" w:themeColor="text1"/>
                <w:szCs w:val="21"/>
              </w:rPr>
              <w:t>污泥</w:t>
            </w:r>
            <w:r>
              <w:rPr>
                <w:rFonts w:hint="eastAsia"/>
                <w:color w:val="000000" w:themeColor="text1"/>
                <w:szCs w:val="21"/>
                <w:lang w:eastAsia="zh-CN"/>
              </w:rPr>
              <w:t>、</w:t>
            </w:r>
            <w:r>
              <w:rPr>
                <w:rFonts w:hint="eastAsia"/>
                <w:color w:val="000000" w:themeColor="text1"/>
                <w:szCs w:val="21"/>
                <w:lang w:val="en-US" w:eastAsia="zh-CN"/>
              </w:rPr>
              <w:t>栅渣</w:t>
            </w:r>
          </w:p>
        </w:tc>
        <w:tc>
          <w:tcPr>
            <w:tcW w:w="1563" w:type="dxa"/>
            <w:vAlign w:val="center"/>
          </w:tcPr>
          <w:p w14:paraId="5EFF4E25">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bCs/>
                <w:color w:val="000000" w:themeColor="text1"/>
                <w:spacing w:val="-10"/>
                <w:szCs w:val="21"/>
              </w:rPr>
            </w:pPr>
            <w:r>
              <w:rPr>
                <w:rFonts w:ascii="Times New Roman" w:hAnsi="Times New Roman"/>
                <w:snapToGrid w:val="0"/>
                <w:color w:val="000000" w:themeColor="text1"/>
                <w:kern w:val="21"/>
                <w:szCs w:val="21"/>
              </w:rPr>
              <w:t>/</w:t>
            </w:r>
          </w:p>
        </w:tc>
        <w:tc>
          <w:tcPr>
            <w:tcW w:w="1190" w:type="dxa"/>
            <w:vAlign w:val="center"/>
          </w:tcPr>
          <w:p w14:paraId="263D66D0">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701" w:type="dxa"/>
            <w:vAlign w:val="center"/>
          </w:tcPr>
          <w:p w14:paraId="087AFED6">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ascii="Times New Roman" w:hAnsi="Times New Roman"/>
                <w:snapToGrid w:val="0"/>
                <w:color w:val="000000" w:themeColor="text1"/>
                <w:kern w:val="21"/>
                <w:szCs w:val="21"/>
              </w:rPr>
            </w:pPr>
            <w:r>
              <w:rPr>
                <w:rFonts w:ascii="Times New Roman" w:hAnsi="Times New Roman"/>
                <w:snapToGrid w:val="0"/>
                <w:color w:val="000000" w:themeColor="text1"/>
                <w:kern w:val="21"/>
                <w:szCs w:val="21"/>
              </w:rPr>
              <w:t>/</w:t>
            </w:r>
          </w:p>
        </w:tc>
        <w:tc>
          <w:tcPr>
            <w:tcW w:w="1559" w:type="dxa"/>
            <w:shd w:val="clear" w:color="auto" w:fill="auto"/>
            <w:vAlign w:val="center"/>
          </w:tcPr>
          <w:p w14:paraId="54216600">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eastAsia="宋体"/>
                <w:bCs/>
                <w:color w:val="000000" w:themeColor="text1"/>
                <w:spacing w:val="-10"/>
                <w:szCs w:val="21"/>
                <w:lang w:val="en-US" w:eastAsia="zh-CN"/>
              </w:rPr>
            </w:pPr>
            <w:r>
              <w:rPr>
                <w:rFonts w:hint="eastAsia"/>
                <w:bCs/>
                <w:color w:val="000000" w:themeColor="text1"/>
                <w:spacing w:val="-10"/>
                <w:szCs w:val="21"/>
                <w:lang w:val="en-US" w:eastAsia="zh-CN"/>
              </w:rPr>
              <w:t>5.02</w:t>
            </w:r>
          </w:p>
        </w:tc>
        <w:tc>
          <w:tcPr>
            <w:tcW w:w="1424" w:type="dxa"/>
            <w:vAlign w:val="center"/>
          </w:tcPr>
          <w:p w14:paraId="2400BCE3">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ascii="Times New Roman" w:hAnsi="Times New Roman"/>
                <w:bCs/>
                <w:snapToGrid w:val="0"/>
                <w:color w:val="000000" w:themeColor="text1"/>
                <w:kern w:val="21"/>
                <w:szCs w:val="21"/>
              </w:rPr>
            </w:pPr>
            <w:r>
              <w:rPr>
                <w:rFonts w:ascii="Times New Roman" w:hAnsi="Times New Roman"/>
                <w:bCs/>
                <w:snapToGrid w:val="0"/>
                <w:color w:val="000000" w:themeColor="text1"/>
                <w:kern w:val="21"/>
                <w:szCs w:val="21"/>
              </w:rPr>
              <w:t>/</w:t>
            </w:r>
          </w:p>
        </w:tc>
        <w:tc>
          <w:tcPr>
            <w:tcW w:w="1843" w:type="dxa"/>
            <w:shd w:val="clear" w:color="auto" w:fill="auto"/>
            <w:vAlign w:val="center"/>
          </w:tcPr>
          <w:p w14:paraId="6299CD2D">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lang w:val="en-US"/>
              </w:rPr>
            </w:pPr>
            <w:r>
              <w:rPr>
                <w:rFonts w:hint="eastAsia"/>
                <w:bCs/>
                <w:color w:val="000000" w:themeColor="text1"/>
                <w:spacing w:val="-10"/>
                <w:szCs w:val="21"/>
                <w:lang w:val="en-US" w:eastAsia="zh-CN"/>
              </w:rPr>
              <w:t>5.02</w:t>
            </w:r>
          </w:p>
        </w:tc>
        <w:tc>
          <w:tcPr>
            <w:tcW w:w="1279" w:type="dxa"/>
            <w:vAlign w:val="center"/>
          </w:tcPr>
          <w:p w14:paraId="7D5EE38F">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rPr>
            </w:pPr>
            <w:r>
              <w:rPr>
                <w:rFonts w:hint="eastAsia"/>
                <w:bCs/>
                <w:color w:val="000000" w:themeColor="text1"/>
                <w:spacing w:val="-10"/>
                <w:szCs w:val="21"/>
                <w:lang w:val="en-US" w:eastAsia="zh-CN"/>
              </w:rPr>
              <w:t>+5.02</w:t>
            </w:r>
          </w:p>
        </w:tc>
      </w:tr>
      <w:tr w14:paraId="7CB10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4D54AC14">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3E04E5C1">
            <w:pPr>
              <w:keepNext w:val="0"/>
              <w:keepLines w:val="0"/>
              <w:pageBreakBefore w:val="0"/>
              <w:kinsoku/>
              <w:wordWrap/>
              <w:overflowPunct/>
              <w:topLinePunct w:val="0"/>
              <w:autoSpaceDE/>
              <w:autoSpaceDN/>
              <w:bidi w:val="0"/>
              <w:spacing w:before="40" w:after="40"/>
              <w:ind w:left="0"/>
              <w:jc w:val="center"/>
              <w:textAlignment w:val="auto"/>
              <w:rPr>
                <w:rFonts w:hint="eastAsia" w:eastAsia="宋体"/>
                <w:color w:val="000000" w:themeColor="text1"/>
                <w:szCs w:val="21"/>
                <w:lang w:val="en-US" w:eastAsia="zh-CN"/>
              </w:rPr>
            </w:pPr>
            <w:r>
              <w:rPr>
                <w:rFonts w:hint="eastAsia"/>
                <w:color w:val="000000" w:themeColor="text1"/>
                <w:szCs w:val="21"/>
                <w:lang w:val="en-US" w:eastAsia="zh-CN"/>
              </w:rPr>
              <w:t>废活性炭</w:t>
            </w:r>
          </w:p>
        </w:tc>
        <w:tc>
          <w:tcPr>
            <w:tcW w:w="1563" w:type="dxa"/>
            <w:vAlign w:val="center"/>
          </w:tcPr>
          <w:p w14:paraId="6A34AF99">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hint="eastAsia" w:ascii="Times New Roman" w:hAnsi="Times New Roman" w:eastAsia="宋体"/>
                <w:snapToGrid w:val="0"/>
                <w:color w:val="000000" w:themeColor="text1"/>
                <w:kern w:val="21"/>
                <w:szCs w:val="21"/>
                <w:lang w:val="en-US" w:eastAsia="zh-CN"/>
              </w:rPr>
            </w:pPr>
            <w:r>
              <w:rPr>
                <w:rFonts w:hint="eastAsia" w:ascii="Times New Roman" w:hAnsi="Times New Roman"/>
                <w:snapToGrid w:val="0"/>
                <w:color w:val="000000" w:themeColor="text1"/>
                <w:kern w:val="21"/>
                <w:szCs w:val="21"/>
                <w:lang w:val="en-US" w:eastAsia="zh-CN"/>
              </w:rPr>
              <w:t>/</w:t>
            </w:r>
          </w:p>
        </w:tc>
        <w:tc>
          <w:tcPr>
            <w:tcW w:w="1190" w:type="dxa"/>
            <w:vAlign w:val="center"/>
          </w:tcPr>
          <w:p w14:paraId="4FEA69A7">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hint="eastAsia" w:ascii="Times New Roman" w:hAnsi="Times New Roman" w:eastAsia="宋体"/>
                <w:snapToGrid w:val="0"/>
                <w:color w:val="000000" w:themeColor="text1"/>
                <w:kern w:val="21"/>
                <w:szCs w:val="21"/>
                <w:lang w:val="en-US" w:eastAsia="zh-CN"/>
              </w:rPr>
            </w:pPr>
            <w:r>
              <w:rPr>
                <w:rFonts w:hint="eastAsia" w:ascii="Times New Roman" w:hAnsi="Times New Roman"/>
                <w:snapToGrid w:val="0"/>
                <w:color w:val="000000" w:themeColor="text1"/>
                <w:kern w:val="21"/>
                <w:szCs w:val="21"/>
                <w:lang w:val="en-US" w:eastAsia="zh-CN"/>
              </w:rPr>
              <w:t>/</w:t>
            </w:r>
          </w:p>
        </w:tc>
        <w:tc>
          <w:tcPr>
            <w:tcW w:w="1701" w:type="dxa"/>
            <w:vAlign w:val="center"/>
          </w:tcPr>
          <w:p w14:paraId="5FD3E6E3">
            <w:pPr>
              <w:pStyle w:val="47"/>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textAlignment w:val="auto"/>
              <w:rPr>
                <w:rFonts w:hint="eastAsia" w:ascii="Times New Roman" w:hAnsi="Times New Roman" w:eastAsia="宋体"/>
                <w:snapToGrid w:val="0"/>
                <w:color w:val="000000" w:themeColor="text1"/>
                <w:kern w:val="21"/>
                <w:szCs w:val="21"/>
                <w:lang w:val="en-US" w:eastAsia="zh-CN"/>
              </w:rPr>
            </w:pPr>
            <w:r>
              <w:rPr>
                <w:rFonts w:hint="eastAsia" w:ascii="Times New Roman" w:hAnsi="Times New Roman"/>
                <w:snapToGrid w:val="0"/>
                <w:color w:val="000000" w:themeColor="text1"/>
                <w:kern w:val="21"/>
                <w:szCs w:val="21"/>
                <w:lang w:val="en-US" w:eastAsia="zh-CN"/>
              </w:rPr>
              <w:t>/</w:t>
            </w:r>
          </w:p>
        </w:tc>
        <w:tc>
          <w:tcPr>
            <w:tcW w:w="1559" w:type="dxa"/>
            <w:shd w:val="clear" w:color="auto" w:fill="auto"/>
            <w:vAlign w:val="center"/>
          </w:tcPr>
          <w:p w14:paraId="73260139">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1.0</w:t>
            </w:r>
          </w:p>
        </w:tc>
        <w:tc>
          <w:tcPr>
            <w:tcW w:w="1424" w:type="dxa"/>
            <w:vAlign w:val="center"/>
          </w:tcPr>
          <w:p w14:paraId="288FD05D">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hint="eastAsia" w:ascii="Times New Roman" w:hAnsi="Times New Roman" w:eastAsia="宋体"/>
                <w:bCs/>
                <w:snapToGrid w:val="0"/>
                <w:color w:val="000000" w:themeColor="text1"/>
                <w:kern w:val="21"/>
                <w:szCs w:val="21"/>
                <w:lang w:val="en-US" w:eastAsia="zh-CN"/>
              </w:rPr>
            </w:pPr>
            <w:r>
              <w:rPr>
                <w:rFonts w:hint="eastAsia" w:ascii="Times New Roman" w:hAnsi="Times New Roman"/>
                <w:bCs/>
                <w:snapToGrid w:val="0"/>
                <w:color w:val="000000" w:themeColor="text1"/>
                <w:kern w:val="21"/>
                <w:szCs w:val="21"/>
                <w:lang w:val="en-US" w:eastAsia="zh-CN"/>
              </w:rPr>
              <w:t>/</w:t>
            </w:r>
          </w:p>
        </w:tc>
        <w:tc>
          <w:tcPr>
            <w:tcW w:w="1843" w:type="dxa"/>
            <w:shd w:val="clear" w:color="auto" w:fill="auto"/>
            <w:vAlign w:val="center"/>
          </w:tcPr>
          <w:p w14:paraId="536E728C">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1.0</w:t>
            </w:r>
          </w:p>
        </w:tc>
        <w:tc>
          <w:tcPr>
            <w:tcW w:w="1279" w:type="dxa"/>
            <w:vAlign w:val="center"/>
          </w:tcPr>
          <w:p w14:paraId="77DF2EDE">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+1.0</w:t>
            </w:r>
          </w:p>
        </w:tc>
      </w:tr>
      <w:tr w14:paraId="1C0A85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 w:type="dxa"/>
            <w:vMerge w:val="continue"/>
            <w:vAlign w:val="center"/>
          </w:tcPr>
          <w:p w14:paraId="30D4175D">
            <w:pPr>
              <w:pStyle w:val="47"/>
              <w:spacing w:before="31" w:after="31" w:line="240" w:lineRule="auto"/>
              <w:ind w:left="420" w:hanging="420"/>
              <w:rPr>
                <w:rFonts w:ascii="Times New Roman" w:hAnsi="Times New Roman"/>
                <w:snapToGrid w:val="0"/>
                <w:color w:val="000000" w:themeColor="text1"/>
                <w:kern w:val="21"/>
                <w:szCs w:val="21"/>
              </w:rPr>
            </w:pPr>
          </w:p>
        </w:tc>
        <w:tc>
          <w:tcPr>
            <w:tcW w:w="2279" w:type="dxa"/>
            <w:shd w:val="clear" w:color="auto" w:fill="auto"/>
            <w:vAlign w:val="center"/>
          </w:tcPr>
          <w:p w14:paraId="32C09F69">
            <w:pPr>
              <w:keepNext w:val="0"/>
              <w:keepLines w:val="0"/>
              <w:pageBreakBefore w:val="0"/>
              <w:kinsoku/>
              <w:wordWrap/>
              <w:overflowPunct/>
              <w:topLinePunct w:val="0"/>
              <w:autoSpaceDE/>
              <w:autoSpaceDN/>
              <w:bidi w:val="0"/>
              <w:spacing w:before="40" w:after="40"/>
              <w:ind w:left="0"/>
              <w:jc w:val="center"/>
              <w:textAlignment w:val="auto"/>
              <w:rPr>
                <w:rFonts w:hint="default"/>
                <w:color w:val="000000" w:themeColor="text1"/>
                <w:szCs w:val="21"/>
                <w:lang w:val="en-US" w:eastAsia="zh-CN"/>
              </w:rPr>
            </w:pPr>
            <w:r>
              <w:rPr>
                <w:rFonts w:hint="eastAsia"/>
                <w:color w:val="000000" w:themeColor="text1"/>
                <w:szCs w:val="21"/>
                <w:lang w:val="en-US" w:eastAsia="zh-CN"/>
              </w:rPr>
              <w:t>废紫外线灯管</w:t>
            </w:r>
          </w:p>
        </w:tc>
        <w:tc>
          <w:tcPr>
            <w:tcW w:w="1563" w:type="dxa"/>
            <w:vAlign w:val="center"/>
          </w:tcPr>
          <w:p w14:paraId="4B9F737A">
            <w:pPr>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jc w:val="center"/>
              <w:textAlignment w:val="auto"/>
              <w:rPr>
                <w:rFonts w:hint="eastAsia" w:ascii="Times New Roman" w:hAnsi="Times New Roman"/>
                <w:snapToGrid w:val="0"/>
                <w:color w:val="000000" w:themeColor="text1"/>
                <w:kern w:val="21"/>
                <w:szCs w:val="21"/>
                <w:lang w:val="en-US" w:eastAsia="zh-CN"/>
              </w:rPr>
            </w:pPr>
            <w:r>
              <w:rPr>
                <w:rFonts w:hint="eastAsia" w:ascii="Times New Roman" w:hAnsi="Times New Roman"/>
                <w:bCs/>
                <w:snapToGrid w:val="0"/>
                <w:color w:val="000000" w:themeColor="text1"/>
                <w:kern w:val="21"/>
                <w:szCs w:val="21"/>
                <w:lang w:val="en-US" w:eastAsia="zh-CN"/>
              </w:rPr>
              <w:t>/</w:t>
            </w:r>
          </w:p>
        </w:tc>
        <w:tc>
          <w:tcPr>
            <w:tcW w:w="1190" w:type="dxa"/>
            <w:vAlign w:val="center"/>
          </w:tcPr>
          <w:p w14:paraId="5ED1125A">
            <w:pPr>
              <w:keepNext w:val="0"/>
              <w:keepLines w:val="0"/>
              <w:pageBreakBefore w:val="0"/>
              <w:tabs>
                <w:tab w:val="left" w:pos="541"/>
              </w:tabs>
              <w:kinsoku/>
              <w:wordWrap/>
              <w:overflowPunct/>
              <w:topLinePunct w:val="0"/>
              <w:autoSpaceDE/>
              <w:autoSpaceDN/>
              <w:bidi w:val="0"/>
              <w:spacing w:before="40" w:beforeLines="0" w:after="40" w:afterLines="0" w:line="240" w:lineRule="auto"/>
              <w:jc w:val="center"/>
              <w:textAlignment w:val="auto"/>
              <w:rPr>
                <w:rFonts w:hint="default" w:ascii="Times New Roman" w:hAnsi="Times New Roman"/>
                <w:snapToGrid w:val="0"/>
                <w:color w:val="000000" w:themeColor="text1"/>
                <w:kern w:val="21"/>
                <w:szCs w:val="21"/>
                <w:lang w:val="en-US" w:eastAsia="zh-CN"/>
              </w:rPr>
            </w:pPr>
            <w:r>
              <w:rPr>
                <w:rFonts w:hint="eastAsia"/>
                <w:snapToGrid w:val="0"/>
                <w:color w:val="000000" w:themeColor="text1"/>
                <w:kern w:val="21"/>
                <w:szCs w:val="21"/>
                <w:lang w:val="en-US" w:eastAsia="zh-CN"/>
              </w:rPr>
              <w:t>/</w:t>
            </w:r>
          </w:p>
        </w:tc>
        <w:tc>
          <w:tcPr>
            <w:tcW w:w="1701" w:type="dxa"/>
            <w:vAlign w:val="center"/>
          </w:tcPr>
          <w:p w14:paraId="1EE1ABF7">
            <w:pPr>
              <w:keepNext w:val="0"/>
              <w:keepLines w:val="0"/>
              <w:pageBreakBefore w:val="0"/>
              <w:kinsoku/>
              <w:wordWrap/>
              <w:overflowPunct/>
              <w:topLinePunct w:val="0"/>
              <w:autoSpaceDE/>
              <w:autoSpaceDN/>
              <w:bidi w:val="0"/>
              <w:spacing w:before="40" w:beforeLines="0" w:after="40" w:afterLines="0" w:line="240" w:lineRule="auto"/>
              <w:ind w:left="420" w:leftChars="0" w:hanging="420" w:hangingChars="200"/>
              <w:jc w:val="center"/>
              <w:textAlignment w:val="auto"/>
              <w:rPr>
                <w:rFonts w:hint="eastAsia" w:ascii="Times New Roman" w:hAnsi="Times New Roman"/>
                <w:snapToGrid w:val="0"/>
                <w:color w:val="000000" w:themeColor="text1"/>
                <w:kern w:val="21"/>
                <w:szCs w:val="21"/>
                <w:lang w:val="en-US" w:eastAsia="zh-CN"/>
              </w:rPr>
            </w:pPr>
            <w:r>
              <w:rPr>
                <w:rFonts w:hint="eastAsia" w:ascii="Times New Roman" w:hAnsi="Times New Roman"/>
                <w:bCs/>
                <w:snapToGrid w:val="0"/>
                <w:color w:val="000000" w:themeColor="text1"/>
                <w:kern w:val="21"/>
                <w:szCs w:val="21"/>
                <w:lang w:val="en-US" w:eastAsia="zh-CN"/>
              </w:rPr>
              <w:t>/</w:t>
            </w:r>
          </w:p>
        </w:tc>
        <w:tc>
          <w:tcPr>
            <w:tcW w:w="1559" w:type="dxa"/>
            <w:shd w:val="clear" w:color="auto" w:fill="auto"/>
            <w:vAlign w:val="center"/>
          </w:tcPr>
          <w:p w14:paraId="3ADC59CA">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0.002</w:t>
            </w:r>
          </w:p>
        </w:tc>
        <w:tc>
          <w:tcPr>
            <w:tcW w:w="1424" w:type="dxa"/>
            <w:vAlign w:val="center"/>
          </w:tcPr>
          <w:p w14:paraId="78061C0F">
            <w:pPr>
              <w:pStyle w:val="47"/>
              <w:keepNext w:val="0"/>
              <w:keepLines w:val="0"/>
              <w:pageBreakBefore w:val="0"/>
              <w:kinsoku/>
              <w:wordWrap/>
              <w:overflowPunct/>
              <w:topLinePunct w:val="0"/>
              <w:autoSpaceDE/>
              <w:autoSpaceDN/>
              <w:bidi w:val="0"/>
              <w:spacing w:before="40" w:beforeLines="0" w:after="40" w:afterLines="0" w:line="240" w:lineRule="auto"/>
              <w:ind w:left="0" w:hanging="420"/>
              <w:textAlignment w:val="auto"/>
              <w:rPr>
                <w:rFonts w:hint="eastAsia" w:ascii="Times New Roman" w:hAnsi="Times New Roman"/>
                <w:bCs/>
                <w:snapToGrid w:val="0"/>
                <w:color w:val="000000" w:themeColor="text1"/>
                <w:kern w:val="21"/>
                <w:szCs w:val="21"/>
                <w:lang w:val="en-US" w:eastAsia="zh-CN"/>
              </w:rPr>
            </w:pPr>
            <w:r>
              <w:rPr>
                <w:rFonts w:hint="eastAsia" w:ascii="Times New Roman" w:hAnsi="Times New Roman"/>
                <w:bCs/>
                <w:snapToGrid w:val="0"/>
                <w:color w:val="000000" w:themeColor="text1"/>
                <w:kern w:val="21"/>
                <w:szCs w:val="21"/>
                <w:lang w:val="en-US" w:eastAsia="zh-CN"/>
              </w:rPr>
              <w:t>/</w:t>
            </w:r>
          </w:p>
        </w:tc>
        <w:tc>
          <w:tcPr>
            <w:tcW w:w="1843" w:type="dxa"/>
            <w:shd w:val="clear" w:color="auto" w:fill="auto"/>
            <w:vAlign w:val="center"/>
          </w:tcPr>
          <w:p w14:paraId="398FB705">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0.002</w:t>
            </w:r>
          </w:p>
        </w:tc>
        <w:tc>
          <w:tcPr>
            <w:tcW w:w="1279" w:type="dxa"/>
            <w:vAlign w:val="center"/>
          </w:tcPr>
          <w:p w14:paraId="0CBE59B9">
            <w:pPr>
              <w:keepNext w:val="0"/>
              <w:keepLines w:val="0"/>
              <w:pageBreakBefore w:val="0"/>
              <w:kinsoku/>
              <w:wordWrap/>
              <w:overflowPunct/>
              <w:topLinePunct w:val="0"/>
              <w:autoSpaceDE/>
              <w:autoSpaceDN/>
              <w:bidi w:val="0"/>
              <w:adjustRightInd w:val="0"/>
              <w:snapToGrid w:val="0"/>
              <w:spacing w:before="40" w:after="40"/>
              <w:ind w:left="0"/>
              <w:jc w:val="center"/>
              <w:textAlignment w:val="auto"/>
              <w:rPr>
                <w:rFonts w:hint="default"/>
                <w:bCs/>
                <w:color w:val="000000" w:themeColor="text1"/>
                <w:spacing w:val="-10"/>
                <w:szCs w:val="21"/>
                <w:lang w:val="en-US" w:eastAsia="zh-CN"/>
              </w:rPr>
            </w:pPr>
            <w:r>
              <w:rPr>
                <w:rFonts w:hint="eastAsia"/>
                <w:bCs/>
                <w:color w:val="000000" w:themeColor="text1"/>
                <w:spacing w:val="-10"/>
                <w:szCs w:val="21"/>
                <w:lang w:val="en-US" w:eastAsia="zh-CN"/>
              </w:rPr>
              <w:t>+0.002</w:t>
            </w:r>
          </w:p>
        </w:tc>
      </w:tr>
    </w:tbl>
    <w:p w14:paraId="104091F9">
      <w:pPr>
        <w:pStyle w:val="47"/>
        <w:keepNext w:val="0"/>
        <w:keepLines w:val="0"/>
        <w:pageBreakBefore w:val="0"/>
        <w:widowControl w:val="0"/>
        <w:kinsoku/>
        <w:wordWrap/>
        <w:overflowPunct/>
        <w:topLinePunct w:val="0"/>
        <w:autoSpaceDE/>
        <w:autoSpaceDN/>
        <w:bidi w:val="0"/>
        <w:adjustRightInd w:val="0"/>
        <w:snapToGrid w:val="0"/>
        <w:spacing w:beforeLines="0" w:afterLines="0" w:line="260" w:lineRule="auto"/>
        <w:ind w:left="0" w:hanging="420"/>
        <w:jc w:val="left"/>
        <w:textAlignment w:val="auto"/>
        <w:rPr>
          <w:rFonts w:hint="eastAsia" w:eastAsia="宋体"/>
          <w:lang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ascii="Times New Roman" w:hAnsi="Times New Roman"/>
          <w:snapToGrid w:val="0"/>
          <w:color w:val="000000" w:themeColor="text1"/>
          <w:kern w:val="21"/>
          <w:szCs w:val="21"/>
        </w:rPr>
        <w:t>注：</w:t>
      </w:r>
      <w:r>
        <w:rPr>
          <w:rFonts w:ascii="Times New Roman" w:hAnsi="Times New Roman"/>
          <w:snapToGrid w:val="0"/>
          <w:color w:val="000000" w:themeColor="text1"/>
          <w:spacing w:val="-16"/>
          <w:kern w:val="21"/>
          <w:szCs w:val="21"/>
        </w:rPr>
        <w:fldChar w:fldCharType="begin"/>
      </w:r>
      <w:r>
        <w:rPr>
          <w:rFonts w:ascii="Times New Roman" w:hAnsi="Times New Roman"/>
          <w:snapToGrid w:val="0"/>
          <w:color w:val="000000" w:themeColor="text1"/>
          <w:spacing w:val="-16"/>
          <w:kern w:val="21"/>
          <w:szCs w:val="21"/>
        </w:rPr>
        <w:instrText xml:space="preserve"> = 6 \* GB3 \* MERGEFORMAT </w:instrText>
      </w:r>
      <w:r>
        <w:rPr>
          <w:rFonts w:ascii="Times New Roman" w:hAnsi="Times New Roman"/>
          <w:snapToGrid w:val="0"/>
          <w:color w:val="000000" w:themeColor="text1"/>
          <w:spacing w:val="-16"/>
          <w:kern w:val="21"/>
          <w:szCs w:val="21"/>
        </w:rPr>
        <w:fldChar w:fldCharType="separate"/>
      </w:r>
      <w:r>
        <w:rPr>
          <w:rFonts w:hint="eastAsia" w:cs="宋体"/>
          <w:color w:val="000000" w:themeColor="text1"/>
          <w:szCs w:val="21"/>
        </w:rPr>
        <w:t>⑥</w:t>
      </w:r>
      <w:r>
        <w:rPr>
          <w:rFonts w:ascii="Times New Roman" w:hAnsi="Times New Roman"/>
          <w:snapToGrid w:val="0"/>
          <w:color w:val="000000" w:themeColor="text1"/>
          <w:spacing w:val="-16"/>
          <w:kern w:val="21"/>
          <w:szCs w:val="21"/>
        </w:rPr>
        <w:fldChar w:fldCharType="end"/>
      </w:r>
      <w:r>
        <w:rPr>
          <w:rFonts w:ascii="Times New Roman" w:hAnsi="Times New Roman"/>
          <w:snapToGrid w:val="0"/>
          <w:color w:val="000000" w:themeColor="text1"/>
          <w:spacing w:val="-16"/>
          <w:kern w:val="21"/>
          <w:szCs w:val="21"/>
        </w:rPr>
        <w:t>=</w:t>
      </w:r>
      <w:r>
        <w:rPr>
          <w:rFonts w:ascii="Times New Roman" w:hAnsi="Times New Roman"/>
          <w:snapToGrid w:val="0"/>
          <w:color w:val="000000" w:themeColor="text1"/>
          <w:spacing w:val="-6"/>
          <w:kern w:val="21"/>
          <w:szCs w:val="21"/>
        </w:rPr>
        <w:fldChar w:fldCharType="begin"/>
      </w:r>
      <w:r>
        <w:rPr>
          <w:rFonts w:ascii="Times New Roman" w:hAnsi="Times New Roman"/>
          <w:snapToGrid w:val="0"/>
          <w:color w:val="000000" w:themeColor="text1"/>
          <w:spacing w:val="-6"/>
          <w:kern w:val="21"/>
          <w:szCs w:val="21"/>
        </w:rPr>
        <w:instrText xml:space="preserve"> = 1 \* GB3 \* MERGEFORMAT </w:instrText>
      </w:r>
      <w:r>
        <w:rPr>
          <w:rFonts w:ascii="Times New Roman" w:hAnsi="Times New Roman"/>
          <w:snapToGrid w:val="0"/>
          <w:color w:val="000000" w:themeColor="text1"/>
          <w:spacing w:val="-6"/>
          <w:kern w:val="21"/>
          <w:szCs w:val="21"/>
        </w:rPr>
        <w:fldChar w:fldCharType="separate"/>
      </w:r>
      <w:r>
        <w:rPr>
          <w:rFonts w:hint="eastAsia" w:cs="宋体"/>
          <w:color w:val="000000" w:themeColor="text1"/>
          <w:szCs w:val="21"/>
        </w:rPr>
        <w:t>①</w:t>
      </w:r>
      <w:r>
        <w:rPr>
          <w:rFonts w:ascii="Times New Roman" w:hAnsi="Times New Roman"/>
          <w:snapToGrid w:val="0"/>
          <w:color w:val="000000" w:themeColor="text1"/>
          <w:spacing w:val="-6"/>
          <w:kern w:val="21"/>
          <w:szCs w:val="21"/>
        </w:rPr>
        <w:fldChar w:fldCharType="end"/>
      </w:r>
      <w:r>
        <w:rPr>
          <w:rFonts w:ascii="Times New Roman" w:hAnsi="Times New Roman"/>
          <w:snapToGrid w:val="0"/>
          <w:color w:val="000000" w:themeColor="text1"/>
          <w:spacing w:val="-6"/>
          <w:kern w:val="21"/>
          <w:szCs w:val="21"/>
        </w:rPr>
        <w:t>+</w:t>
      </w:r>
      <w:r>
        <w:rPr>
          <w:rFonts w:ascii="Times New Roman" w:hAnsi="Times New Roman"/>
          <w:snapToGrid w:val="0"/>
          <w:color w:val="000000" w:themeColor="text1"/>
          <w:spacing w:val="-6"/>
          <w:kern w:val="21"/>
          <w:szCs w:val="21"/>
        </w:rPr>
        <w:fldChar w:fldCharType="begin"/>
      </w:r>
      <w:r>
        <w:rPr>
          <w:rFonts w:ascii="Times New Roman" w:hAnsi="Times New Roman"/>
          <w:snapToGrid w:val="0"/>
          <w:color w:val="000000" w:themeColor="text1"/>
          <w:spacing w:val="-6"/>
          <w:kern w:val="21"/>
          <w:szCs w:val="21"/>
        </w:rPr>
        <w:instrText xml:space="preserve"> = 3 \* GB3 \* MERGEFORMAT </w:instrText>
      </w:r>
      <w:r>
        <w:rPr>
          <w:rFonts w:ascii="Times New Roman" w:hAnsi="Times New Roman"/>
          <w:snapToGrid w:val="0"/>
          <w:color w:val="000000" w:themeColor="text1"/>
          <w:spacing w:val="-6"/>
          <w:kern w:val="21"/>
          <w:szCs w:val="21"/>
        </w:rPr>
        <w:fldChar w:fldCharType="separate"/>
      </w:r>
      <w:r>
        <w:rPr>
          <w:rFonts w:hint="eastAsia" w:cs="宋体"/>
          <w:color w:val="000000" w:themeColor="text1"/>
          <w:szCs w:val="21"/>
        </w:rPr>
        <w:t>③</w:t>
      </w:r>
      <w:r>
        <w:rPr>
          <w:rFonts w:ascii="Times New Roman" w:hAnsi="Times New Roman"/>
          <w:snapToGrid w:val="0"/>
          <w:color w:val="000000" w:themeColor="text1"/>
          <w:spacing w:val="-6"/>
          <w:kern w:val="21"/>
          <w:szCs w:val="21"/>
        </w:rPr>
        <w:fldChar w:fldCharType="end"/>
      </w:r>
      <w:r>
        <w:rPr>
          <w:rFonts w:ascii="Times New Roman" w:hAnsi="Times New Roman"/>
          <w:snapToGrid w:val="0"/>
          <w:color w:val="000000" w:themeColor="text1"/>
          <w:spacing w:val="-6"/>
          <w:kern w:val="21"/>
          <w:szCs w:val="21"/>
        </w:rPr>
        <w:t>+</w:t>
      </w:r>
      <w:r>
        <w:rPr>
          <w:rFonts w:ascii="Times New Roman" w:hAnsi="Times New Roman"/>
          <w:snapToGrid w:val="0"/>
          <w:color w:val="000000" w:themeColor="text1"/>
          <w:spacing w:val="-6"/>
          <w:kern w:val="21"/>
          <w:szCs w:val="21"/>
        </w:rPr>
        <w:fldChar w:fldCharType="begin"/>
      </w:r>
      <w:r>
        <w:rPr>
          <w:rFonts w:ascii="Times New Roman" w:hAnsi="Times New Roman"/>
          <w:snapToGrid w:val="0"/>
          <w:color w:val="000000" w:themeColor="text1"/>
          <w:spacing w:val="-6"/>
          <w:kern w:val="21"/>
          <w:szCs w:val="21"/>
        </w:rPr>
        <w:instrText xml:space="preserve"> = 4 \* GB3 \* MERGEFORMAT </w:instrText>
      </w:r>
      <w:r>
        <w:rPr>
          <w:rFonts w:ascii="Times New Roman" w:hAnsi="Times New Roman"/>
          <w:snapToGrid w:val="0"/>
          <w:color w:val="000000" w:themeColor="text1"/>
          <w:spacing w:val="-6"/>
          <w:kern w:val="21"/>
          <w:szCs w:val="21"/>
        </w:rPr>
        <w:fldChar w:fldCharType="separate"/>
      </w:r>
      <w:r>
        <w:rPr>
          <w:rFonts w:hint="eastAsia" w:cs="宋体"/>
          <w:color w:val="000000" w:themeColor="text1"/>
          <w:szCs w:val="21"/>
        </w:rPr>
        <w:t>④</w:t>
      </w:r>
      <w:r>
        <w:rPr>
          <w:rFonts w:ascii="Times New Roman" w:hAnsi="Times New Roman"/>
          <w:snapToGrid w:val="0"/>
          <w:color w:val="000000" w:themeColor="text1"/>
          <w:spacing w:val="-6"/>
          <w:kern w:val="21"/>
          <w:szCs w:val="21"/>
        </w:rPr>
        <w:fldChar w:fldCharType="end"/>
      </w:r>
      <w:r>
        <w:rPr>
          <w:rFonts w:ascii="Times New Roman" w:hAnsi="Times New Roman"/>
          <w:snapToGrid w:val="0"/>
          <w:color w:val="000000" w:themeColor="text1"/>
          <w:spacing w:val="-6"/>
          <w:kern w:val="21"/>
          <w:szCs w:val="21"/>
        </w:rPr>
        <w:t>-</w:t>
      </w:r>
      <w:r>
        <w:rPr>
          <w:rFonts w:ascii="Times New Roman" w:hAnsi="Times New Roman"/>
          <w:snapToGrid w:val="0"/>
          <w:color w:val="000000" w:themeColor="text1"/>
          <w:spacing w:val="-16"/>
          <w:kern w:val="21"/>
          <w:szCs w:val="21"/>
        </w:rPr>
        <w:fldChar w:fldCharType="begin"/>
      </w:r>
      <w:r>
        <w:rPr>
          <w:rFonts w:ascii="Times New Roman" w:hAnsi="Times New Roman"/>
          <w:snapToGrid w:val="0"/>
          <w:color w:val="000000" w:themeColor="text1"/>
          <w:spacing w:val="-16"/>
          <w:kern w:val="21"/>
          <w:szCs w:val="21"/>
        </w:rPr>
        <w:instrText xml:space="preserve"> = 5 \* GB3 \* MERGEFORMAT </w:instrText>
      </w:r>
      <w:r>
        <w:rPr>
          <w:rFonts w:ascii="Times New Roman" w:hAnsi="Times New Roman"/>
          <w:snapToGrid w:val="0"/>
          <w:color w:val="000000" w:themeColor="text1"/>
          <w:spacing w:val="-16"/>
          <w:kern w:val="21"/>
          <w:szCs w:val="21"/>
        </w:rPr>
        <w:fldChar w:fldCharType="separate"/>
      </w:r>
      <w:r>
        <w:rPr>
          <w:rFonts w:hint="eastAsia" w:cs="宋体"/>
          <w:color w:val="000000" w:themeColor="text1"/>
          <w:szCs w:val="21"/>
        </w:rPr>
        <w:t>⑤</w:t>
      </w:r>
      <w:r>
        <w:rPr>
          <w:rFonts w:ascii="Times New Roman" w:hAnsi="Times New Roman"/>
          <w:snapToGrid w:val="0"/>
          <w:color w:val="000000" w:themeColor="text1"/>
          <w:spacing w:val="-16"/>
          <w:kern w:val="21"/>
          <w:szCs w:val="21"/>
        </w:rPr>
        <w:fldChar w:fldCharType="end"/>
      </w:r>
      <w:r>
        <w:rPr>
          <w:rFonts w:ascii="Times New Roman" w:hAnsi="Times New Roman"/>
          <w:snapToGrid w:val="0"/>
          <w:color w:val="000000" w:themeColor="text1"/>
          <w:spacing w:val="-16"/>
          <w:kern w:val="21"/>
          <w:szCs w:val="21"/>
        </w:rPr>
        <w:t>；</w:t>
      </w:r>
      <w:r>
        <w:rPr>
          <w:rFonts w:ascii="Times New Roman" w:hAnsi="Times New Roman"/>
          <w:snapToGrid w:val="0"/>
          <w:color w:val="000000" w:themeColor="text1"/>
          <w:spacing w:val="-6"/>
          <w:kern w:val="21"/>
          <w:szCs w:val="21"/>
        </w:rPr>
        <w:fldChar w:fldCharType="begin"/>
      </w:r>
      <w:r>
        <w:rPr>
          <w:rFonts w:ascii="Times New Roman" w:hAnsi="Times New Roman"/>
          <w:snapToGrid w:val="0"/>
          <w:color w:val="000000" w:themeColor="text1"/>
          <w:spacing w:val="-6"/>
          <w:kern w:val="21"/>
          <w:szCs w:val="21"/>
        </w:rPr>
        <w:instrText xml:space="preserve"> = 7 \* GB3 \* MERGEFORMAT </w:instrText>
      </w:r>
      <w:r>
        <w:rPr>
          <w:rFonts w:ascii="Times New Roman" w:hAnsi="Times New Roman"/>
          <w:snapToGrid w:val="0"/>
          <w:color w:val="000000" w:themeColor="text1"/>
          <w:spacing w:val="-6"/>
          <w:kern w:val="21"/>
          <w:szCs w:val="21"/>
        </w:rPr>
        <w:fldChar w:fldCharType="separate"/>
      </w:r>
      <w:r>
        <w:rPr>
          <w:rFonts w:hint="eastAsia" w:cs="宋体"/>
          <w:color w:val="000000" w:themeColor="text1"/>
          <w:szCs w:val="21"/>
        </w:rPr>
        <w:t>⑦</w:t>
      </w:r>
      <w:r>
        <w:rPr>
          <w:rFonts w:ascii="Times New Roman" w:hAnsi="Times New Roman"/>
          <w:snapToGrid w:val="0"/>
          <w:color w:val="000000" w:themeColor="text1"/>
          <w:spacing w:val="-6"/>
          <w:kern w:val="21"/>
          <w:szCs w:val="21"/>
        </w:rPr>
        <w:fldChar w:fldCharType="end"/>
      </w:r>
      <w:r>
        <w:rPr>
          <w:rFonts w:ascii="Times New Roman" w:hAnsi="Times New Roman"/>
          <w:snapToGrid w:val="0"/>
          <w:color w:val="000000" w:themeColor="text1"/>
          <w:spacing w:val="-6"/>
          <w:kern w:val="21"/>
          <w:szCs w:val="21"/>
        </w:rPr>
        <w:t>=</w:t>
      </w:r>
      <w:r>
        <w:rPr>
          <w:rFonts w:ascii="Times New Roman" w:hAnsi="Times New Roman"/>
          <w:snapToGrid w:val="0"/>
          <w:color w:val="000000" w:themeColor="text1"/>
          <w:spacing w:val="-16"/>
          <w:kern w:val="21"/>
          <w:szCs w:val="21"/>
        </w:rPr>
        <w:fldChar w:fldCharType="begin"/>
      </w:r>
      <w:r>
        <w:rPr>
          <w:rFonts w:ascii="Times New Roman" w:hAnsi="Times New Roman"/>
          <w:snapToGrid w:val="0"/>
          <w:color w:val="000000" w:themeColor="text1"/>
          <w:spacing w:val="-16"/>
          <w:kern w:val="21"/>
          <w:szCs w:val="21"/>
        </w:rPr>
        <w:instrText xml:space="preserve"> = 6 \* GB3 \* MERGEFORMAT </w:instrText>
      </w:r>
      <w:r>
        <w:rPr>
          <w:rFonts w:ascii="Times New Roman" w:hAnsi="Times New Roman"/>
          <w:snapToGrid w:val="0"/>
          <w:color w:val="000000" w:themeColor="text1"/>
          <w:spacing w:val="-16"/>
          <w:kern w:val="21"/>
          <w:szCs w:val="21"/>
        </w:rPr>
        <w:fldChar w:fldCharType="separate"/>
      </w:r>
      <w:r>
        <w:rPr>
          <w:rFonts w:hint="eastAsia" w:cs="宋体"/>
          <w:color w:val="000000" w:themeColor="text1"/>
          <w:szCs w:val="21"/>
        </w:rPr>
        <w:t>⑥</w:t>
      </w:r>
      <w:r>
        <w:rPr>
          <w:rFonts w:ascii="Times New Roman" w:hAnsi="Times New Roman"/>
          <w:snapToGrid w:val="0"/>
          <w:color w:val="000000" w:themeColor="text1"/>
          <w:spacing w:val="-16"/>
          <w:kern w:val="21"/>
          <w:szCs w:val="21"/>
        </w:rPr>
        <w:fldChar w:fldCharType="end"/>
      </w:r>
      <w:r>
        <w:rPr>
          <w:rFonts w:ascii="Times New Roman" w:hAnsi="Times New Roman"/>
          <w:snapToGrid w:val="0"/>
          <w:color w:val="000000" w:themeColor="text1"/>
          <w:spacing w:val="-16"/>
          <w:kern w:val="21"/>
          <w:szCs w:val="21"/>
        </w:rPr>
        <w:t>-</w:t>
      </w:r>
      <w:r>
        <w:rPr>
          <w:rFonts w:ascii="Times New Roman" w:hAnsi="Times New Roman"/>
          <w:snapToGrid w:val="0"/>
          <w:color w:val="000000" w:themeColor="text1"/>
          <w:spacing w:val="-6"/>
          <w:kern w:val="21"/>
          <w:szCs w:val="21"/>
        </w:rPr>
        <w:fldChar w:fldCharType="begin"/>
      </w:r>
      <w:r>
        <w:rPr>
          <w:rFonts w:ascii="Times New Roman" w:hAnsi="Times New Roman"/>
          <w:snapToGrid w:val="0"/>
          <w:color w:val="000000" w:themeColor="text1"/>
          <w:spacing w:val="-6"/>
          <w:kern w:val="21"/>
          <w:szCs w:val="21"/>
        </w:rPr>
        <w:instrText xml:space="preserve"> = 1 \* GB3 \* MERGEFORMAT </w:instrText>
      </w:r>
      <w:r>
        <w:rPr>
          <w:rFonts w:ascii="Times New Roman" w:hAnsi="Times New Roman"/>
          <w:snapToGrid w:val="0"/>
          <w:color w:val="000000" w:themeColor="text1"/>
          <w:spacing w:val="-6"/>
          <w:kern w:val="21"/>
          <w:szCs w:val="21"/>
        </w:rPr>
        <w:fldChar w:fldCharType="separate"/>
      </w:r>
      <w:r>
        <w:rPr>
          <w:rFonts w:hint="eastAsia" w:cs="宋体"/>
          <w:color w:val="000000" w:themeColor="text1"/>
          <w:szCs w:val="21"/>
        </w:rPr>
        <w:t>①</w:t>
      </w:r>
      <w:r>
        <w:rPr>
          <w:rFonts w:ascii="Times New Roman" w:hAnsi="Times New Roman"/>
          <w:snapToGrid w:val="0"/>
          <w:color w:val="000000" w:themeColor="text1"/>
          <w:spacing w:val="-6"/>
          <w:kern w:val="21"/>
          <w:szCs w:val="21"/>
        </w:rPr>
        <w:fldChar w:fldCharType="end"/>
      </w:r>
      <w:bookmarkStart w:id="22" w:name="_Hlk133158004"/>
      <w:bookmarkEnd w:id="22"/>
    </w:p>
    <w:p w14:paraId="097B8BE3">
      <w:pPr>
        <w:rPr>
          <w:rFonts w:hint="default"/>
          <w:lang w:val="en-US" w:eastAsia="zh-CN"/>
        </w:rPr>
      </w:pPr>
    </w:p>
    <w:sectPr>
      <w:pgSz w:w="11906" w:h="16838"/>
      <w:pgMar w:top="873" w:right="669" w:bottom="873" w:left="669"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DE"/>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39103">
    <w:pPr>
      <w:pStyle w:val="16"/>
      <w:ind w:right="7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DB939">
    <w:pPr>
      <w:pStyle w:val="16"/>
      <w:jc w:val="right"/>
      <w:rPr>
        <w:rFonts w:hint="eastAsia" w:eastAsia="宋体"/>
        <w:lang w:val="en-US" w:eastAsia="zh-CN"/>
      </w:rPr>
    </w:pPr>
    <w:r>
      <w:rPr>
        <w:sz w:val="18"/>
      </w:rPr>
      <w:pict>
        <v:shape id="_x0000_s3073" o:spid="_x0000_s3073"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BA5F0D7">
                <w:pPr>
                  <w:pStyle w:val="16"/>
                </w:pPr>
                <w:r>
                  <w:fldChar w:fldCharType="begin"/>
                </w:r>
                <w:r>
                  <w:instrText xml:space="preserve"> PAGE  \* MERGEFORMAT </w:instrText>
                </w:r>
                <w:r>
                  <w:fldChar w:fldCharType="separate"/>
                </w:r>
                <w:r>
                  <w:t>- 1 -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DECFE">
    <w:pPr>
      <w:pStyle w:val="16"/>
      <w:ind w:right="360" w:firstLine="360"/>
    </w:pPr>
    <w:r>
      <w:rPr>
        <w:sz w:val="18"/>
      </w:rPr>
      <w:pict>
        <v:shape id="_x0000_s3074" o:spid="_x0000_s3074"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5233260">
                <w:pPr>
                  <w:pStyle w:val="16"/>
                </w:pPr>
                <w:r>
                  <w:fldChar w:fldCharType="begin"/>
                </w:r>
                <w:r>
                  <w:instrText xml:space="preserve"> PAGE  \* MERGEFORMAT </w:instrText>
                </w:r>
                <w:r>
                  <w:fldChar w:fldCharType="separate"/>
                </w:r>
                <w:r>
                  <w:t>- 2 -</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84FED">
    <w:pPr>
      <w:pStyle w:val="16"/>
    </w:pPr>
    <w:r>
      <w:rPr>
        <w:sz w:val="18"/>
      </w:rPr>
      <w:pict>
        <v:shape id="_x0000_s3075" o:spid="_x0000_s3075"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87FA6A7">
                <w:pPr>
                  <w:pStyle w:val="16"/>
                </w:pPr>
                <w:r>
                  <w:fldChar w:fldCharType="begin"/>
                </w:r>
                <w:r>
                  <w:instrText xml:space="preserve"> PAGE  \* MERGEFORMAT </w:instrText>
                </w:r>
                <w:r>
                  <w:fldChar w:fldCharType="separate"/>
                </w:r>
                <w:r>
                  <w:t>- 21 -</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BFB4F">
    <w:pPr>
      <w:pStyle w:val="16"/>
      <w:rPr>
        <w:rFonts w:ascii="宋体" w:hAnsi="宋体"/>
        <w:sz w:val="26"/>
        <w:szCs w:val="26"/>
      </w:rPr>
    </w:pPr>
    <w:r>
      <w:rPr>
        <w:sz w:val="26"/>
      </w:rPr>
      <w:pict>
        <v:shape id="_x0000_s3076" o:spid="_x0000_s3076" o:spt="202" type="#_x0000_t202" style="position:absolute;left:0pt;margin-top:0pt;height:144pt;width:144pt;mso-position-horizontal:outside;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2E2C803F">
                <w:pPr>
                  <w:pStyle w:val="16"/>
                </w:pPr>
                <w:r>
                  <w:fldChar w:fldCharType="begin"/>
                </w:r>
                <w:r>
                  <w:instrText xml:space="preserve"> PAGE  \* MERGEFORMAT </w:instrText>
                </w:r>
                <w:r>
                  <w:fldChar w:fldCharType="separate"/>
                </w:r>
                <w:r>
                  <w:t>- 22 -</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5DD33">
    <w:pPr>
      <w:pStyle w:val="16"/>
      <w:jc w:val="right"/>
    </w:pPr>
    <w:r>
      <w:rPr>
        <w:sz w:val="18"/>
      </w:rPr>
      <w:pict>
        <v:shape id="_x0000_s3077" o:spid="_x0000_s3077" o:spt="202" type="#_x0000_t202" style="position:absolute;left:0pt;margin-top:0pt;height:144pt;width:144pt;mso-position-horizontal:outside;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5ED4DBA4">
                <w:pPr>
                  <w:pStyle w:val="16"/>
                </w:pPr>
                <w:r>
                  <w:fldChar w:fldCharType="begin"/>
                </w:r>
                <w:r>
                  <w:instrText xml:space="preserve"> PAGE  \* MERGEFORMAT </w:instrText>
                </w:r>
                <w:r>
                  <w:fldChar w:fldCharType="separate"/>
                </w:r>
                <w:r>
                  <w:t>- 43 -</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6599F9"/>
    <w:multiLevelType w:val="singleLevel"/>
    <w:tmpl w:val="9B6599F9"/>
    <w:lvl w:ilvl="0" w:tentative="0">
      <w:start w:val="1"/>
      <w:numFmt w:val="decimal"/>
      <w:suff w:val="nothing"/>
      <w:lvlText w:val="（%1）"/>
      <w:lvlJc w:val="left"/>
    </w:lvl>
  </w:abstractNum>
  <w:abstractNum w:abstractNumId="1">
    <w:nsid w:val="9D5D56E3"/>
    <w:multiLevelType w:val="singleLevel"/>
    <w:tmpl w:val="9D5D56E3"/>
    <w:lvl w:ilvl="0" w:tentative="0">
      <w:start w:val="17"/>
      <w:numFmt w:val="chineseCounting"/>
      <w:suff w:val="space"/>
      <w:lvlText w:val="第%1条"/>
      <w:lvlJc w:val="left"/>
      <w:rPr>
        <w:rFonts w:hint="eastAsia"/>
      </w:rPr>
    </w:lvl>
  </w:abstractNum>
  <w:abstractNum w:abstractNumId="2">
    <w:nsid w:val="B3C5CA7E"/>
    <w:multiLevelType w:val="singleLevel"/>
    <w:tmpl w:val="B3C5CA7E"/>
    <w:lvl w:ilvl="0" w:tentative="0">
      <w:start w:val="1"/>
      <w:numFmt w:val="decimal"/>
      <w:lvlText w:val="%1."/>
      <w:lvlJc w:val="left"/>
      <w:pPr>
        <w:tabs>
          <w:tab w:val="left" w:pos="312"/>
        </w:tabs>
      </w:pPr>
    </w:lvl>
  </w:abstractNum>
  <w:abstractNum w:abstractNumId="3">
    <w:nsid w:val="E5CFB8EE"/>
    <w:multiLevelType w:val="singleLevel"/>
    <w:tmpl w:val="E5CFB8EE"/>
    <w:lvl w:ilvl="0" w:tentative="0">
      <w:start w:val="1"/>
      <w:numFmt w:val="decimal"/>
      <w:suff w:val="nothing"/>
      <w:lvlText w:val="（%1）"/>
      <w:lvlJc w:val="left"/>
    </w:lvl>
  </w:abstractNum>
  <w:abstractNum w:abstractNumId="4">
    <w:nsid w:val="E880F09E"/>
    <w:multiLevelType w:val="singleLevel"/>
    <w:tmpl w:val="E880F09E"/>
    <w:lvl w:ilvl="0" w:tentative="0">
      <w:start w:val="1"/>
      <w:numFmt w:val="decimal"/>
      <w:suff w:val="nothing"/>
      <w:lvlText w:val="（%1）"/>
      <w:lvlJc w:val="left"/>
    </w:lvl>
  </w:abstractNum>
  <w:abstractNum w:abstractNumId="5">
    <w:nsid w:val="E8DC800A"/>
    <w:multiLevelType w:val="singleLevel"/>
    <w:tmpl w:val="E8DC800A"/>
    <w:lvl w:ilvl="0" w:tentative="0">
      <w:start w:val="1"/>
      <w:numFmt w:val="decimal"/>
      <w:suff w:val="nothing"/>
      <w:lvlText w:val="（%1）"/>
      <w:lvlJc w:val="left"/>
    </w:lvl>
  </w:abstractNum>
  <w:abstractNum w:abstractNumId="6">
    <w:nsid w:val="F320A5D6"/>
    <w:multiLevelType w:val="singleLevel"/>
    <w:tmpl w:val="F320A5D6"/>
    <w:lvl w:ilvl="0" w:tentative="0">
      <w:start w:val="1"/>
      <w:numFmt w:val="decimal"/>
      <w:suff w:val="nothing"/>
      <w:lvlText w:val="（%1）"/>
      <w:lvlJc w:val="left"/>
    </w:lvl>
  </w:abstractNum>
  <w:abstractNum w:abstractNumId="7">
    <w:nsid w:val="0C3751D1"/>
    <w:multiLevelType w:val="multilevel"/>
    <w:tmpl w:val="0C3751D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33EF1FC1"/>
    <w:multiLevelType w:val="multilevel"/>
    <w:tmpl w:val="33EF1FC1"/>
    <w:lvl w:ilvl="0" w:tentative="0">
      <w:start w:val="1"/>
      <w:numFmt w:val="decimal"/>
      <w:pStyle w:val="63"/>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2B20FD0"/>
    <w:multiLevelType w:val="multilevel"/>
    <w:tmpl w:val="62B20FD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1"/>
  </w:num>
  <w:num w:numId="3">
    <w:abstractNumId w:val="7"/>
  </w:num>
  <w:num w:numId="4">
    <w:abstractNumId w:val="5"/>
  </w:num>
  <w:num w:numId="5">
    <w:abstractNumId w:val="2"/>
  </w:num>
  <w:num w:numId="6">
    <w:abstractNumId w:val="9"/>
  </w:num>
  <w:num w:numId="7">
    <w:abstractNumId w:val="3"/>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attachedTemplate r:id="rId1"/>
  <w:documentProtection w:edit="trackedChanges"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WNmYzg1OGRiYmEwZTg1YzFjODIwN2Y1ZjFkOGI1OWQifQ=="/>
  </w:docVars>
  <w:rsids>
    <w:rsidRoot w:val="00A14947"/>
    <w:rsid w:val="00000BF1"/>
    <w:rsid w:val="00000FDD"/>
    <w:rsid w:val="0000196B"/>
    <w:rsid w:val="00001EED"/>
    <w:rsid w:val="000020DD"/>
    <w:rsid w:val="00003831"/>
    <w:rsid w:val="00003946"/>
    <w:rsid w:val="000048D0"/>
    <w:rsid w:val="00005851"/>
    <w:rsid w:val="000058C2"/>
    <w:rsid w:val="000060B3"/>
    <w:rsid w:val="00006360"/>
    <w:rsid w:val="000065AF"/>
    <w:rsid w:val="00006B94"/>
    <w:rsid w:val="00006E36"/>
    <w:rsid w:val="00007393"/>
    <w:rsid w:val="00007B4A"/>
    <w:rsid w:val="00011D33"/>
    <w:rsid w:val="00011F01"/>
    <w:rsid w:val="0001221A"/>
    <w:rsid w:val="00012348"/>
    <w:rsid w:val="0001343C"/>
    <w:rsid w:val="000136EF"/>
    <w:rsid w:val="000138FE"/>
    <w:rsid w:val="00014442"/>
    <w:rsid w:val="00014EBD"/>
    <w:rsid w:val="00015A3B"/>
    <w:rsid w:val="00016140"/>
    <w:rsid w:val="00021ADF"/>
    <w:rsid w:val="0002320B"/>
    <w:rsid w:val="000232CF"/>
    <w:rsid w:val="00023FF2"/>
    <w:rsid w:val="00024938"/>
    <w:rsid w:val="00025506"/>
    <w:rsid w:val="00025A29"/>
    <w:rsid w:val="00026138"/>
    <w:rsid w:val="00026480"/>
    <w:rsid w:val="00026DE1"/>
    <w:rsid w:val="00027195"/>
    <w:rsid w:val="000278DA"/>
    <w:rsid w:val="00027C7B"/>
    <w:rsid w:val="000308A5"/>
    <w:rsid w:val="00030F81"/>
    <w:rsid w:val="00031F06"/>
    <w:rsid w:val="00032976"/>
    <w:rsid w:val="000331D7"/>
    <w:rsid w:val="000335F5"/>
    <w:rsid w:val="00033933"/>
    <w:rsid w:val="00034682"/>
    <w:rsid w:val="000350CC"/>
    <w:rsid w:val="00035B52"/>
    <w:rsid w:val="00036F0B"/>
    <w:rsid w:val="0003737C"/>
    <w:rsid w:val="0004010D"/>
    <w:rsid w:val="000402B5"/>
    <w:rsid w:val="000406ED"/>
    <w:rsid w:val="000407BB"/>
    <w:rsid w:val="00040DC9"/>
    <w:rsid w:val="00040F6E"/>
    <w:rsid w:val="00042365"/>
    <w:rsid w:val="0004253B"/>
    <w:rsid w:val="00042560"/>
    <w:rsid w:val="00042C08"/>
    <w:rsid w:val="00042C3A"/>
    <w:rsid w:val="00042D63"/>
    <w:rsid w:val="00042D6C"/>
    <w:rsid w:val="00043316"/>
    <w:rsid w:val="0004364B"/>
    <w:rsid w:val="00043CA4"/>
    <w:rsid w:val="00044994"/>
    <w:rsid w:val="0004671C"/>
    <w:rsid w:val="0004694A"/>
    <w:rsid w:val="000469AE"/>
    <w:rsid w:val="0005011F"/>
    <w:rsid w:val="000501A5"/>
    <w:rsid w:val="00050B59"/>
    <w:rsid w:val="00050F50"/>
    <w:rsid w:val="00052431"/>
    <w:rsid w:val="00054307"/>
    <w:rsid w:val="000549AE"/>
    <w:rsid w:val="000551CA"/>
    <w:rsid w:val="00055D36"/>
    <w:rsid w:val="00056484"/>
    <w:rsid w:val="000575B4"/>
    <w:rsid w:val="00057D35"/>
    <w:rsid w:val="00057DC0"/>
    <w:rsid w:val="00057ECA"/>
    <w:rsid w:val="000605DF"/>
    <w:rsid w:val="000608FF"/>
    <w:rsid w:val="00060945"/>
    <w:rsid w:val="00060C0C"/>
    <w:rsid w:val="00061A95"/>
    <w:rsid w:val="00061B1F"/>
    <w:rsid w:val="0006292C"/>
    <w:rsid w:val="00063951"/>
    <w:rsid w:val="0006471A"/>
    <w:rsid w:val="0006566A"/>
    <w:rsid w:val="000673B1"/>
    <w:rsid w:val="00067BBA"/>
    <w:rsid w:val="00070189"/>
    <w:rsid w:val="0007024B"/>
    <w:rsid w:val="00070527"/>
    <w:rsid w:val="00070635"/>
    <w:rsid w:val="00070DA3"/>
    <w:rsid w:val="00071412"/>
    <w:rsid w:val="00071F4A"/>
    <w:rsid w:val="0007232E"/>
    <w:rsid w:val="0007288A"/>
    <w:rsid w:val="00073073"/>
    <w:rsid w:val="000733C4"/>
    <w:rsid w:val="00073623"/>
    <w:rsid w:val="00074412"/>
    <w:rsid w:val="00074485"/>
    <w:rsid w:val="00074783"/>
    <w:rsid w:val="00074A0F"/>
    <w:rsid w:val="000753AA"/>
    <w:rsid w:val="00076584"/>
    <w:rsid w:val="000769AB"/>
    <w:rsid w:val="00076DA0"/>
    <w:rsid w:val="000774D1"/>
    <w:rsid w:val="00077B72"/>
    <w:rsid w:val="0008070B"/>
    <w:rsid w:val="000807ED"/>
    <w:rsid w:val="000810AC"/>
    <w:rsid w:val="00081A02"/>
    <w:rsid w:val="00082001"/>
    <w:rsid w:val="000821F0"/>
    <w:rsid w:val="00082231"/>
    <w:rsid w:val="00082256"/>
    <w:rsid w:val="000825A5"/>
    <w:rsid w:val="000831DA"/>
    <w:rsid w:val="00083766"/>
    <w:rsid w:val="00084192"/>
    <w:rsid w:val="0008505F"/>
    <w:rsid w:val="00086D22"/>
    <w:rsid w:val="00090119"/>
    <w:rsid w:val="0009039C"/>
    <w:rsid w:val="00090A46"/>
    <w:rsid w:val="00091FBE"/>
    <w:rsid w:val="00092C0C"/>
    <w:rsid w:val="00092D38"/>
    <w:rsid w:val="000930A1"/>
    <w:rsid w:val="00093188"/>
    <w:rsid w:val="00093774"/>
    <w:rsid w:val="0009377B"/>
    <w:rsid w:val="000937E7"/>
    <w:rsid w:val="00094A79"/>
    <w:rsid w:val="00094DF4"/>
    <w:rsid w:val="00095D78"/>
    <w:rsid w:val="000A0D83"/>
    <w:rsid w:val="000A20C9"/>
    <w:rsid w:val="000A2367"/>
    <w:rsid w:val="000A3138"/>
    <w:rsid w:val="000A33FB"/>
    <w:rsid w:val="000A401E"/>
    <w:rsid w:val="000A441B"/>
    <w:rsid w:val="000A47BF"/>
    <w:rsid w:val="000A4920"/>
    <w:rsid w:val="000A748B"/>
    <w:rsid w:val="000A7693"/>
    <w:rsid w:val="000B058F"/>
    <w:rsid w:val="000B23B2"/>
    <w:rsid w:val="000B27F2"/>
    <w:rsid w:val="000B2D44"/>
    <w:rsid w:val="000B4024"/>
    <w:rsid w:val="000B4467"/>
    <w:rsid w:val="000B4877"/>
    <w:rsid w:val="000B491C"/>
    <w:rsid w:val="000B4B6A"/>
    <w:rsid w:val="000B4DB9"/>
    <w:rsid w:val="000B5125"/>
    <w:rsid w:val="000B696E"/>
    <w:rsid w:val="000B6E91"/>
    <w:rsid w:val="000C092F"/>
    <w:rsid w:val="000C09AC"/>
    <w:rsid w:val="000C0BD8"/>
    <w:rsid w:val="000C0F86"/>
    <w:rsid w:val="000C19E2"/>
    <w:rsid w:val="000C243E"/>
    <w:rsid w:val="000C2767"/>
    <w:rsid w:val="000C2E99"/>
    <w:rsid w:val="000C2EC6"/>
    <w:rsid w:val="000C335C"/>
    <w:rsid w:val="000C356C"/>
    <w:rsid w:val="000C4343"/>
    <w:rsid w:val="000C45BA"/>
    <w:rsid w:val="000C4778"/>
    <w:rsid w:val="000C4DEB"/>
    <w:rsid w:val="000C4EF7"/>
    <w:rsid w:val="000C5C39"/>
    <w:rsid w:val="000C6C6A"/>
    <w:rsid w:val="000C70B5"/>
    <w:rsid w:val="000C74B4"/>
    <w:rsid w:val="000C767F"/>
    <w:rsid w:val="000D0D97"/>
    <w:rsid w:val="000D1575"/>
    <w:rsid w:val="000D1C4C"/>
    <w:rsid w:val="000D2130"/>
    <w:rsid w:val="000D2799"/>
    <w:rsid w:val="000D3219"/>
    <w:rsid w:val="000D3818"/>
    <w:rsid w:val="000D4A8B"/>
    <w:rsid w:val="000D5455"/>
    <w:rsid w:val="000D5942"/>
    <w:rsid w:val="000D5A44"/>
    <w:rsid w:val="000D632B"/>
    <w:rsid w:val="000D67D3"/>
    <w:rsid w:val="000D7201"/>
    <w:rsid w:val="000D7E4E"/>
    <w:rsid w:val="000E045F"/>
    <w:rsid w:val="000E0763"/>
    <w:rsid w:val="000E0C3B"/>
    <w:rsid w:val="000E1249"/>
    <w:rsid w:val="000E1420"/>
    <w:rsid w:val="000E1EB6"/>
    <w:rsid w:val="000E2251"/>
    <w:rsid w:val="000E258F"/>
    <w:rsid w:val="000E28BB"/>
    <w:rsid w:val="000E3019"/>
    <w:rsid w:val="000E3277"/>
    <w:rsid w:val="000E386D"/>
    <w:rsid w:val="000E3ED2"/>
    <w:rsid w:val="000E46B4"/>
    <w:rsid w:val="000E5EC9"/>
    <w:rsid w:val="000E7385"/>
    <w:rsid w:val="000F0310"/>
    <w:rsid w:val="000F0C99"/>
    <w:rsid w:val="000F1994"/>
    <w:rsid w:val="000F2003"/>
    <w:rsid w:val="000F22D0"/>
    <w:rsid w:val="000F2411"/>
    <w:rsid w:val="000F2BAE"/>
    <w:rsid w:val="000F3390"/>
    <w:rsid w:val="000F33F9"/>
    <w:rsid w:val="000F34B8"/>
    <w:rsid w:val="000F52CE"/>
    <w:rsid w:val="000F537B"/>
    <w:rsid w:val="000F67B1"/>
    <w:rsid w:val="000F7FC1"/>
    <w:rsid w:val="001013AD"/>
    <w:rsid w:val="00101B6E"/>
    <w:rsid w:val="00102091"/>
    <w:rsid w:val="00102857"/>
    <w:rsid w:val="00102865"/>
    <w:rsid w:val="00104696"/>
    <w:rsid w:val="0010473C"/>
    <w:rsid w:val="00104B34"/>
    <w:rsid w:val="00105357"/>
    <w:rsid w:val="001058B3"/>
    <w:rsid w:val="00105B80"/>
    <w:rsid w:val="0010607A"/>
    <w:rsid w:val="001060D0"/>
    <w:rsid w:val="0010617A"/>
    <w:rsid w:val="0010762C"/>
    <w:rsid w:val="0011099E"/>
    <w:rsid w:val="001109F9"/>
    <w:rsid w:val="0011241B"/>
    <w:rsid w:val="00112B11"/>
    <w:rsid w:val="00112B51"/>
    <w:rsid w:val="00113181"/>
    <w:rsid w:val="001138D9"/>
    <w:rsid w:val="001146A9"/>
    <w:rsid w:val="00115E06"/>
    <w:rsid w:val="00116E16"/>
    <w:rsid w:val="00117416"/>
    <w:rsid w:val="00117B8B"/>
    <w:rsid w:val="00120783"/>
    <w:rsid w:val="00121558"/>
    <w:rsid w:val="00123892"/>
    <w:rsid w:val="00123FA9"/>
    <w:rsid w:val="00124368"/>
    <w:rsid w:val="00124F6E"/>
    <w:rsid w:val="0012519E"/>
    <w:rsid w:val="001253DB"/>
    <w:rsid w:val="00126760"/>
    <w:rsid w:val="00126964"/>
    <w:rsid w:val="00126D32"/>
    <w:rsid w:val="001271A1"/>
    <w:rsid w:val="00127D48"/>
    <w:rsid w:val="00130614"/>
    <w:rsid w:val="00130978"/>
    <w:rsid w:val="00130B48"/>
    <w:rsid w:val="00130BF2"/>
    <w:rsid w:val="001313D7"/>
    <w:rsid w:val="001313EC"/>
    <w:rsid w:val="00131F42"/>
    <w:rsid w:val="00132AAF"/>
    <w:rsid w:val="0013330E"/>
    <w:rsid w:val="00133A36"/>
    <w:rsid w:val="00133A6F"/>
    <w:rsid w:val="001348FD"/>
    <w:rsid w:val="00134CD0"/>
    <w:rsid w:val="001357F1"/>
    <w:rsid w:val="00135E54"/>
    <w:rsid w:val="0013772E"/>
    <w:rsid w:val="00137BCE"/>
    <w:rsid w:val="001400C0"/>
    <w:rsid w:val="001401C9"/>
    <w:rsid w:val="001403C4"/>
    <w:rsid w:val="00140722"/>
    <w:rsid w:val="00140A3C"/>
    <w:rsid w:val="00140FA8"/>
    <w:rsid w:val="0014137A"/>
    <w:rsid w:val="001413A6"/>
    <w:rsid w:val="00141902"/>
    <w:rsid w:val="00141BAC"/>
    <w:rsid w:val="0014215E"/>
    <w:rsid w:val="001423A7"/>
    <w:rsid w:val="001424BC"/>
    <w:rsid w:val="00142518"/>
    <w:rsid w:val="00142FEB"/>
    <w:rsid w:val="00143688"/>
    <w:rsid w:val="00143A2D"/>
    <w:rsid w:val="001449E4"/>
    <w:rsid w:val="00145A41"/>
    <w:rsid w:val="00146235"/>
    <w:rsid w:val="00146684"/>
    <w:rsid w:val="00146D75"/>
    <w:rsid w:val="0014768A"/>
    <w:rsid w:val="00150E88"/>
    <w:rsid w:val="0015102B"/>
    <w:rsid w:val="00151671"/>
    <w:rsid w:val="00151675"/>
    <w:rsid w:val="001528D1"/>
    <w:rsid w:val="001531F9"/>
    <w:rsid w:val="001553AC"/>
    <w:rsid w:val="00156518"/>
    <w:rsid w:val="00156B8A"/>
    <w:rsid w:val="00157435"/>
    <w:rsid w:val="00157BE0"/>
    <w:rsid w:val="00157E75"/>
    <w:rsid w:val="00160841"/>
    <w:rsid w:val="00160999"/>
    <w:rsid w:val="00160D88"/>
    <w:rsid w:val="0016104F"/>
    <w:rsid w:val="00161B00"/>
    <w:rsid w:val="001621C6"/>
    <w:rsid w:val="0016226E"/>
    <w:rsid w:val="001632BD"/>
    <w:rsid w:val="0016394E"/>
    <w:rsid w:val="00163995"/>
    <w:rsid w:val="00164112"/>
    <w:rsid w:val="0016550B"/>
    <w:rsid w:val="001658A1"/>
    <w:rsid w:val="00165FA1"/>
    <w:rsid w:val="00166045"/>
    <w:rsid w:val="00166918"/>
    <w:rsid w:val="001669D2"/>
    <w:rsid w:val="0016751B"/>
    <w:rsid w:val="00170477"/>
    <w:rsid w:val="0017067C"/>
    <w:rsid w:val="001709B6"/>
    <w:rsid w:val="00170CCF"/>
    <w:rsid w:val="00171644"/>
    <w:rsid w:val="00171D07"/>
    <w:rsid w:val="0017252D"/>
    <w:rsid w:val="00172A72"/>
    <w:rsid w:val="001735E3"/>
    <w:rsid w:val="0017457C"/>
    <w:rsid w:val="001746F8"/>
    <w:rsid w:val="0017504D"/>
    <w:rsid w:val="0017515F"/>
    <w:rsid w:val="00175334"/>
    <w:rsid w:val="00175BEA"/>
    <w:rsid w:val="00176578"/>
    <w:rsid w:val="0017671A"/>
    <w:rsid w:val="00176935"/>
    <w:rsid w:val="001769C4"/>
    <w:rsid w:val="00177422"/>
    <w:rsid w:val="00180D93"/>
    <w:rsid w:val="00181171"/>
    <w:rsid w:val="00181825"/>
    <w:rsid w:val="00181D37"/>
    <w:rsid w:val="001823A7"/>
    <w:rsid w:val="00183E4F"/>
    <w:rsid w:val="00183ECE"/>
    <w:rsid w:val="00184590"/>
    <w:rsid w:val="00185E98"/>
    <w:rsid w:val="00186684"/>
    <w:rsid w:val="00186A09"/>
    <w:rsid w:val="001870D1"/>
    <w:rsid w:val="0018781E"/>
    <w:rsid w:val="00190DFB"/>
    <w:rsid w:val="0019262D"/>
    <w:rsid w:val="00193D82"/>
    <w:rsid w:val="00193D96"/>
    <w:rsid w:val="0019477F"/>
    <w:rsid w:val="00196FD9"/>
    <w:rsid w:val="001970EA"/>
    <w:rsid w:val="0019759D"/>
    <w:rsid w:val="00197F29"/>
    <w:rsid w:val="00197F6C"/>
    <w:rsid w:val="001A0211"/>
    <w:rsid w:val="001A04D4"/>
    <w:rsid w:val="001A0737"/>
    <w:rsid w:val="001A1224"/>
    <w:rsid w:val="001A154B"/>
    <w:rsid w:val="001A1650"/>
    <w:rsid w:val="001A1779"/>
    <w:rsid w:val="001A1B35"/>
    <w:rsid w:val="001A2178"/>
    <w:rsid w:val="001A2A8A"/>
    <w:rsid w:val="001A3B07"/>
    <w:rsid w:val="001A48A2"/>
    <w:rsid w:val="001A64F9"/>
    <w:rsid w:val="001A6B46"/>
    <w:rsid w:val="001A6F61"/>
    <w:rsid w:val="001A70BD"/>
    <w:rsid w:val="001B0079"/>
    <w:rsid w:val="001B0120"/>
    <w:rsid w:val="001B073B"/>
    <w:rsid w:val="001B1199"/>
    <w:rsid w:val="001B45C4"/>
    <w:rsid w:val="001B4D0B"/>
    <w:rsid w:val="001B4D59"/>
    <w:rsid w:val="001B5250"/>
    <w:rsid w:val="001B5772"/>
    <w:rsid w:val="001B5924"/>
    <w:rsid w:val="001B6027"/>
    <w:rsid w:val="001B63A3"/>
    <w:rsid w:val="001B6F62"/>
    <w:rsid w:val="001B72B8"/>
    <w:rsid w:val="001C0C18"/>
    <w:rsid w:val="001C0FFB"/>
    <w:rsid w:val="001C1053"/>
    <w:rsid w:val="001C17F6"/>
    <w:rsid w:val="001C1B4D"/>
    <w:rsid w:val="001C1ED2"/>
    <w:rsid w:val="001C4B95"/>
    <w:rsid w:val="001C656F"/>
    <w:rsid w:val="001C6604"/>
    <w:rsid w:val="001C69B3"/>
    <w:rsid w:val="001C6A9C"/>
    <w:rsid w:val="001C6EA9"/>
    <w:rsid w:val="001C6EBE"/>
    <w:rsid w:val="001C7298"/>
    <w:rsid w:val="001D03F5"/>
    <w:rsid w:val="001D089C"/>
    <w:rsid w:val="001D114C"/>
    <w:rsid w:val="001D153D"/>
    <w:rsid w:val="001D1843"/>
    <w:rsid w:val="001D233C"/>
    <w:rsid w:val="001D2841"/>
    <w:rsid w:val="001D342C"/>
    <w:rsid w:val="001D3B5B"/>
    <w:rsid w:val="001D3BFD"/>
    <w:rsid w:val="001D5595"/>
    <w:rsid w:val="001D5C33"/>
    <w:rsid w:val="001D659E"/>
    <w:rsid w:val="001D7874"/>
    <w:rsid w:val="001D7EB3"/>
    <w:rsid w:val="001D7F22"/>
    <w:rsid w:val="001E0055"/>
    <w:rsid w:val="001E0483"/>
    <w:rsid w:val="001E174B"/>
    <w:rsid w:val="001E1A1B"/>
    <w:rsid w:val="001E2569"/>
    <w:rsid w:val="001E3ECF"/>
    <w:rsid w:val="001E4AA3"/>
    <w:rsid w:val="001E4B86"/>
    <w:rsid w:val="001E4BCB"/>
    <w:rsid w:val="001E77F7"/>
    <w:rsid w:val="001E7E40"/>
    <w:rsid w:val="001F0141"/>
    <w:rsid w:val="001F019F"/>
    <w:rsid w:val="001F0D67"/>
    <w:rsid w:val="001F0D75"/>
    <w:rsid w:val="001F0E8C"/>
    <w:rsid w:val="001F0F17"/>
    <w:rsid w:val="001F1210"/>
    <w:rsid w:val="001F1A24"/>
    <w:rsid w:val="001F1BC7"/>
    <w:rsid w:val="001F318E"/>
    <w:rsid w:val="001F3347"/>
    <w:rsid w:val="001F47C9"/>
    <w:rsid w:val="001F69E4"/>
    <w:rsid w:val="001F6CEC"/>
    <w:rsid w:val="001F724F"/>
    <w:rsid w:val="00200144"/>
    <w:rsid w:val="00200332"/>
    <w:rsid w:val="002007AD"/>
    <w:rsid w:val="002016E0"/>
    <w:rsid w:val="0020215B"/>
    <w:rsid w:val="0020288B"/>
    <w:rsid w:val="00203217"/>
    <w:rsid w:val="002045EA"/>
    <w:rsid w:val="00204720"/>
    <w:rsid w:val="002049EE"/>
    <w:rsid w:val="00205349"/>
    <w:rsid w:val="0020590F"/>
    <w:rsid w:val="002068D9"/>
    <w:rsid w:val="00206DFF"/>
    <w:rsid w:val="002075AB"/>
    <w:rsid w:val="00207B7C"/>
    <w:rsid w:val="0021073B"/>
    <w:rsid w:val="00210F68"/>
    <w:rsid w:val="002125B4"/>
    <w:rsid w:val="00212C8B"/>
    <w:rsid w:val="0021330C"/>
    <w:rsid w:val="00214639"/>
    <w:rsid w:val="00214E84"/>
    <w:rsid w:val="002155B8"/>
    <w:rsid w:val="00216A73"/>
    <w:rsid w:val="00216D9C"/>
    <w:rsid w:val="0021716D"/>
    <w:rsid w:val="00217641"/>
    <w:rsid w:val="002179C1"/>
    <w:rsid w:val="0022060D"/>
    <w:rsid w:val="0022171D"/>
    <w:rsid w:val="002217CF"/>
    <w:rsid w:val="00222E5C"/>
    <w:rsid w:val="0022340D"/>
    <w:rsid w:val="00224357"/>
    <w:rsid w:val="00224839"/>
    <w:rsid w:val="002249B2"/>
    <w:rsid w:val="00225C9E"/>
    <w:rsid w:val="00226574"/>
    <w:rsid w:val="0022737F"/>
    <w:rsid w:val="002278EC"/>
    <w:rsid w:val="00230427"/>
    <w:rsid w:val="00230B80"/>
    <w:rsid w:val="0023221C"/>
    <w:rsid w:val="0023280E"/>
    <w:rsid w:val="00233521"/>
    <w:rsid w:val="002347D5"/>
    <w:rsid w:val="002354D2"/>
    <w:rsid w:val="002360F6"/>
    <w:rsid w:val="00236B74"/>
    <w:rsid w:val="002375EC"/>
    <w:rsid w:val="00237742"/>
    <w:rsid w:val="002377D1"/>
    <w:rsid w:val="00237FE0"/>
    <w:rsid w:val="002400DD"/>
    <w:rsid w:val="0024037E"/>
    <w:rsid w:val="00241B8E"/>
    <w:rsid w:val="00242B04"/>
    <w:rsid w:val="00242BE9"/>
    <w:rsid w:val="00242FAD"/>
    <w:rsid w:val="00242FB8"/>
    <w:rsid w:val="002434D5"/>
    <w:rsid w:val="00244C75"/>
    <w:rsid w:val="00245D3F"/>
    <w:rsid w:val="00245EB2"/>
    <w:rsid w:val="00250157"/>
    <w:rsid w:val="00250238"/>
    <w:rsid w:val="00250482"/>
    <w:rsid w:val="002506BC"/>
    <w:rsid w:val="002509D7"/>
    <w:rsid w:val="00251142"/>
    <w:rsid w:val="002533BC"/>
    <w:rsid w:val="00253A42"/>
    <w:rsid w:val="00253DF4"/>
    <w:rsid w:val="00253F82"/>
    <w:rsid w:val="00254345"/>
    <w:rsid w:val="00256EAF"/>
    <w:rsid w:val="002571EA"/>
    <w:rsid w:val="002608CB"/>
    <w:rsid w:val="00261401"/>
    <w:rsid w:val="002619B5"/>
    <w:rsid w:val="00261D34"/>
    <w:rsid w:val="00262E3F"/>
    <w:rsid w:val="00263441"/>
    <w:rsid w:val="002644D0"/>
    <w:rsid w:val="00264557"/>
    <w:rsid w:val="00264733"/>
    <w:rsid w:val="002647F3"/>
    <w:rsid w:val="00264ED6"/>
    <w:rsid w:val="002656BB"/>
    <w:rsid w:val="002659D1"/>
    <w:rsid w:val="00265BCF"/>
    <w:rsid w:val="00267978"/>
    <w:rsid w:val="0027072E"/>
    <w:rsid w:val="00270F7F"/>
    <w:rsid w:val="002718FC"/>
    <w:rsid w:val="0027190A"/>
    <w:rsid w:val="00271E83"/>
    <w:rsid w:val="00272625"/>
    <w:rsid w:val="00272D94"/>
    <w:rsid w:val="00272E0B"/>
    <w:rsid w:val="00273814"/>
    <w:rsid w:val="00274259"/>
    <w:rsid w:val="00274417"/>
    <w:rsid w:val="0027567C"/>
    <w:rsid w:val="002769B5"/>
    <w:rsid w:val="002805AB"/>
    <w:rsid w:val="00280F82"/>
    <w:rsid w:val="00281B93"/>
    <w:rsid w:val="002821BD"/>
    <w:rsid w:val="00282A89"/>
    <w:rsid w:val="00282C0C"/>
    <w:rsid w:val="00283218"/>
    <w:rsid w:val="00283ADF"/>
    <w:rsid w:val="00283AE1"/>
    <w:rsid w:val="00283D8A"/>
    <w:rsid w:val="00284204"/>
    <w:rsid w:val="002847FA"/>
    <w:rsid w:val="002856DF"/>
    <w:rsid w:val="00285DB4"/>
    <w:rsid w:val="00286CAA"/>
    <w:rsid w:val="00291773"/>
    <w:rsid w:val="00292648"/>
    <w:rsid w:val="002931D9"/>
    <w:rsid w:val="00293F28"/>
    <w:rsid w:val="00294237"/>
    <w:rsid w:val="002944BC"/>
    <w:rsid w:val="0029467D"/>
    <w:rsid w:val="0029470F"/>
    <w:rsid w:val="00294A94"/>
    <w:rsid w:val="00294AB9"/>
    <w:rsid w:val="00295792"/>
    <w:rsid w:val="002973CC"/>
    <w:rsid w:val="002979BE"/>
    <w:rsid w:val="002A168C"/>
    <w:rsid w:val="002A1BD6"/>
    <w:rsid w:val="002A227E"/>
    <w:rsid w:val="002A2B09"/>
    <w:rsid w:val="002A2E52"/>
    <w:rsid w:val="002A3460"/>
    <w:rsid w:val="002A3DC7"/>
    <w:rsid w:val="002A61FE"/>
    <w:rsid w:val="002A64D0"/>
    <w:rsid w:val="002A6B53"/>
    <w:rsid w:val="002A7888"/>
    <w:rsid w:val="002B0F3B"/>
    <w:rsid w:val="002B1872"/>
    <w:rsid w:val="002B18A6"/>
    <w:rsid w:val="002B1B85"/>
    <w:rsid w:val="002B2860"/>
    <w:rsid w:val="002B2A7D"/>
    <w:rsid w:val="002B2E4D"/>
    <w:rsid w:val="002B4587"/>
    <w:rsid w:val="002B4742"/>
    <w:rsid w:val="002B48EC"/>
    <w:rsid w:val="002B49E2"/>
    <w:rsid w:val="002B503C"/>
    <w:rsid w:val="002B638A"/>
    <w:rsid w:val="002B6745"/>
    <w:rsid w:val="002B726B"/>
    <w:rsid w:val="002B788F"/>
    <w:rsid w:val="002B7B00"/>
    <w:rsid w:val="002B7C44"/>
    <w:rsid w:val="002C0539"/>
    <w:rsid w:val="002C0D1B"/>
    <w:rsid w:val="002C1182"/>
    <w:rsid w:val="002C19C3"/>
    <w:rsid w:val="002C2820"/>
    <w:rsid w:val="002C2B17"/>
    <w:rsid w:val="002C2CC4"/>
    <w:rsid w:val="002C2D09"/>
    <w:rsid w:val="002C2FA0"/>
    <w:rsid w:val="002C3AAD"/>
    <w:rsid w:val="002C3CA6"/>
    <w:rsid w:val="002C4916"/>
    <w:rsid w:val="002C4E65"/>
    <w:rsid w:val="002C50EE"/>
    <w:rsid w:val="002C525A"/>
    <w:rsid w:val="002C539E"/>
    <w:rsid w:val="002C6077"/>
    <w:rsid w:val="002C6AE4"/>
    <w:rsid w:val="002C78CE"/>
    <w:rsid w:val="002C7C9B"/>
    <w:rsid w:val="002D0439"/>
    <w:rsid w:val="002D0F92"/>
    <w:rsid w:val="002D24CD"/>
    <w:rsid w:val="002D25CB"/>
    <w:rsid w:val="002D2818"/>
    <w:rsid w:val="002D36EE"/>
    <w:rsid w:val="002D3DD0"/>
    <w:rsid w:val="002D6821"/>
    <w:rsid w:val="002D686C"/>
    <w:rsid w:val="002D7BE3"/>
    <w:rsid w:val="002D7E12"/>
    <w:rsid w:val="002D7EC4"/>
    <w:rsid w:val="002E02BA"/>
    <w:rsid w:val="002E17C3"/>
    <w:rsid w:val="002E1B74"/>
    <w:rsid w:val="002E1F3A"/>
    <w:rsid w:val="002E23FF"/>
    <w:rsid w:val="002E298A"/>
    <w:rsid w:val="002E2BB0"/>
    <w:rsid w:val="002E30FE"/>
    <w:rsid w:val="002E3987"/>
    <w:rsid w:val="002E3E20"/>
    <w:rsid w:val="002E46F8"/>
    <w:rsid w:val="002E4C62"/>
    <w:rsid w:val="002E51ED"/>
    <w:rsid w:val="002E5269"/>
    <w:rsid w:val="002E59B6"/>
    <w:rsid w:val="002E64AB"/>
    <w:rsid w:val="002E6DB2"/>
    <w:rsid w:val="002E74DC"/>
    <w:rsid w:val="002E7E74"/>
    <w:rsid w:val="002F170C"/>
    <w:rsid w:val="002F3AC7"/>
    <w:rsid w:val="002F3B13"/>
    <w:rsid w:val="002F3C06"/>
    <w:rsid w:val="002F424C"/>
    <w:rsid w:val="002F4707"/>
    <w:rsid w:val="002F68F2"/>
    <w:rsid w:val="002F7502"/>
    <w:rsid w:val="002F7BCB"/>
    <w:rsid w:val="00300317"/>
    <w:rsid w:val="00300EFF"/>
    <w:rsid w:val="00300F3D"/>
    <w:rsid w:val="00301035"/>
    <w:rsid w:val="00301978"/>
    <w:rsid w:val="00301B7D"/>
    <w:rsid w:val="0030332C"/>
    <w:rsid w:val="00303757"/>
    <w:rsid w:val="0030399D"/>
    <w:rsid w:val="00303D8E"/>
    <w:rsid w:val="00305160"/>
    <w:rsid w:val="003051C2"/>
    <w:rsid w:val="00305B5E"/>
    <w:rsid w:val="00305F65"/>
    <w:rsid w:val="00306A98"/>
    <w:rsid w:val="003075DF"/>
    <w:rsid w:val="003077D7"/>
    <w:rsid w:val="00311336"/>
    <w:rsid w:val="0031193D"/>
    <w:rsid w:val="00311B3E"/>
    <w:rsid w:val="00312089"/>
    <w:rsid w:val="00312296"/>
    <w:rsid w:val="00312EBE"/>
    <w:rsid w:val="00313882"/>
    <w:rsid w:val="00313B43"/>
    <w:rsid w:val="00314317"/>
    <w:rsid w:val="0031436F"/>
    <w:rsid w:val="00314F0E"/>
    <w:rsid w:val="003156C5"/>
    <w:rsid w:val="003161BB"/>
    <w:rsid w:val="003163A8"/>
    <w:rsid w:val="00317962"/>
    <w:rsid w:val="003204A9"/>
    <w:rsid w:val="0032096C"/>
    <w:rsid w:val="00321D8E"/>
    <w:rsid w:val="00321F96"/>
    <w:rsid w:val="00322072"/>
    <w:rsid w:val="00322175"/>
    <w:rsid w:val="00322B16"/>
    <w:rsid w:val="00322D94"/>
    <w:rsid w:val="00324866"/>
    <w:rsid w:val="003254D1"/>
    <w:rsid w:val="00325928"/>
    <w:rsid w:val="00325BFF"/>
    <w:rsid w:val="00325E0B"/>
    <w:rsid w:val="00326617"/>
    <w:rsid w:val="00326B79"/>
    <w:rsid w:val="00331727"/>
    <w:rsid w:val="0033175A"/>
    <w:rsid w:val="00331E9E"/>
    <w:rsid w:val="00332001"/>
    <w:rsid w:val="00332863"/>
    <w:rsid w:val="003330D7"/>
    <w:rsid w:val="00333387"/>
    <w:rsid w:val="00333A3B"/>
    <w:rsid w:val="00333E9D"/>
    <w:rsid w:val="00335D9A"/>
    <w:rsid w:val="00336145"/>
    <w:rsid w:val="0033684D"/>
    <w:rsid w:val="00337AC7"/>
    <w:rsid w:val="00337B42"/>
    <w:rsid w:val="00337B86"/>
    <w:rsid w:val="00337DD7"/>
    <w:rsid w:val="00341B42"/>
    <w:rsid w:val="00341F5E"/>
    <w:rsid w:val="00342BFC"/>
    <w:rsid w:val="0034348F"/>
    <w:rsid w:val="00344E23"/>
    <w:rsid w:val="003454F4"/>
    <w:rsid w:val="00346CA4"/>
    <w:rsid w:val="00347E34"/>
    <w:rsid w:val="003521BD"/>
    <w:rsid w:val="00353C0C"/>
    <w:rsid w:val="0035466F"/>
    <w:rsid w:val="003548D2"/>
    <w:rsid w:val="00354EAE"/>
    <w:rsid w:val="00355DCF"/>
    <w:rsid w:val="00356013"/>
    <w:rsid w:val="00356653"/>
    <w:rsid w:val="0035743F"/>
    <w:rsid w:val="003578DE"/>
    <w:rsid w:val="00357BE2"/>
    <w:rsid w:val="00357FA8"/>
    <w:rsid w:val="0036071E"/>
    <w:rsid w:val="00360A24"/>
    <w:rsid w:val="00360E7B"/>
    <w:rsid w:val="0036170C"/>
    <w:rsid w:val="00361E3F"/>
    <w:rsid w:val="003635FE"/>
    <w:rsid w:val="00364548"/>
    <w:rsid w:val="00364DA9"/>
    <w:rsid w:val="00365800"/>
    <w:rsid w:val="00366919"/>
    <w:rsid w:val="00366E0F"/>
    <w:rsid w:val="00367E3C"/>
    <w:rsid w:val="00370597"/>
    <w:rsid w:val="00370BBF"/>
    <w:rsid w:val="00370C4F"/>
    <w:rsid w:val="0037131B"/>
    <w:rsid w:val="003714DF"/>
    <w:rsid w:val="00371AE7"/>
    <w:rsid w:val="00371B69"/>
    <w:rsid w:val="00371EDC"/>
    <w:rsid w:val="00371F29"/>
    <w:rsid w:val="00372438"/>
    <w:rsid w:val="0037262D"/>
    <w:rsid w:val="00372970"/>
    <w:rsid w:val="0037471C"/>
    <w:rsid w:val="00375B5B"/>
    <w:rsid w:val="00375BA6"/>
    <w:rsid w:val="00375BBA"/>
    <w:rsid w:val="00376147"/>
    <w:rsid w:val="0037667A"/>
    <w:rsid w:val="00376F73"/>
    <w:rsid w:val="0037715D"/>
    <w:rsid w:val="003778B7"/>
    <w:rsid w:val="00377F1D"/>
    <w:rsid w:val="003807D3"/>
    <w:rsid w:val="00380F2F"/>
    <w:rsid w:val="00381A72"/>
    <w:rsid w:val="00381CB7"/>
    <w:rsid w:val="00383F74"/>
    <w:rsid w:val="0038456A"/>
    <w:rsid w:val="00384676"/>
    <w:rsid w:val="00384A29"/>
    <w:rsid w:val="00385166"/>
    <w:rsid w:val="00385226"/>
    <w:rsid w:val="00385D5F"/>
    <w:rsid w:val="003862D7"/>
    <w:rsid w:val="003865EA"/>
    <w:rsid w:val="0038702D"/>
    <w:rsid w:val="00387368"/>
    <w:rsid w:val="00387E1D"/>
    <w:rsid w:val="003903C1"/>
    <w:rsid w:val="00390529"/>
    <w:rsid w:val="00390857"/>
    <w:rsid w:val="00391274"/>
    <w:rsid w:val="003913F3"/>
    <w:rsid w:val="00392517"/>
    <w:rsid w:val="00392523"/>
    <w:rsid w:val="003932D6"/>
    <w:rsid w:val="003958D0"/>
    <w:rsid w:val="00396422"/>
    <w:rsid w:val="003965A4"/>
    <w:rsid w:val="0039713F"/>
    <w:rsid w:val="0039719C"/>
    <w:rsid w:val="003A01A6"/>
    <w:rsid w:val="003A07DC"/>
    <w:rsid w:val="003A08E3"/>
    <w:rsid w:val="003A0F44"/>
    <w:rsid w:val="003A11C5"/>
    <w:rsid w:val="003A1F3D"/>
    <w:rsid w:val="003A2F45"/>
    <w:rsid w:val="003A2F5B"/>
    <w:rsid w:val="003A3AF5"/>
    <w:rsid w:val="003A461F"/>
    <w:rsid w:val="003A464F"/>
    <w:rsid w:val="003A48AD"/>
    <w:rsid w:val="003A4BF3"/>
    <w:rsid w:val="003A503B"/>
    <w:rsid w:val="003A5040"/>
    <w:rsid w:val="003A57F2"/>
    <w:rsid w:val="003A5AFE"/>
    <w:rsid w:val="003A6284"/>
    <w:rsid w:val="003A7F8F"/>
    <w:rsid w:val="003B0983"/>
    <w:rsid w:val="003B1A54"/>
    <w:rsid w:val="003B1A73"/>
    <w:rsid w:val="003B1BEE"/>
    <w:rsid w:val="003B2952"/>
    <w:rsid w:val="003B2A2C"/>
    <w:rsid w:val="003B2E66"/>
    <w:rsid w:val="003B40B6"/>
    <w:rsid w:val="003B420D"/>
    <w:rsid w:val="003B44D6"/>
    <w:rsid w:val="003B4809"/>
    <w:rsid w:val="003B4A52"/>
    <w:rsid w:val="003B51AA"/>
    <w:rsid w:val="003B586B"/>
    <w:rsid w:val="003B5F67"/>
    <w:rsid w:val="003B63BB"/>
    <w:rsid w:val="003B6799"/>
    <w:rsid w:val="003B78E1"/>
    <w:rsid w:val="003B7D98"/>
    <w:rsid w:val="003C0AA8"/>
    <w:rsid w:val="003C11F4"/>
    <w:rsid w:val="003C13F9"/>
    <w:rsid w:val="003C15A4"/>
    <w:rsid w:val="003C1642"/>
    <w:rsid w:val="003C2100"/>
    <w:rsid w:val="003C2559"/>
    <w:rsid w:val="003C26CE"/>
    <w:rsid w:val="003C2D8C"/>
    <w:rsid w:val="003C5D23"/>
    <w:rsid w:val="003C657D"/>
    <w:rsid w:val="003C68B6"/>
    <w:rsid w:val="003C6B71"/>
    <w:rsid w:val="003C6C16"/>
    <w:rsid w:val="003C7B09"/>
    <w:rsid w:val="003D0286"/>
    <w:rsid w:val="003D0527"/>
    <w:rsid w:val="003D1024"/>
    <w:rsid w:val="003D22E6"/>
    <w:rsid w:val="003D261E"/>
    <w:rsid w:val="003D419D"/>
    <w:rsid w:val="003D49CE"/>
    <w:rsid w:val="003D58C7"/>
    <w:rsid w:val="003D5C36"/>
    <w:rsid w:val="003D6619"/>
    <w:rsid w:val="003D6877"/>
    <w:rsid w:val="003D7774"/>
    <w:rsid w:val="003D7896"/>
    <w:rsid w:val="003D794D"/>
    <w:rsid w:val="003D7A0C"/>
    <w:rsid w:val="003E00F4"/>
    <w:rsid w:val="003E027A"/>
    <w:rsid w:val="003E15FB"/>
    <w:rsid w:val="003E1685"/>
    <w:rsid w:val="003E2EFF"/>
    <w:rsid w:val="003E3058"/>
    <w:rsid w:val="003E35AC"/>
    <w:rsid w:val="003E39C6"/>
    <w:rsid w:val="003E3BBF"/>
    <w:rsid w:val="003E6143"/>
    <w:rsid w:val="003E6D2E"/>
    <w:rsid w:val="003E6FAA"/>
    <w:rsid w:val="003E7432"/>
    <w:rsid w:val="003E76A9"/>
    <w:rsid w:val="003E7E92"/>
    <w:rsid w:val="003F0809"/>
    <w:rsid w:val="003F16E8"/>
    <w:rsid w:val="003F334B"/>
    <w:rsid w:val="003F35AB"/>
    <w:rsid w:val="003F5B78"/>
    <w:rsid w:val="003F5E00"/>
    <w:rsid w:val="003F60DE"/>
    <w:rsid w:val="003F6A8C"/>
    <w:rsid w:val="003F6F82"/>
    <w:rsid w:val="003F755C"/>
    <w:rsid w:val="003F789B"/>
    <w:rsid w:val="00400B62"/>
    <w:rsid w:val="00401329"/>
    <w:rsid w:val="00401330"/>
    <w:rsid w:val="00401681"/>
    <w:rsid w:val="00401802"/>
    <w:rsid w:val="00401AC2"/>
    <w:rsid w:val="00401EDB"/>
    <w:rsid w:val="00401F4C"/>
    <w:rsid w:val="0040267F"/>
    <w:rsid w:val="00402A1C"/>
    <w:rsid w:val="004033CD"/>
    <w:rsid w:val="004036AC"/>
    <w:rsid w:val="00403839"/>
    <w:rsid w:val="00404401"/>
    <w:rsid w:val="004055BB"/>
    <w:rsid w:val="00405A6C"/>
    <w:rsid w:val="00405CA7"/>
    <w:rsid w:val="00406B9B"/>
    <w:rsid w:val="00406F01"/>
    <w:rsid w:val="00410199"/>
    <w:rsid w:val="004121D8"/>
    <w:rsid w:val="004122F1"/>
    <w:rsid w:val="00412BD2"/>
    <w:rsid w:val="00412E24"/>
    <w:rsid w:val="00413627"/>
    <w:rsid w:val="00413BBD"/>
    <w:rsid w:val="00413F34"/>
    <w:rsid w:val="0041407A"/>
    <w:rsid w:val="0041509E"/>
    <w:rsid w:val="00415F85"/>
    <w:rsid w:val="004164B6"/>
    <w:rsid w:val="00416D50"/>
    <w:rsid w:val="00416FD5"/>
    <w:rsid w:val="00417772"/>
    <w:rsid w:val="00420D83"/>
    <w:rsid w:val="00420E6A"/>
    <w:rsid w:val="00421A8A"/>
    <w:rsid w:val="00422FF7"/>
    <w:rsid w:val="00423004"/>
    <w:rsid w:val="00423C55"/>
    <w:rsid w:val="00424AD9"/>
    <w:rsid w:val="00424C1A"/>
    <w:rsid w:val="00425A9E"/>
    <w:rsid w:val="00426026"/>
    <w:rsid w:val="00426D35"/>
    <w:rsid w:val="00426D6B"/>
    <w:rsid w:val="004271CF"/>
    <w:rsid w:val="0042752E"/>
    <w:rsid w:val="00431E6C"/>
    <w:rsid w:val="0043254C"/>
    <w:rsid w:val="00432CA3"/>
    <w:rsid w:val="0043350F"/>
    <w:rsid w:val="00433CE7"/>
    <w:rsid w:val="00434AB6"/>
    <w:rsid w:val="00434B60"/>
    <w:rsid w:val="00434BB4"/>
    <w:rsid w:val="0043681E"/>
    <w:rsid w:val="004404B7"/>
    <w:rsid w:val="004407FC"/>
    <w:rsid w:val="00440ABD"/>
    <w:rsid w:val="004419EC"/>
    <w:rsid w:val="00441B40"/>
    <w:rsid w:val="00442012"/>
    <w:rsid w:val="004424F4"/>
    <w:rsid w:val="004429DE"/>
    <w:rsid w:val="00442E69"/>
    <w:rsid w:val="00443EC7"/>
    <w:rsid w:val="004440E6"/>
    <w:rsid w:val="00444F8A"/>
    <w:rsid w:val="0044505F"/>
    <w:rsid w:val="00445894"/>
    <w:rsid w:val="00446011"/>
    <w:rsid w:val="00447420"/>
    <w:rsid w:val="004479E5"/>
    <w:rsid w:val="0045065C"/>
    <w:rsid w:val="00450D37"/>
    <w:rsid w:val="004517D7"/>
    <w:rsid w:val="00452738"/>
    <w:rsid w:val="004529BF"/>
    <w:rsid w:val="00452B55"/>
    <w:rsid w:val="0045322E"/>
    <w:rsid w:val="0045346A"/>
    <w:rsid w:val="00453E8B"/>
    <w:rsid w:val="00454105"/>
    <w:rsid w:val="00454EFC"/>
    <w:rsid w:val="00455EA7"/>
    <w:rsid w:val="00455F2A"/>
    <w:rsid w:val="00456091"/>
    <w:rsid w:val="00456482"/>
    <w:rsid w:val="00456668"/>
    <w:rsid w:val="00456A9C"/>
    <w:rsid w:val="00456E3C"/>
    <w:rsid w:val="0045726B"/>
    <w:rsid w:val="00457521"/>
    <w:rsid w:val="00457676"/>
    <w:rsid w:val="004616C9"/>
    <w:rsid w:val="004647AF"/>
    <w:rsid w:val="00464BFA"/>
    <w:rsid w:val="004659E1"/>
    <w:rsid w:val="00465DE1"/>
    <w:rsid w:val="00466321"/>
    <w:rsid w:val="004677CB"/>
    <w:rsid w:val="00467E92"/>
    <w:rsid w:val="004700E6"/>
    <w:rsid w:val="004703FE"/>
    <w:rsid w:val="00471FFA"/>
    <w:rsid w:val="00472528"/>
    <w:rsid w:val="00472680"/>
    <w:rsid w:val="00474BD9"/>
    <w:rsid w:val="00474F25"/>
    <w:rsid w:val="00476219"/>
    <w:rsid w:val="00476BA4"/>
    <w:rsid w:val="00476C59"/>
    <w:rsid w:val="004778AA"/>
    <w:rsid w:val="0048005F"/>
    <w:rsid w:val="004805F0"/>
    <w:rsid w:val="004813E7"/>
    <w:rsid w:val="004826E9"/>
    <w:rsid w:val="004829D0"/>
    <w:rsid w:val="00482DC3"/>
    <w:rsid w:val="004837E3"/>
    <w:rsid w:val="00484252"/>
    <w:rsid w:val="00484B9B"/>
    <w:rsid w:val="004854A4"/>
    <w:rsid w:val="004855F6"/>
    <w:rsid w:val="00486255"/>
    <w:rsid w:val="00486306"/>
    <w:rsid w:val="0048646B"/>
    <w:rsid w:val="0048661E"/>
    <w:rsid w:val="00486819"/>
    <w:rsid w:val="00486EF5"/>
    <w:rsid w:val="0048736A"/>
    <w:rsid w:val="00491025"/>
    <w:rsid w:val="0049219E"/>
    <w:rsid w:val="00492B25"/>
    <w:rsid w:val="00492DAB"/>
    <w:rsid w:val="004937EB"/>
    <w:rsid w:val="004942C2"/>
    <w:rsid w:val="00494309"/>
    <w:rsid w:val="00494670"/>
    <w:rsid w:val="0049550C"/>
    <w:rsid w:val="00495628"/>
    <w:rsid w:val="00495711"/>
    <w:rsid w:val="004960FF"/>
    <w:rsid w:val="004965B9"/>
    <w:rsid w:val="00496A97"/>
    <w:rsid w:val="00496AA9"/>
    <w:rsid w:val="00497080"/>
    <w:rsid w:val="00497846"/>
    <w:rsid w:val="004A090F"/>
    <w:rsid w:val="004A1915"/>
    <w:rsid w:val="004A1EF3"/>
    <w:rsid w:val="004A2585"/>
    <w:rsid w:val="004A3823"/>
    <w:rsid w:val="004A417E"/>
    <w:rsid w:val="004A4CFD"/>
    <w:rsid w:val="004A513C"/>
    <w:rsid w:val="004A5228"/>
    <w:rsid w:val="004A53AF"/>
    <w:rsid w:val="004A54C8"/>
    <w:rsid w:val="004A5DB1"/>
    <w:rsid w:val="004A6B2C"/>
    <w:rsid w:val="004A6F67"/>
    <w:rsid w:val="004A796F"/>
    <w:rsid w:val="004B0598"/>
    <w:rsid w:val="004B0C66"/>
    <w:rsid w:val="004B184B"/>
    <w:rsid w:val="004B3819"/>
    <w:rsid w:val="004B3C4B"/>
    <w:rsid w:val="004B42CA"/>
    <w:rsid w:val="004B4806"/>
    <w:rsid w:val="004B4A73"/>
    <w:rsid w:val="004B4EB9"/>
    <w:rsid w:val="004B514C"/>
    <w:rsid w:val="004B5950"/>
    <w:rsid w:val="004B6EAB"/>
    <w:rsid w:val="004B6F4A"/>
    <w:rsid w:val="004B6F85"/>
    <w:rsid w:val="004C0BCD"/>
    <w:rsid w:val="004C0C70"/>
    <w:rsid w:val="004C122D"/>
    <w:rsid w:val="004C2606"/>
    <w:rsid w:val="004C285C"/>
    <w:rsid w:val="004C3153"/>
    <w:rsid w:val="004C6048"/>
    <w:rsid w:val="004D048A"/>
    <w:rsid w:val="004D08D5"/>
    <w:rsid w:val="004D0D51"/>
    <w:rsid w:val="004D12D3"/>
    <w:rsid w:val="004D146B"/>
    <w:rsid w:val="004D19E8"/>
    <w:rsid w:val="004D1A48"/>
    <w:rsid w:val="004D1BE6"/>
    <w:rsid w:val="004D2494"/>
    <w:rsid w:val="004D4877"/>
    <w:rsid w:val="004D4952"/>
    <w:rsid w:val="004D4A21"/>
    <w:rsid w:val="004D4AF7"/>
    <w:rsid w:val="004D4C68"/>
    <w:rsid w:val="004D5854"/>
    <w:rsid w:val="004D5BD1"/>
    <w:rsid w:val="004D61A4"/>
    <w:rsid w:val="004D7084"/>
    <w:rsid w:val="004D709D"/>
    <w:rsid w:val="004D70C0"/>
    <w:rsid w:val="004D7E71"/>
    <w:rsid w:val="004E100A"/>
    <w:rsid w:val="004E1972"/>
    <w:rsid w:val="004E22F7"/>
    <w:rsid w:val="004E28F7"/>
    <w:rsid w:val="004E2DFC"/>
    <w:rsid w:val="004E3258"/>
    <w:rsid w:val="004E38D7"/>
    <w:rsid w:val="004E4C31"/>
    <w:rsid w:val="004E4E57"/>
    <w:rsid w:val="004E533A"/>
    <w:rsid w:val="004E5C0E"/>
    <w:rsid w:val="004E5F47"/>
    <w:rsid w:val="004E6946"/>
    <w:rsid w:val="004E6F44"/>
    <w:rsid w:val="004E7970"/>
    <w:rsid w:val="004F01DC"/>
    <w:rsid w:val="004F034E"/>
    <w:rsid w:val="004F0B26"/>
    <w:rsid w:val="004F1A5C"/>
    <w:rsid w:val="004F1AD8"/>
    <w:rsid w:val="004F1B8C"/>
    <w:rsid w:val="004F2A00"/>
    <w:rsid w:val="004F2F0A"/>
    <w:rsid w:val="004F3BE5"/>
    <w:rsid w:val="004F3F04"/>
    <w:rsid w:val="004F4111"/>
    <w:rsid w:val="004F55BF"/>
    <w:rsid w:val="004F56EF"/>
    <w:rsid w:val="004F63C4"/>
    <w:rsid w:val="004F6A86"/>
    <w:rsid w:val="004F7ECC"/>
    <w:rsid w:val="0050004B"/>
    <w:rsid w:val="0050286C"/>
    <w:rsid w:val="00502888"/>
    <w:rsid w:val="005039CB"/>
    <w:rsid w:val="00503A4C"/>
    <w:rsid w:val="005042B7"/>
    <w:rsid w:val="00505254"/>
    <w:rsid w:val="0050558E"/>
    <w:rsid w:val="0050558F"/>
    <w:rsid w:val="0050571C"/>
    <w:rsid w:val="00506286"/>
    <w:rsid w:val="00506549"/>
    <w:rsid w:val="00506776"/>
    <w:rsid w:val="00506A8F"/>
    <w:rsid w:val="0051060A"/>
    <w:rsid w:val="00510813"/>
    <w:rsid w:val="00510D83"/>
    <w:rsid w:val="00511990"/>
    <w:rsid w:val="00511C6A"/>
    <w:rsid w:val="00511DE0"/>
    <w:rsid w:val="005124E8"/>
    <w:rsid w:val="00513E00"/>
    <w:rsid w:val="00514870"/>
    <w:rsid w:val="00514B9B"/>
    <w:rsid w:val="00515583"/>
    <w:rsid w:val="00515609"/>
    <w:rsid w:val="00515A39"/>
    <w:rsid w:val="005160B2"/>
    <w:rsid w:val="005164C9"/>
    <w:rsid w:val="00516998"/>
    <w:rsid w:val="00516E33"/>
    <w:rsid w:val="00517F02"/>
    <w:rsid w:val="005204BF"/>
    <w:rsid w:val="00522830"/>
    <w:rsid w:val="00524303"/>
    <w:rsid w:val="00524E7A"/>
    <w:rsid w:val="005258A2"/>
    <w:rsid w:val="00526164"/>
    <w:rsid w:val="005261EC"/>
    <w:rsid w:val="00526A63"/>
    <w:rsid w:val="00526C47"/>
    <w:rsid w:val="005307E1"/>
    <w:rsid w:val="005339EA"/>
    <w:rsid w:val="00533B19"/>
    <w:rsid w:val="00534085"/>
    <w:rsid w:val="00534538"/>
    <w:rsid w:val="00534644"/>
    <w:rsid w:val="00534C7C"/>
    <w:rsid w:val="005354A7"/>
    <w:rsid w:val="005355E0"/>
    <w:rsid w:val="00537418"/>
    <w:rsid w:val="00537796"/>
    <w:rsid w:val="0053788B"/>
    <w:rsid w:val="005401AE"/>
    <w:rsid w:val="00540534"/>
    <w:rsid w:val="005414D4"/>
    <w:rsid w:val="00542E07"/>
    <w:rsid w:val="00543BE0"/>
    <w:rsid w:val="005444C2"/>
    <w:rsid w:val="0054538C"/>
    <w:rsid w:val="00545424"/>
    <w:rsid w:val="00545B38"/>
    <w:rsid w:val="00545F0E"/>
    <w:rsid w:val="00546315"/>
    <w:rsid w:val="005463C7"/>
    <w:rsid w:val="0054679B"/>
    <w:rsid w:val="005502CB"/>
    <w:rsid w:val="005502EB"/>
    <w:rsid w:val="0055075E"/>
    <w:rsid w:val="0055097B"/>
    <w:rsid w:val="00550991"/>
    <w:rsid w:val="00550D54"/>
    <w:rsid w:val="00550E11"/>
    <w:rsid w:val="005510F3"/>
    <w:rsid w:val="0055113F"/>
    <w:rsid w:val="0055163A"/>
    <w:rsid w:val="00551FA5"/>
    <w:rsid w:val="00552994"/>
    <w:rsid w:val="00552F98"/>
    <w:rsid w:val="005538E8"/>
    <w:rsid w:val="00553AB6"/>
    <w:rsid w:val="005549ED"/>
    <w:rsid w:val="00554A7B"/>
    <w:rsid w:val="0055572C"/>
    <w:rsid w:val="00556834"/>
    <w:rsid w:val="0056106A"/>
    <w:rsid w:val="00562217"/>
    <w:rsid w:val="00562313"/>
    <w:rsid w:val="005627FA"/>
    <w:rsid w:val="0056376A"/>
    <w:rsid w:val="00564570"/>
    <w:rsid w:val="00564701"/>
    <w:rsid w:val="00564919"/>
    <w:rsid w:val="00564F61"/>
    <w:rsid w:val="005656A6"/>
    <w:rsid w:val="00565819"/>
    <w:rsid w:val="00565A17"/>
    <w:rsid w:val="00567613"/>
    <w:rsid w:val="00567D52"/>
    <w:rsid w:val="005707B6"/>
    <w:rsid w:val="00571AF0"/>
    <w:rsid w:val="005720AE"/>
    <w:rsid w:val="00572169"/>
    <w:rsid w:val="005722F6"/>
    <w:rsid w:val="00572B0F"/>
    <w:rsid w:val="0057325B"/>
    <w:rsid w:val="00573A5C"/>
    <w:rsid w:val="0057428A"/>
    <w:rsid w:val="00574A28"/>
    <w:rsid w:val="00575F29"/>
    <w:rsid w:val="005768B2"/>
    <w:rsid w:val="005777CC"/>
    <w:rsid w:val="005777E7"/>
    <w:rsid w:val="00577E56"/>
    <w:rsid w:val="00577F21"/>
    <w:rsid w:val="005804B9"/>
    <w:rsid w:val="005806B8"/>
    <w:rsid w:val="00580B3D"/>
    <w:rsid w:val="00581543"/>
    <w:rsid w:val="00581CC7"/>
    <w:rsid w:val="00581DBF"/>
    <w:rsid w:val="00582774"/>
    <w:rsid w:val="005827B4"/>
    <w:rsid w:val="00583193"/>
    <w:rsid w:val="0058364F"/>
    <w:rsid w:val="00583E89"/>
    <w:rsid w:val="00584066"/>
    <w:rsid w:val="005840A6"/>
    <w:rsid w:val="005850F4"/>
    <w:rsid w:val="0058591E"/>
    <w:rsid w:val="00586289"/>
    <w:rsid w:val="005871A3"/>
    <w:rsid w:val="005900E3"/>
    <w:rsid w:val="00591441"/>
    <w:rsid w:val="00591836"/>
    <w:rsid w:val="00591D0F"/>
    <w:rsid w:val="00592877"/>
    <w:rsid w:val="00592A12"/>
    <w:rsid w:val="00592BCF"/>
    <w:rsid w:val="005931C5"/>
    <w:rsid w:val="0059376A"/>
    <w:rsid w:val="00593D01"/>
    <w:rsid w:val="005948C4"/>
    <w:rsid w:val="00594D77"/>
    <w:rsid w:val="005956D2"/>
    <w:rsid w:val="00595D50"/>
    <w:rsid w:val="0059681A"/>
    <w:rsid w:val="005969E4"/>
    <w:rsid w:val="00596BC0"/>
    <w:rsid w:val="005A06B7"/>
    <w:rsid w:val="005A0B9F"/>
    <w:rsid w:val="005A0E22"/>
    <w:rsid w:val="005A1314"/>
    <w:rsid w:val="005A1759"/>
    <w:rsid w:val="005A1E2E"/>
    <w:rsid w:val="005A214B"/>
    <w:rsid w:val="005A25E8"/>
    <w:rsid w:val="005A2E20"/>
    <w:rsid w:val="005A4E2C"/>
    <w:rsid w:val="005A4F59"/>
    <w:rsid w:val="005A541C"/>
    <w:rsid w:val="005A62C9"/>
    <w:rsid w:val="005A68A7"/>
    <w:rsid w:val="005B02BA"/>
    <w:rsid w:val="005B0EE5"/>
    <w:rsid w:val="005B1C90"/>
    <w:rsid w:val="005B31D4"/>
    <w:rsid w:val="005B3F85"/>
    <w:rsid w:val="005B41D8"/>
    <w:rsid w:val="005B4340"/>
    <w:rsid w:val="005B448F"/>
    <w:rsid w:val="005B4F03"/>
    <w:rsid w:val="005B64B0"/>
    <w:rsid w:val="005B7EE8"/>
    <w:rsid w:val="005C04B9"/>
    <w:rsid w:val="005C0D1F"/>
    <w:rsid w:val="005C0E9F"/>
    <w:rsid w:val="005C0F8D"/>
    <w:rsid w:val="005C2EA2"/>
    <w:rsid w:val="005C5606"/>
    <w:rsid w:val="005C5D9A"/>
    <w:rsid w:val="005C61BA"/>
    <w:rsid w:val="005C68FF"/>
    <w:rsid w:val="005C7F08"/>
    <w:rsid w:val="005D14F5"/>
    <w:rsid w:val="005D1511"/>
    <w:rsid w:val="005D1970"/>
    <w:rsid w:val="005D1E35"/>
    <w:rsid w:val="005D31E1"/>
    <w:rsid w:val="005D36AB"/>
    <w:rsid w:val="005D3853"/>
    <w:rsid w:val="005D4C1F"/>
    <w:rsid w:val="005D56AC"/>
    <w:rsid w:val="005D5C42"/>
    <w:rsid w:val="005D72E4"/>
    <w:rsid w:val="005D7473"/>
    <w:rsid w:val="005D7C57"/>
    <w:rsid w:val="005D7CA7"/>
    <w:rsid w:val="005E1904"/>
    <w:rsid w:val="005E27D5"/>
    <w:rsid w:val="005E2D5C"/>
    <w:rsid w:val="005E396B"/>
    <w:rsid w:val="005E3A95"/>
    <w:rsid w:val="005E4408"/>
    <w:rsid w:val="005E47D9"/>
    <w:rsid w:val="005E52DA"/>
    <w:rsid w:val="005E5858"/>
    <w:rsid w:val="005E65D5"/>
    <w:rsid w:val="005E6A19"/>
    <w:rsid w:val="005E7E5D"/>
    <w:rsid w:val="005F0525"/>
    <w:rsid w:val="005F0901"/>
    <w:rsid w:val="005F2623"/>
    <w:rsid w:val="005F3919"/>
    <w:rsid w:val="005F3CEA"/>
    <w:rsid w:val="005F423D"/>
    <w:rsid w:val="005F474B"/>
    <w:rsid w:val="005F5421"/>
    <w:rsid w:val="005F6EA9"/>
    <w:rsid w:val="006000CC"/>
    <w:rsid w:val="00601C5C"/>
    <w:rsid w:val="00601F10"/>
    <w:rsid w:val="00601FD7"/>
    <w:rsid w:val="00602094"/>
    <w:rsid w:val="0060213A"/>
    <w:rsid w:val="00602C5A"/>
    <w:rsid w:val="00602CCC"/>
    <w:rsid w:val="00602DAD"/>
    <w:rsid w:val="00602E2B"/>
    <w:rsid w:val="00603866"/>
    <w:rsid w:val="0060661B"/>
    <w:rsid w:val="00607E30"/>
    <w:rsid w:val="0061090F"/>
    <w:rsid w:val="00610D2C"/>
    <w:rsid w:val="006119D4"/>
    <w:rsid w:val="00611D9D"/>
    <w:rsid w:val="00612000"/>
    <w:rsid w:val="0061238E"/>
    <w:rsid w:val="006129AA"/>
    <w:rsid w:val="00613396"/>
    <w:rsid w:val="006133D3"/>
    <w:rsid w:val="0061375B"/>
    <w:rsid w:val="00613A93"/>
    <w:rsid w:val="00613EA8"/>
    <w:rsid w:val="00614E62"/>
    <w:rsid w:val="006153D6"/>
    <w:rsid w:val="00615683"/>
    <w:rsid w:val="00616003"/>
    <w:rsid w:val="0061612D"/>
    <w:rsid w:val="006162ED"/>
    <w:rsid w:val="00617660"/>
    <w:rsid w:val="00617CC3"/>
    <w:rsid w:val="00617D4D"/>
    <w:rsid w:val="00620397"/>
    <w:rsid w:val="0062052E"/>
    <w:rsid w:val="0062078D"/>
    <w:rsid w:val="00620AF3"/>
    <w:rsid w:val="00620C1C"/>
    <w:rsid w:val="00621B93"/>
    <w:rsid w:val="006220FB"/>
    <w:rsid w:val="0062250B"/>
    <w:rsid w:val="0062376D"/>
    <w:rsid w:val="00623817"/>
    <w:rsid w:val="00624CC9"/>
    <w:rsid w:val="006255CB"/>
    <w:rsid w:val="00626050"/>
    <w:rsid w:val="006262A1"/>
    <w:rsid w:val="00627ACB"/>
    <w:rsid w:val="006301FE"/>
    <w:rsid w:val="00630955"/>
    <w:rsid w:val="00630BE1"/>
    <w:rsid w:val="00631136"/>
    <w:rsid w:val="00631B51"/>
    <w:rsid w:val="00632412"/>
    <w:rsid w:val="00632BF3"/>
    <w:rsid w:val="006334FF"/>
    <w:rsid w:val="006340FB"/>
    <w:rsid w:val="00634323"/>
    <w:rsid w:val="00634B11"/>
    <w:rsid w:val="0063511E"/>
    <w:rsid w:val="006353BD"/>
    <w:rsid w:val="0063578F"/>
    <w:rsid w:val="00635DA1"/>
    <w:rsid w:val="00635F35"/>
    <w:rsid w:val="006363C4"/>
    <w:rsid w:val="00636D44"/>
    <w:rsid w:val="00637591"/>
    <w:rsid w:val="006377A6"/>
    <w:rsid w:val="00637855"/>
    <w:rsid w:val="00637A3D"/>
    <w:rsid w:val="00637CB5"/>
    <w:rsid w:val="00640291"/>
    <w:rsid w:val="00640956"/>
    <w:rsid w:val="006411EF"/>
    <w:rsid w:val="00641890"/>
    <w:rsid w:val="00641B9F"/>
    <w:rsid w:val="006427C6"/>
    <w:rsid w:val="006438B2"/>
    <w:rsid w:val="00643B16"/>
    <w:rsid w:val="0064466E"/>
    <w:rsid w:val="00645200"/>
    <w:rsid w:val="00645EAD"/>
    <w:rsid w:val="00645FA9"/>
    <w:rsid w:val="0064716A"/>
    <w:rsid w:val="006506DE"/>
    <w:rsid w:val="00650A73"/>
    <w:rsid w:val="00650B1F"/>
    <w:rsid w:val="00651209"/>
    <w:rsid w:val="00652010"/>
    <w:rsid w:val="006534F4"/>
    <w:rsid w:val="006543B3"/>
    <w:rsid w:val="006544AE"/>
    <w:rsid w:val="006548F2"/>
    <w:rsid w:val="006550EA"/>
    <w:rsid w:val="00655AC0"/>
    <w:rsid w:val="00655D1D"/>
    <w:rsid w:val="0065601E"/>
    <w:rsid w:val="00656CFE"/>
    <w:rsid w:val="00657388"/>
    <w:rsid w:val="00660C2A"/>
    <w:rsid w:val="006611A6"/>
    <w:rsid w:val="0066159A"/>
    <w:rsid w:val="00661834"/>
    <w:rsid w:val="0066206B"/>
    <w:rsid w:val="00663243"/>
    <w:rsid w:val="006643C1"/>
    <w:rsid w:val="006649D4"/>
    <w:rsid w:val="00664A27"/>
    <w:rsid w:val="00664A6C"/>
    <w:rsid w:val="00664C89"/>
    <w:rsid w:val="00664F0D"/>
    <w:rsid w:val="00665354"/>
    <w:rsid w:val="00665B12"/>
    <w:rsid w:val="0066686D"/>
    <w:rsid w:val="00666AE1"/>
    <w:rsid w:val="00666DA9"/>
    <w:rsid w:val="0066718E"/>
    <w:rsid w:val="006674F5"/>
    <w:rsid w:val="00667656"/>
    <w:rsid w:val="006702B9"/>
    <w:rsid w:val="006715B8"/>
    <w:rsid w:val="006719AC"/>
    <w:rsid w:val="006725C9"/>
    <w:rsid w:val="006727D2"/>
    <w:rsid w:val="006739E2"/>
    <w:rsid w:val="006748B8"/>
    <w:rsid w:val="00674D63"/>
    <w:rsid w:val="00675F11"/>
    <w:rsid w:val="00676715"/>
    <w:rsid w:val="006775C3"/>
    <w:rsid w:val="00677B8D"/>
    <w:rsid w:val="00680154"/>
    <w:rsid w:val="0068015E"/>
    <w:rsid w:val="0068017D"/>
    <w:rsid w:val="0068040C"/>
    <w:rsid w:val="0068072F"/>
    <w:rsid w:val="00680A45"/>
    <w:rsid w:val="0068106A"/>
    <w:rsid w:val="006817D7"/>
    <w:rsid w:val="0068191E"/>
    <w:rsid w:val="0068211C"/>
    <w:rsid w:val="006822D4"/>
    <w:rsid w:val="00683A07"/>
    <w:rsid w:val="00683A1F"/>
    <w:rsid w:val="00684515"/>
    <w:rsid w:val="00684A6D"/>
    <w:rsid w:val="00685766"/>
    <w:rsid w:val="0068599F"/>
    <w:rsid w:val="006866AC"/>
    <w:rsid w:val="00686F97"/>
    <w:rsid w:val="00687A69"/>
    <w:rsid w:val="00687DFC"/>
    <w:rsid w:val="00687F95"/>
    <w:rsid w:val="00687FEA"/>
    <w:rsid w:val="00690167"/>
    <w:rsid w:val="00690972"/>
    <w:rsid w:val="0069150C"/>
    <w:rsid w:val="00692435"/>
    <w:rsid w:val="00692718"/>
    <w:rsid w:val="0069290A"/>
    <w:rsid w:val="00692B2A"/>
    <w:rsid w:val="00692F47"/>
    <w:rsid w:val="006934FA"/>
    <w:rsid w:val="00693CDE"/>
    <w:rsid w:val="00693F96"/>
    <w:rsid w:val="00694B92"/>
    <w:rsid w:val="00694CEA"/>
    <w:rsid w:val="006952A1"/>
    <w:rsid w:val="006953C8"/>
    <w:rsid w:val="00695AF8"/>
    <w:rsid w:val="00695E16"/>
    <w:rsid w:val="00696492"/>
    <w:rsid w:val="00696CB6"/>
    <w:rsid w:val="00697336"/>
    <w:rsid w:val="00697509"/>
    <w:rsid w:val="0069775A"/>
    <w:rsid w:val="00697813"/>
    <w:rsid w:val="00697E9E"/>
    <w:rsid w:val="00697EF0"/>
    <w:rsid w:val="006A0468"/>
    <w:rsid w:val="006A04CC"/>
    <w:rsid w:val="006A0CBA"/>
    <w:rsid w:val="006A2B55"/>
    <w:rsid w:val="006A2C1B"/>
    <w:rsid w:val="006A2F50"/>
    <w:rsid w:val="006A392D"/>
    <w:rsid w:val="006A3942"/>
    <w:rsid w:val="006A3C31"/>
    <w:rsid w:val="006A3EE8"/>
    <w:rsid w:val="006A4236"/>
    <w:rsid w:val="006A6210"/>
    <w:rsid w:val="006A700B"/>
    <w:rsid w:val="006A711D"/>
    <w:rsid w:val="006A72BF"/>
    <w:rsid w:val="006A7401"/>
    <w:rsid w:val="006B03F2"/>
    <w:rsid w:val="006B1342"/>
    <w:rsid w:val="006B1FD2"/>
    <w:rsid w:val="006B2058"/>
    <w:rsid w:val="006B21A5"/>
    <w:rsid w:val="006B226B"/>
    <w:rsid w:val="006B37DC"/>
    <w:rsid w:val="006B3831"/>
    <w:rsid w:val="006B38AD"/>
    <w:rsid w:val="006B3B96"/>
    <w:rsid w:val="006B3FBD"/>
    <w:rsid w:val="006B424E"/>
    <w:rsid w:val="006B4485"/>
    <w:rsid w:val="006B4F68"/>
    <w:rsid w:val="006B67DB"/>
    <w:rsid w:val="006B7E4A"/>
    <w:rsid w:val="006C02B9"/>
    <w:rsid w:val="006C0384"/>
    <w:rsid w:val="006C0592"/>
    <w:rsid w:val="006C1D37"/>
    <w:rsid w:val="006C272E"/>
    <w:rsid w:val="006C301C"/>
    <w:rsid w:val="006C3C88"/>
    <w:rsid w:val="006C3C9A"/>
    <w:rsid w:val="006C3E0E"/>
    <w:rsid w:val="006C4095"/>
    <w:rsid w:val="006C5479"/>
    <w:rsid w:val="006C6D48"/>
    <w:rsid w:val="006C7115"/>
    <w:rsid w:val="006C76FB"/>
    <w:rsid w:val="006D0DB2"/>
    <w:rsid w:val="006D13B5"/>
    <w:rsid w:val="006D19CF"/>
    <w:rsid w:val="006D1AC0"/>
    <w:rsid w:val="006D22B4"/>
    <w:rsid w:val="006D2DCC"/>
    <w:rsid w:val="006D2E71"/>
    <w:rsid w:val="006D2E93"/>
    <w:rsid w:val="006D30B8"/>
    <w:rsid w:val="006D316C"/>
    <w:rsid w:val="006D35BA"/>
    <w:rsid w:val="006D3E04"/>
    <w:rsid w:val="006D42CD"/>
    <w:rsid w:val="006D44BF"/>
    <w:rsid w:val="006D53BD"/>
    <w:rsid w:val="006D5995"/>
    <w:rsid w:val="006D5B44"/>
    <w:rsid w:val="006D5D78"/>
    <w:rsid w:val="006D5FBC"/>
    <w:rsid w:val="006D6925"/>
    <w:rsid w:val="006E0654"/>
    <w:rsid w:val="006E0E5A"/>
    <w:rsid w:val="006E12FF"/>
    <w:rsid w:val="006E1584"/>
    <w:rsid w:val="006E2606"/>
    <w:rsid w:val="006E2697"/>
    <w:rsid w:val="006E31FC"/>
    <w:rsid w:val="006E3E53"/>
    <w:rsid w:val="006E4BD2"/>
    <w:rsid w:val="006E4CCC"/>
    <w:rsid w:val="006E5249"/>
    <w:rsid w:val="006E54F7"/>
    <w:rsid w:val="006E5B35"/>
    <w:rsid w:val="006E5CC7"/>
    <w:rsid w:val="006E5D40"/>
    <w:rsid w:val="006E5F4E"/>
    <w:rsid w:val="006E607E"/>
    <w:rsid w:val="006E633A"/>
    <w:rsid w:val="006E6DCC"/>
    <w:rsid w:val="006E74A2"/>
    <w:rsid w:val="006E7649"/>
    <w:rsid w:val="006E76C4"/>
    <w:rsid w:val="006E7FEF"/>
    <w:rsid w:val="006F2183"/>
    <w:rsid w:val="006F2CC8"/>
    <w:rsid w:val="006F482A"/>
    <w:rsid w:val="006F4877"/>
    <w:rsid w:val="006F4C79"/>
    <w:rsid w:val="006F4D19"/>
    <w:rsid w:val="006F4E37"/>
    <w:rsid w:val="006F60E5"/>
    <w:rsid w:val="006F6F35"/>
    <w:rsid w:val="006F748E"/>
    <w:rsid w:val="006F76C4"/>
    <w:rsid w:val="007006A9"/>
    <w:rsid w:val="0070072E"/>
    <w:rsid w:val="007009BA"/>
    <w:rsid w:val="00700E0F"/>
    <w:rsid w:val="007017A1"/>
    <w:rsid w:val="00701DD2"/>
    <w:rsid w:val="00702496"/>
    <w:rsid w:val="007024FE"/>
    <w:rsid w:val="007025A4"/>
    <w:rsid w:val="00702AEE"/>
    <w:rsid w:val="007036C9"/>
    <w:rsid w:val="00703D1D"/>
    <w:rsid w:val="007048A2"/>
    <w:rsid w:val="00705744"/>
    <w:rsid w:val="00706833"/>
    <w:rsid w:val="00706C5D"/>
    <w:rsid w:val="0070757C"/>
    <w:rsid w:val="00707A9E"/>
    <w:rsid w:val="007101A8"/>
    <w:rsid w:val="007106F0"/>
    <w:rsid w:val="00710D4C"/>
    <w:rsid w:val="00710F5C"/>
    <w:rsid w:val="00711017"/>
    <w:rsid w:val="00711C99"/>
    <w:rsid w:val="00712392"/>
    <w:rsid w:val="007129F4"/>
    <w:rsid w:val="00713DF5"/>
    <w:rsid w:val="007150C7"/>
    <w:rsid w:val="007151C7"/>
    <w:rsid w:val="00715C03"/>
    <w:rsid w:val="007165D0"/>
    <w:rsid w:val="00716BB2"/>
    <w:rsid w:val="007171DF"/>
    <w:rsid w:val="007176C3"/>
    <w:rsid w:val="007179C6"/>
    <w:rsid w:val="007215C8"/>
    <w:rsid w:val="00721959"/>
    <w:rsid w:val="00721C8C"/>
    <w:rsid w:val="00721F62"/>
    <w:rsid w:val="0072249A"/>
    <w:rsid w:val="007231BD"/>
    <w:rsid w:val="0072375F"/>
    <w:rsid w:val="00723B22"/>
    <w:rsid w:val="00724562"/>
    <w:rsid w:val="00724E44"/>
    <w:rsid w:val="007257E9"/>
    <w:rsid w:val="00725F11"/>
    <w:rsid w:val="00727BAD"/>
    <w:rsid w:val="00727FFA"/>
    <w:rsid w:val="0073001F"/>
    <w:rsid w:val="00730037"/>
    <w:rsid w:val="0073003C"/>
    <w:rsid w:val="0073074E"/>
    <w:rsid w:val="0073198F"/>
    <w:rsid w:val="00732648"/>
    <w:rsid w:val="00732653"/>
    <w:rsid w:val="00732922"/>
    <w:rsid w:val="007337ED"/>
    <w:rsid w:val="007340B8"/>
    <w:rsid w:val="0073421B"/>
    <w:rsid w:val="00734CA7"/>
    <w:rsid w:val="00734DFB"/>
    <w:rsid w:val="00735617"/>
    <w:rsid w:val="00737422"/>
    <w:rsid w:val="0073786B"/>
    <w:rsid w:val="00737D4D"/>
    <w:rsid w:val="00737E18"/>
    <w:rsid w:val="0074105A"/>
    <w:rsid w:val="00741449"/>
    <w:rsid w:val="00741D4E"/>
    <w:rsid w:val="00742072"/>
    <w:rsid w:val="007425AA"/>
    <w:rsid w:val="00744921"/>
    <w:rsid w:val="007477A7"/>
    <w:rsid w:val="00747D09"/>
    <w:rsid w:val="0075162E"/>
    <w:rsid w:val="00751A24"/>
    <w:rsid w:val="00752249"/>
    <w:rsid w:val="00752D39"/>
    <w:rsid w:val="00753932"/>
    <w:rsid w:val="00753BF3"/>
    <w:rsid w:val="00753C7F"/>
    <w:rsid w:val="00753FBC"/>
    <w:rsid w:val="00754034"/>
    <w:rsid w:val="007545A8"/>
    <w:rsid w:val="007552AC"/>
    <w:rsid w:val="00755729"/>
    <w:rsid w:val="00755F3E"/>
    <w:rsid w:val="0075626E"/>
    <w:rsid w:val="00756556"/>
    <w:rsid w:val="00757057"/>
    <w:rsid w:val="0075770A"/>
    <w:rsid w:val="00760783"/>
    <w:rsid w:val="00760C7F"/>
    <w:rsid w:val="00760C9D"/>
    <w:rsid w:val="007618BB"/>
    <w:rsid w:val="007618C4"/>
    <w:rsid w:val="00761FF8"/>
    <w:rsid w:val="007622E8"/>
    <w:rsid w:val="00762959"/>
    <w:rsid w:val="00763216"/>
    <w:rsid w:val="0076431C"/>
    <w:rsid w:val="00764940"/>
    <w:rsid w:val="0076632C"/>
    <w:rsid w:val="00766882"/>
    <w:rsid w:val="00766ACC"/>
    <w:rsid w:val="00766ECC"/>
    <w:rsid w:val="00767980"/>
    <w:rsid w:val="00770516"/>
    <w:rsid w:val="00770B19"/>
    <w:rsid w:val="00771927"/>
    <w:rsid w:val="00772D21"/>
    <w:rsid w:val="00772D75"/>
    <w:rsid w:val="00773004"/>
    <w:rsid w:val="007734A7"/>
    <w:rsid w:val="00773631"/>
    <w:rsid w:val="00773CC5"/>
    <w:rsid w:val="00774199"/>
    <w:rsid w:val="0077446C"/>
    <w:rsid w:val="0077463F"/>
    <w:rsid w:val="007762C1"/>
    <w:rsid w:val="00776C2A"/>
    <w:rsid w:val="007770ED"/>
    <w:rsid w:val="0077710A"/>
    <w:rsid w:val="00777C5F"/>
    <w:rsid w:val="00777ED7"/>
    <w:rsid w:val="00780316"/>
    <w:rsid w:val="007806B6"/>
    <w:rsid w:val="00780AC2"/>
    <w:rsid w:val="00780DAD"/>
    <w:rsid w:val="0078174E"/>
    <w:rsid w:val="00781944"/>
    <w:rsid w:val="00781A98"/>
    <w:rsid w:val="00781BC8"/>
    <w:rsid w:val="00782632"/>
    <w:rsid w:val="00782F3C"/>
    <w:rsid w:val="00783408"/>
    <w:rsid w:val="007836EA"/>
    <w:rsid w:val="007837B6"/>
    <w:rsid w:val="00784AB2"/>
    <w:rsid w:val="00784CDA"/>
    <w:rsid w:val="00785359"/>
    <w:rsid w:val="00785CE8"/>
    <w:rsid w:val="00785D10"/>
    <w:rsid w:val="0078647E"/>
    <w:rsid w:val="007864B5"/>
    <w:rsid w:val="00786771"/>
    <w:rsid w:val="00786CC1"/>
    <w:rsid w:val="00786DBE"/>
    <w:rsid w:val="00786FBB"/>
    <w:rsid w:val="00787207"/>
    <w:rsid w:val="007901E5"/>
    <w:rsid w:val="007906C4"/>
    <w:rsid w:val="00791526"/>
    <w:rsid w:val="00792F16"/>
    <w:rsid w:val="0079341D"/>
    <w:rsid w:val="00793428"/>
    <w:rsid w:val="00793594"/>
    <w:rsid w:val="007940EA"/>
    <w:rsid w:val="00794935"/>
    <w:rsid w:val="00794AD3"/>
    <w:rsid w:val="00794C5B"/>
    <w:rsid w:val="0079576B"/>
    <w:rsid w:val="0079625F"/>
    <w:rsid w:val="007967E8"/>
    <w:rsid w:val="00796C84"/>
    <w:rsid w:val="0079754D"/>
    <w:rsid w:val="007A0174"/>
    <w:rsid w:val="007A0392"/>
    <w:rsid w:val="007A05DE"/>
    <w:rsid w:val="007A177A"/>
    <w:rsid w:val="007A1FAA"/>
    <w:rsid w:val="007A2170"/>
    <w:rsid w:val="007A22BF"/>
    <w:rsid w:val="007A23A9"/>
    <w:rsid w:val="007A2D3F"/>
    <w:rsid w:val="007A2E24"/>
    <w:rsid w:val="007A3323"/>
    <w:rsid w:val="007A3C7F"/>
    <w:rsid w:val="007A4223"/>
    <w:rsid w:val="007A5314"/>
    <w:rsid w:val="007A60EE"/>
    <w:rsid w:val="007A7B50"/>
    <w:rsid w:val="007A7C61"/>
    <w:rsid w:val="007B0038"/>
    <w:rsid w:val="007B087F"/>
    <w:rsid w:val="007B0C42"/>
    <w:rsid w:val="007B22AB"/>
    <w:rsid w:val="007B2608"/>
    <w:rsid w:val="007B2784"/>
    <w:rsid w:val="007B353A"/>
    <w:rsid w:val="007B4888"/>
    <w:rsid w:val="007B4B87"/>
    <w:rsid w:val="007B5CB2"/>
    <w:rsid w:val="007B5CFF"/>
    <w:rsid w:val="007B5F11"/>
    <w:rsid w:val="007B637F"/>
    <w:rsid w:val="007B6C0E"/>
    <w:rsid w:val="007B6E18"/>
    <w:rsid w:val="007B72B8"/>
    <w:rsid w:val="007B7486"/>
    <w:rsid w:val="007B779C"/>
    <w:rsid w:val="007B7957"/>
    <w:rsid w:val="007B7A58"/>
    <w:rsid w:val="007C0CFD"/>
    <w:rsid w:val="007C14EF"/>
    <w:rsid w:val="007C21B5"/>
    <w:rsid w:val="007C27FC"/>
    <w:rsid w:val="007C29BE"/>
    <w:rsid w:val="007C2E3F"/>
    <w:rsid w:val="007C3631"/>
    <w:rsid w:val="007C3B99"/>
    <w:rsid w:val="007C3FA8"/>
    <w:rsid w:val="007C476E"/>
    <w:rsid w:val="007C5133"/>
    <w:rsid w:val="007C555A"/>
    <w:rsid w:val="007C6674"/>
    <w:rsid w:val="007C6738"/>
    <w:rsid w:val="007C6C17"/>
    <w:rsid w:val="007C6D09"/>
    <w:rsid w:val="007C6DCC"/>
    <w:rsid w:val="007C6E86"/>
    <w:rsid w:val="007C74C0"/>
    <w:rsid w:val="007C7575"/>
    <w:rsid w:val="007C7B17"/>
    <w:rsid w:val="007D0CA5"/>
    <w:rsid w:val="007D1CCD"/>
    <w:rsid w:val="007D280E"/>
    <w:rsid w:val="007D292F"/>
    <w:rsid w:val="007D2FD6"/>
    <w:rsid w:val="007D4D90"/>
    <w:rsid w:val="007D4F49"/>
    <w:rsid w:val="007D5027"/>
    <w:rsid w:val="007D531F"/>
    <w:rsid w:val="007D5761"/>
    <w:rsid w:val="007D5C37"/>
    <w:rsid w:val="007D6BFB"/>
    <w:rsid w:val="007D6FF2"/>
    <w:rsid w:val="007D7C15"/>
    <w:rsid w:val="007E0D16"/>
    <w:rsid w:val="007E11A7"/>
    <w:rsid w:val="007E144E"/>
    <w:rsid w:val="007E14EB"/>
    <w:rsid w:val="007E185C"/>
    <w:rsid w:val="007E3879"/>
    <w:rsid w:val="007E44D3"/>
    <w:rsid w:val="007E4507"/>
    <w:rsid w:val="007E4BD2"/>
    <w:rsid w:val="007E53A3"/>
    <w:rsid w:val="007E655B"/>
    <w:rsid w:val="007E6603"/>
    <w:rsid w:val="007E7488"/>
    <w:rsid w:val="007E75A2"/>
    <w:rsid w:val="007E799C"/>
    <w:rsid w:val="007E7C03"/>
    <w:rsid w:val="007F0916"/>
    <w:rsid w:val="007F091E"/>
    <w:rsid w:val="007F0AA9"/>
    <w:rsid w:val="007F0AFD"/>
    <w:rsid w:val="007F0E94"/>
    <w:rsid w:val="007F105C"/>
    <w:rsid w:val="007F18D8"/>
    <w:rsid w:val="007F22EC"/>
    <w:rsid w:val="007F27CB"/>
    <w:rsid w:val="007F2C91"/>
    <w:rsid w:val="007F31BC"/>
    <w:rsid w:val="007F3AE0"/>
    <w:rsid w:val="007F4C31"/>
    <w:rsid w:val="007F4D42"/>
    <w:rsid w:val="007F50B4"/>
    <w:rsid w:val="007F6B73"/>
    <w:rsid w:val="007F708B"/>
    <w:rsid w:val="007F751E"/>
    <w:rsid w:val="007F7F4E"/>
    <w:rsid w:val="00801393"/>
    <w:rsid w:val="0080214A"/>
    <w:rsid w:val="00802807"/>
    <w:rsid w:val="00802C28"/>
    <w:rsid w:val="00802DD5"/>
    <w:rsid w:val="00802F88"/>
    <w:rsid w:val="008046DA"/>
    <w:rsid w:val="00804883"/>
    <w:rsid w:val="00805BC1"/>
    <w:rsid w:val="00806B3E"/>
    <w:rsid w:val="00807FD3"/>
    <w:rsid w:val="0081004A"/>
    <w:rsid w:val="008103D7"/>
    <w:rsid w:val="00811247"/>
    <w:rsid w:val="00811280"/>
    <w:rsid w:val="00811546"/>
    <w:rsid w:val="0081293E"/>
    <w:rsid w:val="00812AD6"/>
    <w:rsid w:val="00812B8F"/>
    <w:rsid w:val="00813030"/>
    <w:rsid w:val="00814432"/>
    <w:rsid w:val="00814F9F"/>
    <w:rsid w:val="008152DD"/>
    <w:rsid w:val="00815465"/>
    <w:rsid w:val="008162DB"/>
    <w:rsid w:val="00816469"/>
    <w:rsid w:val="00816734"/>
    <w:rsid w:val="00816DD8"/>
    <w:rsid w:val="0081731C"/>
    <w:rsid w:val="00817E9A"/>
    <w:rsid w:val="0082122B"/>
    <w:rsid w:val="008219E4"/>
    <w:rsid w:val="00822229"/>
    <w:rsid w:val="00822688"/>
    <w:rsid w:val="008228B9"/>
    <w:rsid w:val="00823772"/>
    <w:rsid w:val="0082402C"/>
    <w:rsid w:val="00824B58"/>
    <w:rsid w:val="008250D6"/>
    <w:rsid w:val="0082520C"/>
    <w:rsid w:val="00825B53"/>
    <w:rsid w:val="0082612D"/>
    <w:rsid w:val="00826196"/>
    <w:rsid w:val="00827DB2"/>
    <w:rsid w:val="008302DF"/>
    <w:rsid w:val="008306BD"/>
    <w:rsid w:val="008306BE"/>
    <w:rsid w:val="00830D16"/>
    <w:rsid w:val="008310F5"/>
    <w:rsid w:val="00831206"/>
    <w:rsid w:val="00831553"/>
    <w:rsid w:val="00831A80"/>
    <w:rsid w:val="00832AF0"/>
    <w:rsid w:val="00833743"/>
    <w:rsid w:val="008340A4"/>
    <w:rsid w:val="00834207"/>
    <w:rsid w:val="0083464D"/>
    <w:rsid w:val="00835AEA"/>
    <w:rsid w:val="00836575"/>
    <w:rsid w:val="00836B36"/>
    <w:rsid w:val="008371A1"/>
    <w:rsid w:val="00837621"/>
    <w:rsid w:val="00837AB1"/>
    <w:rsid w:val="008413E8"/>
    <w:rsid w:val="00841612"/>
    <w:rsid w:val="00841FD1"/>
    <w:rsid w:val="00842954"/>
    <w:rsid w:val="0084451A"/>
    <w:rsid w:val="0084472A"/>
    <w:rsid w:val="0084474F"/>
    <w:rsid w:val="00845501"/>
    <w:rsid w:val="00847116"/>
    <w:rsid w:val="00847932"/>
    <w:rsid w:val="00850DE8"/>
    <w:rsid w:val="008519C1"/>
    <w:rsid w:val="00851F17"/>
    <w:rsid w:val="00851FBA"/>
    <w:rsid w:val="008524AF"/>
    <w:rsid w:val="0085253A"/>
    <w:rsid w:val="0085269D"/>
    <w:rsid w:val="008533D8"/>
    <w:rsid w:val="00853E24"/>
    <w:rsid w:val="00854131"/>
    <w:rsid w:val="0085598E"/>
    <w:rsid w:val="008562B3"/>
    <w:rsid w:val="00856638"/>
    <w:rsid w:val="0085684F"/>
    <w:rsid w:val="00856BF5"/>
    <w:rsid w:val="00861704"/>
    <w:rsid w:val="00861B9C"/>
    <w:rsid w:val="00861F4B"/>
    <w:rsid w:val="008627E2"/>
    <w:rsid w:val="00862AFF"/>
    <w:rsid w:val="008639D3"/>
    <w:rsid w:val="00863ACF"/>
    <w:rsid w:val="0086665C"/>
    <w:rsid w:val="00866B25"/>
    <w:rsid w:val="00866F55"/>
    <w:rsid w:val="008708EC"/>
    <w:rsid w:val="00870922"/>
    <w:rsid w:val="00870D0B"/>
    <w:rsid w:val="00871337"/>
    <w:rsid w:val="0087135F"/>
    <w:rsid w:val="008718E5"/>
    <w:rsid w:val="008723EE"/>
    <w:rsid w:val="00872D94"/>
    <w:rsid w:val="00873996"/>
    <w:rsid w:val="00873D2E"/>
    <w:rsid w:val="008740FA"/>
    <w:rsid w:val="008747CB"/>
    <w:rsid w:val="00874D17"/>
    <w:rsid w:val="00874D33"/>
    <w:rsid w:val="008750E7"/>
    <w:rsid w:val="00875F9F"/>
    <w:rsid w:val="0087632B"/>
    <w:rsid w:val="00876456"/>
    <w:rsid w:val="00876571"/>
    <w:rsid w:val="00877849"/>
    <w:rsid w:val="0088026D"/>
    <w:rsid w:val="00880364"/>
    <w:rsid w:val="00881543"/>
    <w:rsid w:val="008827B0"/>
    <w:rsid w:val="00882C80"/>
    <w:rsid w:val="008832FB"/>
    <w:rsid w:val="00883CCF"/>
    <w:rsid w:val="00883E23"/>
    <w:rsid w:val="008849CC"/>
    <w:rsid w:val="008851DE"/>
    <w:rsid w:val="00885D31"/>
    <w:rsid w:val="00886791"/>
    <w:rsid w:val="00886809"/>
    <w:rsid w:val="00886982"/>
    <w:rsid w:val="00886BF5"/>
    <w:rsid w:val="00886D1D"/>
    <w:rsid w:val="0088782A"/>
    <w:rsid w:val="00887CF1"/>
    <w:rsid w:val="008902FF"/>
    <w:rsid w:val="0089103C"/>
    <w:rsid w:val="008911AA"/>
    <w:rsid w:val="00891592"/>
    <w:rsid w:val="00891E9E"/>
    <w:rsid w:val="00891EB4"/>
    <w:rsid w:val="00891ECB"/>
    <w:rsid w:val="00892102"/>
    <w:rsid w:val="008925E7"/>
    <w:rsid w:val="00893F40"/>
    <w:rsid w:val="008951A3"/>
    <w:rsid w:val="0089550C"/>
    <w:rsid w:val="008967F0"/>
    <w:rsid w:val="008969DA"/>
    <w:rsid w:val="00897764"/>
    <w:rsid w:val="00897AD7"/>
    <w:rsid w:val="008A0810"/>
    <w:rsid w:val="008A2F68"/>
    <w:rsid w:val="008A316C"/>
    <w:rsid w:val="008A4151"/>
    <w:rsid w:val="008A4981"/>
    <w:rsid w:val="008A4CF3"/>
    <w:rsid w:val="008A5CA2"/>
    <w:rsid w:val="008A6816"/>
    <w:rsid w:val="008A6D00"/>
    <w:rsid w:val="008A7606"/>
    <w:rsid w:val="008A7972"/>
    <w:rsid w:val="008B0195"/>
    <w:rsid w:val="008B0F38"/>
    <w:rsid w:val="008B1DAA"/>
    <w:rsid w:val="008B1F1D"/>
    <w:rsid w:val="008B2236"/>
    <w:rsid w:val="008B22C2"/>
    <w:rsid w:val="008B4092"/>
    <w:rsid w:val="008B41F4"/>
    <w:rsid w:val="008B4EA9"/>
    <w:rsid w:val="008B4FA6"/>
    <w:rsid w:val="008B5282"/>
    <w:rsid w:val="008B5676"/>
    <w:rsid w:val="008B699F"/>
    <w:rsid w:val="008B6B81"/>
    <w:rsid w:val="008B6D54"/>
    <w:rsid w:val="008B762D"/>
    <w:rsid w:val="008B794E"/>
    <w:rsid w:val="008B7C17"/>
    <w:rsid w:val="008C1283"/>
    <w:rsid w:val="008C2D01"/>
    <w:rsid w:val="008C2E10"/>
    <w:rsid w:val="008C3C3C"/>
    <w:rsid w:val="008C40E6"/>
    <w:rsid w:val="008C4105"/>
    <w:rsid w:val="008C5E59"/>
    <w:rsid w:val="008C62F8"/>
    <w:rsid w:val="008C77B5"/>
    <w:rsid w:val="008C7A6D"/>
    <w:rsid w:val="008C7AEB"/>
    <w:rsid w:val="008D0171"/>
    <w:rsid w:val="008D0F7A"/>
    <w:rsid w:val="008D1342"/>
    <w:rsid w:val="008D25B2"/>
    <w:rsid w:val="008D2A64"/>
    <w:rsid w:val="008D2B87"/>
    <w:rsid w:val="008D337D"/>
    <w:rsid w:val="008D3795"/>
    <w:rsid w:val="008D4143"/>
    <w:rsid w:val="008D4A10"/>
    <w:rsid w:val="008D4D87"/>
    <w:rsid w:val="008D5B84"/>
    <w:rsid w:val="008D68E4"/>
    <w:rsid w:val="008D6A4B"/>
    <w:rsid w:val="008D6BAB"/>
    <w:rsid w:val="008D7507"/>
    <w:rsid w:val="008E0506"/>
    <w:rsid w:val="008E073B"/>
    <w:rsid w:val="008E0CFF"/>
    <w:rsid w:val="008E12D9"/>
    <w:rsid w:val="008E2D89"/>
    <w:rsid w:val="008E3D0B"/>
    <w:rsid w:val="008E5375"/>
    <w:rsid w:val="008E5A53"/>
    <w:rsid w:val="008E5D6B"/>
    <w:rsid w:val="008E5EE5"/>
    <w:rsid w:val="008E649B"/>
    <w:rsid w:val="008E76F0"/>
    <w:rsid w:val="008E7AC5"/>
    <w:rsid w:val="008E7B12"/>
    <w:rsid w:val="008E7FB4"/>
    <w:rsid w:val="008F09C1"/>
    <w:rsid w:val="008F107D"/>
    <w:rsid w:val="008F15FE"/>
    <w:rsid w:val="008F1923"/>
    <w:rsid w:val="008F2D29"/>
    <w:rsid w:val="008F2F1E"/>
    <w:rsid w:val="008F3591"/>
    <w:rsid w:val="008F4377"/>
    <w:rsid w:val="008F4B3A"/>
    <w:rsid w:val="008F4DC7"/>
    <w:rsid w:val="008F50A9"/>
    <w:rsid w:val="008F5187"/>
    <w:rsid w:val="008F5EEE"/>
    <w:rsid w:val="008F60D8"/>
    <w:rsid w:val="008F681C"/>
    <w:rsid w:val="008F7083"/>
    <w:rsid w:val="0090106C"/>
    <w:rsid w:val="009011F9"/>
    <w:rsid w:val="00902727"/>
    <w:rsid w:val="00902771"/>
    <w:rsid w:val="0090312B"/>
    <w:rsid w:val="009034F6"/>
    <w:rsid w:val="009047B7"/>
    <w:rsid w:val="009059BD"/>
    <w:rsid w:val="00905BC8"/>
    <w:rsid w:val="00905D5F"/>
    <w:rsid w:val="0090671A"/>
    <w:rsid w:val="00906995"/>
    <w:rsid w:val="00907BA7"/>
    <w:rsid w:val="00910BA8"/>
    <w:rsid w:val="009118FF"/>
    <w:rsid w:val="00912789"/>
    <w:rsid w:val="00912992"/>
    <w:rsid w:val="00912F94"/>
    <w:rsid w:val="00912FDF"/>
    <w:rsid w:val="009136B7"/>
    <w:rsid w:val="00913731"/>
    <w:rsid w:val="00913D77"/>
    <w:rsid w:val="009157A6"/>
    <w:rsid w:val="00915B5E"/>
    <w:rsid w:val="00915D3E"/>
    <w:rsid w:val="009160D1"/>
    <w:rsid w:val="00916455"/>
    <w:rsid w:val="00916825"/>
    <w:rsid w:val="0091736D"/>
    <w:rsid w:val="009175CA"/>
    <w:rsid w:val="009177C3"/>
    <w:rsid w:val="009179DC"/>
    <w:rsid w:val="0092131F"/>
    <w:rsid w:val="00921395"/>
    <w:rsid w:val="009220B3"/>
    <w:rsid w:val="009222DB"/>
    <w:rsid w:val="009226C3"/>
    <w:rsid w:val="00922851"/>
    <w:rsid w:val="00922E57"/>
    <w:rsid w:val="0092306A"/>
    <w:rsid w:val="00923662"/>
    <w:rsid w:val="00923FF0"/>
    <w:rsid w:val="00924290"/>
    <w:rsid w:val="00924352"/>
    <w:rsid w:val="009249E3"/>
    <w:rsid w:val="00924E84"/>
    <w:rsid w:val="00924F3E"/>
    <w:rsid w:val="009254C7"/>
    <w:rsid w:val="00925767"/>
    <w:rsid w:val="00925B85"/>
    <w:rsid w:val="00925F58"/>
    <w:rsid w:val="0093037A"/>
    <w:rsid w:val="0093050E"/>
    <w:rsid w:val="0093253A"/>
    <w:rsid w:val="00932A9C"/>
    <w:rsid w:val="009330CC"/>
    <w:rsid w:val="00933E46"/>
    <w:rsid w:val="009342AE"/>
    <w:rsid w:val="009344B4"/>
    <w:rsid w:val="0093471E"/>
    <w:rsid w:val="00934A5E"/>
    <w:rsid w:val="009374AF"/>
    <w:rsid w:val="009402E8"/>
    <w:rsid w:val="009406CF"/>
    <w:rsid w:val="0094154D"/>
    <w:rsid w:val="009419F2"/>
    <w:rsid w:val="009429D9"/>
    <w:rsid w:val="009439BE"/>
    <w:rsid w:val="00943FA5"/>
    <w:rsid w:val="00944326"/>
    <w:rsid w:val="00944AAC"/>
    <w:rsid w:val="00944E0D"/>
    <w:rsid w:val="0094548E"/>
    <w:rsid w:val="0094647D"/>
    <w:rsid w:val="00946512"/>
    <w:rsid w:val="00946A18"/>
    <w:rsid w:val="00950379"/>
    <w:rsid w:val="009509B1"/>
    <w:rsid w:val="00950B0A"/>
    <w:rsid w:val="0095128A"/>
    <w:rsid w:val="0095155F"/>
    <w:rsid w:val="00951EEC"/>
    <w:rsid w:val="009520C0"/>
    <w:rsid w:val="009521E7"/>
    <w:rsid w:val="00952316"/>
    <w:rsid w:val="0095245D"/>
    <w:rsid w:val="00952D15"/>
    <w:rsid w:val="0095397A"/>
    <w:rsid w:val="00953D5E"/>
    <w:rsid w:val="00954429"/>
    <w:rsid w:val="009550DC"/>
    <w:rsid w:val="009554ED"/>
    <w:rsid w:val="00955A4E"/>
    <w:rsid w:val="009563CE"/>
    <w:rsid w:val="009570F2"/>
    <w:rsid w:val="00957F59"/>
    <w:rsid w:val="00957FDD"/>
    <w:rsid w:val="00960C25"/>
    <w:rsid w:val="00960E10"/>
    <w:rsid w:val="00961028"/>
    <w:rsid w:val="009623A7"/>
    <w:rsid w:val="00962FAA"/>
    <w:rsid w:val="00963448"/>
    <w:rsid w:val="009635AE"/>
    <w:rsid w:val="009636FD"/>
    <w:rsid w:val="0096405E"/>
    <w:rsid w:val="00964095"/>
    <w:rsid w:val="00967931"/>
    <w:rsid w:val="00967DA3"/>
    <w:rsid w:val="00970445"/>
    <w:rsid w:val="00971C8D"/>
    <w:rsid w:val="009723F9"/>
    <w:rsid w:val="00972968"/>
    <w:rsid w:val="00972A7B"/>
    <w:rsid w:val="00972DEB"/>
    <w:rsid w:val="0097349E"/>
    <w:rsid w:val="00973B02"/>
    <w:rsid w:val="00975273"/>
    <w:rsid w:val="00976328"/>
    <w:rsid w:val="0097680D"/>
    <w:rsid w:val="00976832"/>
    <w:rsid w:val="00976CB4"/>
    <w:rsid w:val="009772DC"/>
    <w:rsid w:val="00977713"/>
    <w:rsid w:val="00981094"/>
    <w:rsid w:val="0098196A"/>
    <w:rsid w:val="00982438"/>
    <w:rsid w:val="00982AF4"/>
    <w:rsid w:val="00983083"/>
    <w:rsid w:val="00983589"/>
    <w:rsid w:val="00983E3A"/>
    <w:rsid w:val="0098404C"/>
    <w:rsid w:val="00984102"/>
    <w:rsid w:val="00984964"/>
    <w:rsid w:val="00985283"/>
    <w:rsid w:val="00985577"/>
    <w:rsid w:val="009856D0"/>
    <w:rsid w:val="009859C9"/>
    <w:rsid w:val="00986E79"/>
    <w:rsid w:val="00986E88"/>
    <w:rsid w:val="009876F2"/>
    <w:rsid w:val="00990580"/>
    <w:rsid w:val="009908A8"/>
    <w:rsid w:val="00990FE3"/>
    <w:rsid w:val="00992C99"/>
    <w:rsid w:val="00992D60"/>
    <w:rsid w:val="00993AD0"/>
    <w:rsid w:val="00993BD7"/>
    <w:rsid w:val="0099410E"/>
    <w:rsid w:val="00994687"/>
    <w:rsid w:val="00995247"/>
    <w:rsid w:val="00995449"/>
    <w:rsid w:val="00995992"/>
    <w:rsid w:val="00995A50"/>
    <w:rsid w:val="00996124"/>
    <w:rsid w:val="009969EC"/>
    <w:rsid w:val="00996E29"/>
    <w:rsid w:val="009A03E5"/>
    <w:rsid w:val="009A0806"/>
    <w:rsid w:val="009A0957"/>
    <w:rsid w:val="009A0F3B"/>
    <w:rsid w:val="009A1592"/>
    <w:rsid w:val="009A17CE"/>
    <w:rsid w:val="009A1BB4"/>
    <w:rsid w:val="009A2628"/>
    <w:rsid w:val="009A3200"/>
    <w:rsid w:val="009A4003"/>
    <w:rsid w:val="009A4A56"/>
    <w:rsid w:val="009A573E"/>
    <w:rsid w:val="009A5C4A"/>
    <w:rsid w:val="009A67F1"/>
    <w:rsid w:val="009A6E15"/>
    <w:rsid w:val="009A7543"/>
    <w:rsid w:val="009A77A6"/>
    <w:rsid w:val="009A78BF"/>
    <w:rsid w:val="009A790A"/>
    <w:rsid w:val="009B0897"/>
    <w:rsid w:val="009B5210"/>
    <w:rsid w:val="009B5795"/>
    <w:rsid w:val="009B57FA"/>
    <w:rsid w:val="009B5B8F"/>
    <w:rsid w:val="009B7230"/>
    <w:rsid w:val="009B7726"/>
    <w:rsid w:val="009B7901"/>
    <w:rsid w:val="009B7AE2"/>
    <w:rsid w:val="009B7BD9"/>
    <w:rsid w:val="009C06E8"/>
    <w:rsid w:val="009C128C"/>
    <w:rsid w:val="009C1D58"/>
    <w:rsid w:val="009C1FF1"/>
    <w:rsid w:val="009C22B0"/>
    <w:rsid w:val="009C23B7"/>
    <w:rsid w:val="009C24B3"/>
    <w:rsid w:val="009C2740"/>
    <w:rsid w:val="009C279B"/>
    <w:rsid w:val="009C28BB"/>
    <w:rsid w:val="009C3027"/>
    <w:rsid w:val="009C3A1C"/>
    <w:rsid w:val="009C3B2A"/>
    <w:rsid w:val="009C414F"/>
    <w:rsid w:val="009C4899"/>
    <w:rsid w:val="009C4B52"/>
    <w:rsid w:val="009C4E19"/>
    <w:rsid w:val="009C4E54"/>
    <w:rsid w:val="009C5690"/>
    <w:rsid w:val="009C5DFD"/>
    <w:rsid w:val="009C7DD5"/>
    <w:rsid w:val="009D077C"/>
    <w:rsid w:val="009D12A5"/>
    <w:rsid w:val="009D18BC"/>
    <w:rsid w:val="009D2857"/>
    <w:rsid w:val="009D3173"/>
    <w:rsid w:val="009D33A0"/>
    <w:rsid w:val="009D35F1"/>
    <w:rsid w:val="009D4381"/>
    <w:rsid w:val="009D4ACE"/>
    <w:rsid w:val="009D508F"/>
    <w:rsid w:val="009D6456"/>
    <w:rsid w:val="009D6795"/>
    <w:rsid w:val="009E1BD5"/>
    <w:rsid w:val="009E227D"/>
    <w:rsid w:val="009E3517"/>
    <w:rsid w:val="009E356E"/>
    <w:rsid w:val="009E3768"/>
    <w:rsid w:val="009E5019"/>
    <w:rsid w:val="009E5BA2"/>
    <w:rsid w:val="009E66D4"/>
    <w:rsid w:val="009E6903"/>
    <w:rsid w:val="009E6B3C"/>
    <w:rsid w:val="009E732E"/>
    <w:rsid w:val="009F1486"/>
    <w:rsid w:val="009F1A44"/>
    <w:rsid w:val="009F1AB5"/>
    <w:rsid w:val="009F2CDE"/>
    <w:rsid w:val="009F4794"/>
    <w:rsid w:val="009F492B"/>
    <w:rsid w:val="009F543F"/>
    <w:rsid w:val="009F64C9"/>
    <w:rsid w:val="009F6DEF"/>
    <w:rsid w:val="009F71AD"/>
    <w:rsid w:val="00A00505"/>
    <w:rsid w:val="00A00BEF"/>
    <w:rsid w:val="00A01293"/>
    <w:rsid w:val="00A012C3"/>
    <w:rsid w:val="00A01948"/>
    <w:rsid w:val="00A023C4"/>
    <w:rsid w:val="00A028F7"/>
    <w:rsid w:val="00A02C5A"/>
    <w:rsid w:val="00A02CF9"/>
    <w:rsid w:val="00A03ACA"/>
    <w:rsid w:val="00A04817"/>
    <w:rsid w:val="00A04909"/>
    <w:rsid w:val="00A04AF1"/>
    <w:rsid w:val="00A04CAB"/>
    <w:rsid w:val="00A04F1B"/>
    <w:rsid w:val="00A0501B"/>
    <w:rsid w:val="00A059C6"/>
    <w:rsid w:val="00A05B93"/>
    <w:rsid w:val="00A0780F"/>
    <w:rsid w:val="00A07EC4"/>
    <w:rsid w:val="00A1093E"/>
    <w:rsid w:val="00A113A3"/>
    <w:rsid w:val="00A11488"/>
    <w:rsid w:val="00A11718"/>
    <w:rsid w:val="00A1233B"/>
    <w:rsid w:val="00A1400B"/>
    <w:rsid w:val="00A148C3"/>
    <w:rsid w:val="00A1490A"/>
    <w:rsid w:val="00A14947"/>
    <w:rsid w:val="00A150E8"/>
    <w:rsid w:val="00A150FF"/>
    <w:rsid w:val="00A15BF0"/>
    <w:rsid w:val="00A1622C"/>
    <w:rsid w:val="00A162DB"/>
    <w:rsid w:val="00A1740B"/>
    <w:rsid w:val="00A17FDE"/>
    <w:rsid w:val="00A2018F"/>
    <w:rsid w:val="00A20805"/>
    <w:rsid w:val="00A24A4E"/>
    <w:rsid w:val="00A24E0C"/>
    <w:rsid w:val="00A25AFD"/>
    <w:rsid w:val="00A2661E"/>
    <w:rsid w:val="00A26764"/>
    <w:rsid w:val="00A26A35"/>
    <w:rsid w:val="00A26F60"/>
    <w:rsid w:val="00A27109"/>
    <w:rsid w:val="00A2776B"/>
    <w:rsid w:val="00A27ED0"/>
    <w:rsid w:val="00A30173"/>
    <w:rsid w:val="00A304D1"/>
    <w:rsid w:val="00A3097D"/>
    <w:rsid w:val="00A3135D"/>
    <w:rsid w:val="00A318B6"/>
    <w:rsid w:val="00A319FA"/>
    <w:rsid w:val="00A31F05"/>
    <w:rsid w:val="00A321D9"/>
    <w:rsid w:val="00A3282E"/>
    <w:rsid w:val="00A3289E"/>
    <w:rsid w:val="00A32A83"/>
    <w:rsid w:val="00A33358"/>
    <w:rsid w:val="00A33674"/>
    <w:rsid w:val="00A346F6"/>
    <w:rsid w:val="00A34A86"/>
    <w:rsid w:val="00A35CCB"/>
    <w:rsid w:val="00A36490"/>
    <w:rsid w:val="00A368DB"/>
    <w:rsid w:val="00A376D1"/>
    <w:rsid w:val="00A377B8"/>
    <w:rsid w:val="00A37C3B"/>
    <w:rsid w:val="00A403E4"/>
    <w:rsid w:val="00A42388"/>
    <w:rsid w:val="00A423AA"/>
    <w:rsid w:val="00A42E01"/>
    <w:rsid w:val="00A43476"/>
    <w:rsid w:val="00A43D28"/>
    <w:rsid w:val="00A443AE"/>
    <w:rsid w:val="00A44864"/>
    <w:rsid w:val="00A452A8"/>
    <w:rsid w:val="00A456B2"/>
    <w:rsid w:val="00A4571E"/>
    <w:rsid w:val="00A4725A"/>
    <w:rsid w:val="00A47704"/>
    <w:rsid w:val="00A47D0C"/>
    <w:rsid w:val="00A47D2D"/>
    <w:rsid w:val="00A507B2"/>
    <w:rsid w:val="00A50C57"/>
    <w:rsid w:val="00A50FDC"/>
    <w:rsid w:val="00A519BD"/>
    <w:rsid w:val="00A51C34"/>
    <w:rsid w:val="00A51CA4"/>
    <w:rsid w:val="00A51FDD"/>
    <w:rsid w:val="00A52358"/>
    <w:rsid w:val="00A525CB"/>
    <w:rsid w:val="00A530EE"/>
    <w:rsid w:val="00A532AE"/>
    <w:rsid w:val="00A53655"/>
    <w:rsid w:val="00A53A6D"/>
    <w:rsid w:val="00A53EC6"/>
    <w:rsid w:val="00A55603"/>
    <w:rsid w:val="00A55635"/>
    <w:rsid w:val="00A55C0F"/>
    <w:rsid w:val="00A55F92"/>
    <w:rsid w:val="00A5606F"/>
    <w:rsid w:val="00A56229"/>
    <w:rsid w:val="00A56E04"/>
    <w:rsid w:val="00A57607"/>
    <w:rsid w:val="00A60027"/>
    <w:rsid w:val="00A6045E"/>
    <w:rsid w:val="00A61BAD"/>
    <w:rsid w:val="00A62C9C"/>
    <w:rsid w:val="00A63905"/>
    <w:rsid w:val="00A63B00"/>
    <w:rsid w:val="00A63F28"/>
    <w:rsid w:val="00A64C66"/>
    <w:rsid w:val="00A651BC"/>
    <w:rsid w:val="00A654A7"/>
    <w:rsid w:val="00A6595A"/>
    <w:rsid w:val="00A65A20"/>
    <w:rsid w:val="00A65C26"/>
    <w:rsid w:val="00A662E8"/>
    <w:rsid w:val="00A6659E"/>
    <w:rsid w:val="00A66D6D"/>
    <w:rsid w:val="00A67178"/>
    <w:rsid w:val="00A67685"/>
    <w:rsid w:val="00A67BBF"/>
    <w:rsid w:val="00A67CAF"/>
    <w:rsid w:val="00A71310"/>
    <w:rsid w:val="00A71321"/>
    <w:rsid w:val="00A71522"/>
    <w:rsid w:val="00A71820"/>
    <w:rsid w:val="00A71CC7"/>
    <w:rsid w:val="00A71F21"/>
    <w:rsid w:val="00A720AE"/>
    <w:rsid w:val="00A73792"/>
    <w:rsid w:val="00A73F59"/>
    <w:rsid w:val="00A73FB0"/>
    <w:rsid w:val="00A7466E"/>
    <w:rsid w:val="00A74804"/>
    <w:rsid w:val="00A75DB2"/>
    <w:rsid w:val="00A75E6C"/>
    <w:rsid w:val="00A764F5"/>
    <w:rsid w:val="00A7655D"/>
    <w:rsid w:val="00A76BF5"/>
    <w:rsid w:val="00A76D80"/>
    <w:rsid w:val="00A76EE9"/>
    <w:rsid w:val="00A7702A"/>
    <w:rsid w:val="00A772D5"/>
    <w:rsid w:val="00A775B3"/>
    <w:rsid w:val="00A777E6"/>
    <w:rsid w:val="00A81F69"/>
    <w:rsid w:val="00A82C3B"/>
    <w:rsid w:val="00A83CA3"/>
    <w:rsid w:val="00A83E80"/>
    <w:rsid w:val="00A85124"/>
    <w:rsid w:val="00A85BA9"/>
    <w:rsid w:val="00A86362"/>
    <w:rsid w:val="00A8713F"/>
    <w:rsid w:val="00A87176"/>
    <w:rsid w:val="00A90BA1"/>
    <w:rsid w:val="00A90E0E"/>
    <w:rsid w:val="00A90EED"/>
    <w:rsid w:val="00A9155B"/>
    <w:rsid w:val="00A91A9B"/>
    <w:rsid w:val="00A921FE"/>
    <w:rsid w:val="00A922AE"/>
    <w:rsid w:val="00A92B94"/>
    <w:rsid w:val="00A935E0"/>
    <w:rsid w:val="00A94F0B"/>
    <w:rsid w:val="00A961FC"/>
    <w:rsid w:val="00A964AF"/>
    <w:rsid w:val="00A96C37"/>
    <w:rsid w:val="00A96FF9"/>
    <w:rsid w:val="00A97772"/>
    <w:rsid w:val="00A97A9A"/>
    <w:rsid w:val="00A97E65"/>
    <w:rsid w:val="00AA03A2"/>
    <w:rsid w:val="00AA0671"/>
    <w:rsid w:val="00AA0A4A"/>
    <w:rsid w:val="00AA11CD"/>
    <w:rsid w:val="00AA2531"/>
    <w:rsid w:val="00AA2F97"/>
    <w:rsid w:val="00AA3AD9"/>
    <w:rsid w:val="00AA3DE4"/>
    <w:rsid w:val="00AA42B3"/>
    <w:rsid w:val="00AA4C43"/>
    <w:rsid w:val="00AA4F22"/>
    <w:rsid w:val="00AA63E9"/>
    <w:rsid w:val="00AA641D"/>
    <w:rsid w:val="00AA70AC"/>
    <w:rsid w:val="00AA7607"/>
    <w:rsid w:val="00AA7935"/>
    <w:rsid w:val="00AA7943"/>
    <w:rsid w:val="00AB1E09"/>
    <w:rsid w:val="00AB2467"/>
    <w:rsid w:val="00AB2C46"/>
    <w:rsid w:val="00AB30CD"/>
    <w:rsid w:val="00AB3466"/>
    <w:rsid w:val="00AB433E"/>
    <w:rsid w:val="00AB43AE"/>
    <w:rsid w:val="00AB4E5F"/>
    <w:rsid w:val="00AB5330"/>
    <w:rsid w:val="00AB545C"/>
    <w:rsid w:val="00AB5B90"/>
    <w:rsid w:val="00AB64B2"/>
    <w:rsid w:val="00AB6FB4"/>
    <w:rsid w:val="00AB7747"/>
    <w:rsid w:val="00AC053A"/>
    <w:rsid w:val="00AC0EB8"/>
    <w:rsid w:val="00AC14CE"/>
    <w:rsid w:val="00AC15A2"/>
    <w:rsid w:val="00AC1AC7"/>
    <w:rsid w:val="00AC2715"/>
    <w:rsid w:val="00AC2A56"/>
    <w:rsid w:val="00AC33C9"/>
    <w:rsid w:val="00AC4235"/>
    <w:rsid w:val="00AC483D"/>
    <w:rsid w:val="00AC5D36"/>
    <w:rsid w:val="00AC6E56"/>
    <w:rsid w:val="00AC76CB"/>
    <w:rsid w:val="00AC7775"/>
    <w:rsid w:val="00AC7F67"/>
    <w:rsid w:val="00AC7FFE"/>
    <w:rsid w:val="00AD02FC"/>
    <w:rsid w:val="00AD055E"/>
    <w:rsid w:val="00AD0701"/>
    <w:rsid w:val="00AD07B3"/>
    <w:rsid w:val="00AD13E5"/>
    <w:rsid w:val="00AD2210"/>
    <w:rsid w:val="00AD22B8"/>
    <w:rsid w:val="00AD47A7"/>
    <w:rsid w:val="00AD550B"/>
    <w:rsid w:val="00AD586B"/>
    <w:rsid w:val="00AD5B88"/>
    <w:rsid w:val="00AD65C0"/>
    <w:rsid w:val="00AD6B19"/>
    <w:rsid w:val="00AD73A3"/>
    <w:rsid w:val="00AD7CB4"/>
    <w:rsid w:val="00AE008B"/>
    <w:rsid w:val="00AE0E1B"/>
    <w:rsid w:val="00AE0EE0"/>
    <w:rsid w:val="00AE169A"/>
    <w:rsid w:val="00AE187D"/>
    <w:rsid w:val="00AE27C0"/>
    <w:rsid w:val="00AE31A5"/>
    <w:rsid w:val="00AE3693"/>
    <w:rsid w:val="00AE48C2"/>
    <w:rsid w:val="00AE4B4F"/>
    <w:rsid w:val="00AE5025"/>
    <w:rsid w:val="00AE5984"/>
    <w:rsid w:val="00AE6351"/>
    <w:rsid w:val="00AE7041"/>
    <w:rsid w:val="00AE7160"/>
    <w:rsid w:val="00AF012D"/>
    <w:rsid w:val="00AF078E"/>
    <w:rsid w:val="00AF0CBF"/>
    <w:rsid w:val="00AF0F6F"/>
    <w:rsid w:val="00AF123A"/>
    <w:rsid w:val="00AF1417"/>
    <w:rsid w:val="00AF257F"/>
    <w:rsid w:val="00AF33CF"/>
    <w:rsid w:val="00AF3657"/>
    <w:rsid w:val="00AF43B5"/>
    <w:rsid w:val="00AF4AD3"/>
    <w:rsid w:val="00AF4D50"/>
    <w:rsid w:val="00AF554B"/>
    <w:rsid w:val="00AF5BE5"/>
    <w:rsid w:val="00AF5FFC"/>
    <w:rsid w:val="00AF6179"/>
    <w:rsid w:val="00AF62A4"/>
    <w:rsid w:val="00AF6B42"/>
    <w:rsid w:val="00B012E7"/>
    <w:rsid w:val="00B0130A"/>
    <w:rsid w:val="00B020C6"/>
    <w:rsid w:val="00B02172"/>
    <w:rsid w:val="00B029EB"/>
    <w:rsid w:val="00B0322C"/>
    <w:rsid w:val="00B035EB"/>
    <w:rsid w:val="00B039C2"/>
    <w:rsid w:val="00B03D85"/>
    <w:rsid w:val="00B0402A"/>
    <w:rsid w:val="00B0690C"/>
    <w:rsid w:val="00B07C55"/>
    <w:rsid w:val="00B07FDB"/>
    <w:rsid w:val="00B101D0"/>
    <w:rsid w:val="00B1042C"/>
    <w:rsid w:val="00B11950"/>
    <w:rsid w:val="00B11B3B"/>
    <w:rsid w:val="00B1295A"/>
    <w:rsid w:val="00B13F75"/>
    <w:rsid w:val="00B14C67"/>
    <w:rsid w:val="00B150CA"/>
    <w:rsid w:val="00B15E3E"/>
    <w:rsid w:val="00B16120"/>
    <w:rsid w:val="00B16471"/>
    <w:rsid w:val="00B16BA8"/>
    <w:rsid w:val="00B17B8F"/>
    <w:rsid w:val="00B17C8E"/>
    <w:rsid w:val="00B209D5"/>
    <w:rsid w:val="00B20A45"/>
    <w:rsid w:val="00B2100B"/>
    <w:rsid w:val="00B227E5"/>
    <w:rsid w:val="00B22C5C"/>
    <w:rsid w:val="00B235E6"/>
    <w:rsid w:val="00B24128"/>
    <w:rsid w:val="00B24721"/>
    <w:rsid w:val="00B24A74"/>
    <w:rsid w:val="00B24F30"/>
    <w:rsid w:val="00B254A8"/>
    <w:rsid w:val="00B26EFD"/>
    <w:rsid w:val="00B27B54"/>
    <w:rsid w:val="00B30062"/>
    <w:rsid w:val="00B3013F"/>
    <w:rsid w:val="00B30157"/>
    <w:rsid w:val="00B30626"/>
    <w:rsid w:val="00B31890"/>
    <w:rsid w:val="00B31ABF"/>
    <w:rsid w:val="00B32A05"/>
    <w:rsid w:val="00B33BE3"/>
    <w:rsid w:val="00B33C18"/>
    <w:rsid w:val="00B349A4"/>
    <w:rsid w:val="00B34BCC"/>
    <w:rsid w:val="00B36193"/>
    <w:rsid w:val="00B3641D"/>
    <w:rsid w:val="00B3682D"/>
    <w:rsid w:val="00B36E90"/>
    <w:rsid w:val="00B36FE9"/>
    <w:rsid w:val="00B37BD3"/>
    <w:rsid w:val="00B42CAF"/>
    <w:rsid w:val="00B4348F"/>
    <w:rsid w:val="00B43492"/>
    <w:rsid w:val="00B434B3"/>
    <w:rsid w:val="00B442D1"/>
    <w:rsid w:val="00B44B39"/>
    <w:rsid w:val="00B44F29"/>
    <w:rsid w:val="00B45259"/>
    <w:rsid w:val="00B452DF"/>
    <w:rsid w:val="00B45405"/>
    <w:rsid w:val="00B4600E"/>
    <w:rsid w:val="00B464AE"/>
    <w:rsid w:val="00B46EB6"/>
    <w:rsid w:val="00B473BD"/>
    <w:rsid w:val="00B473C9"/>
    <w:rsid w:val="00B474F1"/>
    <w:rsid w:val="00B47637"/>
    <w:rsid w:val="00B50864"/>
    <w:rsid w:val="00B516C5"/>
    <w:rsid w:val="00B53272"/>
    <w:rsid w:val="00B533E0"/>
    <w:rsid w:val="00B53B5D"/>
    <w:rsid w:val="00B54987"/>
    <w:rsid w:val="00B54B86"/>
    <w:rsid w:val="00B54EED"/>
    <w:rsid w:val="00B5530E"/>
    <w:rsid w:val="00B55571"/>
    <w:rsid w:val="00B55875"/>
    <w:rsid w:val="00B56A70"/>
    <w:rsid w:val="00B571CF"/>
    <w:rsid w:val="00B600A2"/>
    <w:rsid w:val="00B6055E"/>
    <w:rsid w:val="00B61899"/>
    <w:rsid w:val="00B62025"/>
    <w:rsid w:val="00B620A6"/>
    <w:rsid w:val="00B6240C"/>
    <w:rsid w:val="00B629A8"/>
    <w:rsid w:val="00B6317D"/>
    <w:rsid w:val="00B63ED2"/>
    <w:rsid w:val="00B644EB"/>
    <w:rsid w:val="00B64F71"/>
    <w:rsid w:val="00B65A8A"/>
    <w:rsid w:val="00B6626A"/>
    <w:rsid w:val="00B67B1E"/>
    <w:rsid w:val="00B70248"/>
    <w:rsid w:val="00B70D0F"/>
    <w:rsid w:val="00B71726"/>
    <w:rsid w:val="00B72020"/>
    <w:rsid w:val="00B72EF5"/>
    <w:rsid w:val="00B73979"/>
    <w:rsid w:val="00B73CC7"/>
    <w:rsid w:val="00B74DCE"/>
    <w:rsid w:val="00B759EE"/>
    <w:rsid w:val="00B763D6"/>
    <w:rsid w:val="00B768D1"/>
    <w:rsid w:val="00B7723F"/>
    <w:rsid w:val="00B77393"/>
    <w:rsid w:val="00B775C5"/>
    <w:rsid w:val="00B779FC"/>
    <w:rsid w:val="00B80243"/>
    <w:rsid w:val="00B80534"/>
    <w:rsid w:val="00B80BC3"/>
    <w:rsid w:val="00B80D5F"/>
    <w:rsid w:val="00B80D67"/>
    <w:rsid w:val="00B8128C"/>
    <w:rsid w:val="00B81689"/>
    <w:rsid w:val="00B8200A"/>
    <w:rsid w:val="00B82544"/>
    <w:rsid w:val="00B82B71"/>
    <w:rsid w:val="00B83095"/>
    <w:rsid w:val="00B8433C"/>
    <w:rsid w:val="00B8443C"/>
    <w:rsid w:val="00B84B0A"/>
    <w:rsid w:val="00B84E9D"/>
    <w:rsid w:val="00B86FE5"/>
    <w:rsid w:val="00B87491"/>
    <w:rsid w:val="00B878FA"/>
    <w:rsid w:val="00B90113"/>
    <w:rsid w:val="00B902E7"/>
    <w:rsid w:val="00B90473"/>
    <w:rsid w:val="00B90768"/>
    <w:rsid w:val="00B9081D"/>
    <w:rsid w:val="00B90D66"/>
    <w:rsid w:val="00B90F7E"/>
    <w:rsid w:val="00B91B3C"/>
    <w:rsid w:val="00B91C6A"/>
    <w:rsid w:val="00B91DF9"/>
    <w:rsid w:val="00B93E39"/>
    <w:rsid w:val="00B957B3"/>
    <w:rsid w:val="00B95AAF"/>
    <w:rsid w:val="00B95D4B"/>
    <w:rsid w:val="00B961E4"/>
    <w:rsid w:val="00B96A90"/>
    <w:rsid w:val="00B9713B"/>
    <w:rsid w:val="00B97B38"/>
    <w:rsid w:val="00BA01FE"/>
    <w:rsid w:val="00BA063A"/>
    <w:rsid w:val="00BA0B64"/>
    <w:rsid w:val="00BA1A55"/>
    <w:rsid w:val="00BA29E9"/>
    <w:rsid w:val="00BA3609"/>
    <w:rsid w:val="00BA3A46"/>
    <w:rsid w:val="00BA42B7"/>
    <w:rsid w:val="00BA5768"/>
    <w:rsid w:val="00BA6D26"/>
    <w:rsid w:val="00BA7142"/>
    <w:rsid w:val="00BA75C0"/>
    <w:rsid w:val="00BA7BBD"/>
    <w:rsid w:val="00BB17C2"/>
    <w:rsid w:val="00BB237C"/>
    <w:rsid w:val="00BB3A4A"/>
    <w:rsid w:val="00BB3ABB"/>
    <w:rsid w:val="00BB41A3"/>
    <w:rsid w:val="00BB4264"/>
    <w:rsid w:val="00BB4627"/>
    <w:rsid w:val="00BB5A8B"/>
    <w:rsid w:val="00BB62BD"/>
    <w:rsid w:val="00BB7558"/>
    <w:rsid w:val="00BB7FD1"/>
    <w:rsid w:val="00BC1120"/>
    <w:rsid w:val="00BC1E05"/>
    <w:rsid w:val="00BC1EB4"/>
    <w:rsid w:val="00BC281F"/>
    <w:rsid w:val="00BC2954"/>
    <w:rsid w:val="00BC2FE3"/>
    <w:rsid w:val="00BC32DC"/>
    <w:rsid w:val="00BC3505"/>
    <w:rsid w:val="00BC3538"/>
    <w:rsid w:val="00BC35B6"/>
    <w:rsid w:val="00BC3751"/>
    <w:rsid w:val="00BC4213"/>
    <w:rsid w:val="00BC51EC"/>
    <w:rsid w:val="00BC7116"/>
    <w:rsid w:val="00BD0E01"/>
    <w:rsid w:val="00BD15D8"/>
    <w:rsid w:val="00BD1B51"/>
    <w:rsid w:val="00BD4596"/>
    <w:rsid w:val="00BD49BC"/>
    <w:rsid w:val="00BD500A"/>
    <w:rsid w:val="00BD5344"/>
    <w:rsid w:val="00BD5B23"/>
    <w:rsid w:val="00BD5D42"/>
    <w:rsid w:val="00BD5F4A"/>
    <w:rsid w:val="00BD6194"/>
    <w:rsid w:val="00BD6612"/>
    <w:rsid w:val="00BD669C"/>
    <w:rsid w:val="00BD6DDA"/>
    <w:rsid w:val="00BD74B0"/>
    <w:rsid w:val="00BE11F1"/>
    <w:rsid w:val="00BE1405"/>
    <w:rsid w:val="00BE27D6"/>
    <w:rsid w:val="00BE312D"/>
    <w:rsid w:val="00BE3389"/>
    <w:rsid w:val="00BE3659"/>
    <w:rsid w:val="00BE385D"/>
    <w:rsid w:val="00BE3DF7"/>
    <w:rsid w:val="00BE48C2"/>
    <w:rsid w:val="00BE72B6"/>
    <w:rsid w:val="00BE7765"/>
    <w:rsid w:val="00BE77A1"/>
    <w:rsid w:val="00BE7E95"/>
    <w:rsid w:val="00BE7EFB"/>
    <w:rsid w:val="00BF03DB"/>
    <w:rsid w:val="00BF0479"/>
    <w:rsid w:val="00BF0E19"/>
    <w:rsid w:val="00BF1290"/>
    <w:rsid w:val="00BF1522"/>
    <w:rsid w:val="00BF18B2"/>
    <w:rsid w:val="00BF19F9"/>
    <w:rsid w:val="00BF1C20"/>
    <w:rsid w:val="00BF2DB0"/>
    <w:rsid w:val="00BF2FAD"/>
    <w:rsid w:val="00BF3B02"/>
    <w:rsid w:val="00BF440A"/>
    <w:rsid w:val="00BF6048"/>
    <w:rsid w:val="00BF64DD"/>
    <w:rsid w:val="00BF76FE"/>
    <w:rsid w:val="00BF78E0"/>
    <w:rsid w:val="00BF7C3B"/>
    <w:rsid w:val="00C00019"/>
    <w:rsid w:val="00C00253"/>
    <w:rsid w:val="00C0298D"/>
    <w:rsid w:val="00C02AD5"/>
    <w:rsid w:val="00C032AE"/>
    <w:rsid w:val="00C039FB"/>
    <w:rsid w:val="00C04657"/>
    <w:rsid w:val="00C055A6"/>
    <w:rsid w:val="00C06BB6"/>
    <w:rsid w:val="00C07AC3"/>
    <w:rsid w:val="00C10578"/>
    <w:rsid w:val="00C12708"/>
    <w:rsid w:val="00C135BC"/>
    <w:rsid w:val="00C135C2"/>
    <w:rsid w:val="00C13BC5"/>
    <w:rsid w:val="00C1430E"/>
    <w:rsid w:val="00C1457D"/>
    <w:rsid w:val="00C1478B"/>
    <w:rsid w:val="00C14861"/>
    <w:rsid w:val="00C15ACC"/>
    <w:rsid w:val="00C15C95"/>
    <w:rsid w:val="00C15D5E"/>
    <w:rsid w:val="00C15E82"/>
    <w:rsid w:val="00C16E8C"/>
    <w:rsid w:val="00C17491"/>
    <w:rsid w:val="00C17B90"/>
    <w:rsid w:val="00C226CA"/>
    <w:rsid w:val="00C22923"/>
    <w:rsid w:val="00C22951"/>
    <w:rsid w:val="00C23CFF"/>
    <w:rsid w:val="00C23F30"/>
    <w:rsid w:val="00C2596A"/>
    <w:rsid w:val="00C25B96"/>
    <w:rsid w:val="00C25EAF"/>
    <w:rsid w:val="00C27020"/>
    <w:rsid w:val="00C27537"/>
    <w:rsid w:val="00C2795E"/>
    <w:rsid w:val="00C27AD7"/>
    <w:rsid w:val="00C3091B"/>
    <w:rsid w:val="00C30B97"/>
    <w:rsid w:val="00C30EC2"/>
    <w:rsid w:val="00C3165B"/>
    <w:rsid w:val="00C32251"/>
    <w:rsid w:val="00C328FE"/>
    <w:rsid w:val="00C32B4D"/>
    <w:rsid w:val="00C32BA8"/>
    <w:rsid w:val="00C33507"/>
    <w:rsid w:val="00C33DF2"/>
    <w:rsid w:val="00C36215"/>
    <w:rsid w:val="00C36BB3"/>
    <w:rsid w:val="00C4013E"/>
    <w:rsid w:val="00C40312"/>
    <w:rsid w:val="00C4091F"/>
    <w:rsid w:val="00C426D7"/>
    <w:rsid w:val="00C43D2D"/>
    <w:rsid w:val="00C4409D"/>
    <w:rsid w:val="00C4434E"/>
    <w:rsid w:val="00C44E72"/>
    <w:rsid w:val="00C45A06"/>
    <w:rsid w:val="00C461C2"/>
    <w:rsid w:val="00C47AE2"/>
    <w:rsid w:val="00C47E5B"/>
    <w:rsid w:val="00C52F97"/>
    <w:rsid w:val="00C541CC"/>
    <w:rsid w:val="00C544EB"/>
    <w:rsid w:val="00C55CE0"/>
    <w:rsid w:val="00C561EC"/>
    <w:rsid w:val="00C56409"/>
    <w:rsid w:val="00C564E4"/>
    <w:rsid w:val="00C568EF"/>
    <w:rsid w:val="00C56A06"/>
    <w:rsid w:val="00C57DCE"/>
    <w:rsid w:val="00C618B3"/>
    <w:rsid w:val="00C619D5"/>
    <w:rsid w:val="00C61D4B"/>
    <w:rsid w:val="00C61E4B"/>
    <w:rsid w:val="00C621A8"/>
    <w:rsid w:val="00C62718"/>
    <w:rsid w:val="00C62CE9"/>
    <w:rsid w:val="00C62D00"/>
    <w:rsid w:val="00C63116"/>
    <w:rsid w:val="00C64498"/>
    <w:rsid w:val="00C646D2"/>
    <w:rsid w:val="00C64BFF"/>
    <w:rsid w:val="00C64D75"/>
    <w:rsid w:val="00C64DA1"/>
    <w:rsid w:val="00C64E2C"/>
    <w:rsid w:val="00C654A5"/>
    <w:rsid w:val="00C667B0"/>
    <w:rsid w:val="00C66CAC"/>
    <w:rsid w:val="00C67118"/>
    <w:rsid w:val="00C704E9"/>
    <w:rsid w:val="00C7155E"/>
    <w:rsid w:val="00C71FEA"/>
    <w:rsid w:val="00C7212F"/>
    <w:rsid w:val="00C72FC8"/>
    <w:rsid w:val="00C73114"/>
    <w:rsid w:val="00C73C54"/>
    <w:rsid w:val="00C7405D"/>
    <w:rsid w:val="00C7418F"/>
    <w:rsid w:val="00C741B1"/>
    <w:rsid w:val="00C75058"/>
    <w:rsid w:val="00C75682"/>
    <w:rsid w:val="00C75C2D"/>
    <w:rsid w:val="00C75C41"/>
    <w:rsid w:val="00C75D24"/>
    <w:rsid w:val="00C763C9"/>
    <w:rsid w:val="00C772A9"/>
    <w:rsid w:val="00C77AD6"/>
    <w:rsid w:val="00C80057"/>
    <w:rsid w:val="00C80310"/>
    <w:rsid w:val="00C8172E"/>
    <w:rsid w:val="00C81B66"/>
    <w:rsid w:val="00C8210A"/>
    <w:rsid w:val="00C8213E"/>
    <w:rsid w:val="00C82232"/>
    <w:rsid w:val="00C82913"/>
    <w:rsid w:val="00C82E8B"/>
    <w:rsid w:val="00C844C3"/>
    <w:rsid w:val="00C851A5"/>
    <w:rsid w:val="00C85574"/>
    <w:rsid w:val="00C8650D"/>
    <w:rsid w:val="00C86A3E"/>
    <w:rsid w:val="00C86BCB"/>
    <w:rsid w:val="00C87A43"/>
    <w:rsid w:val="00C87A77"/>
    <w:rsid w:val="00C87B0E"/>
    <w:rsid w:val="00C909E1"/>
    <w:rsid w:val="00C91072"/>
    <w:rsid w:val="00C911B8"/>
    <w:rsid w:val="00C91CF5"/>
    <w:rsid w:val="00C92B37"/>
    <w:rsid w:val="00C92F7F"/>
    <w:rsid w:val="00C93096"/>
    <w:rsid w:val="00C93204"/>
    <w:rsid w:val="00C93D1D"/>
    <w:rsid w:val="00C93F75"/>
    <w:rsid w:val="00C94D43"/>
    <w:rsid w:val="00C9500B"/>
    <w:rsid w:val="00C9517B"/>
    <w:rsid w:val="00C9577F"/>
    <w:rsid w:val="00C963BA"/>
    <w:rsid w:val="00C963F9"/>
    <w:rsid w:val="00C96631"/>
    <w:rsid w:val="00C972B1"/>
    <w:rsid w:val="00C973EE"/>
    <w:rsid w:val="00CA03D2"/>
    <w:rsid w:val="00CA0828"/>
    <w:rsid w:val="00CA27C6"/>
    <w:rsid w:val="00CA2CCE"/>
    <w:rsid w:val="00CA2E61"/>
    <w:rsid w:val="00CA2FCC"/>
    <w:rsid w:val="00CA3714"/>
    <w:rsid w:val="00CA43FD"/>
    <w:rsid w:val="00CA4D07"/>
    <w:rsid w:val="00CA56FB"/>
    <w:rsid w:val="00CA6310"/>
    <w:rsid w:val="00CA6DA9"/>
    <w:rsid w:val="00CA724B"/>
    <w:rsid w:val="00CA769E"/>
    <w:rsid w:val="00CA76B9"/>
    <w:rsid w:val="00CA7EF8"/>
    <w:rsid w:val="00CB011F"/>
    <w:rsid w:val="00CB05D1"/>
    <w:rsid w:val="00CB10A7"/>
    <w:rsid w:val="00CB183E"/>
    <w:rsid w:val="00CB1D6F"/>
    <w:rsid w:val="00CB1D7B"/>
    <w:rsid w:val="00CB27FC"/>
    <w:rsid w:val="00CB3506"/>
    <w:rsid w:val="00CB3D4C"/>
    <w:rsid w:val="00CB4D73"/>
    <w:rsid w:val="00CB5BA3"/>
    <w:rsid w:val="00CB6B87"/>
    <w:rsid w:val="00CB76FC"/>
    <w:rsid w:val="00CC03C2"/>
    <w:rsid w:val="00CC0A52"/>
    <w:rsid w:val="00CC0FCD"/>
    <w:rsid w:val="00CC15BF"/>
    <w:rsid w:val="00CC238D"/>
    <w:rsid w:val="00CC2576"/>
    <w:rsid w:val="00CC2A6A"/>
    <w:rsid w:val="00CC2B3F"/>
    <w:rsid w:val="00CC2D29"/>
    <w:rsid w:val="00CC2E0C"/>
    <w:rsid w:val="00CC301C"/>
    <w:rsid w:val="00CC489B"/>
    <w:rsid w:val="00CC4B4F"/>
    <w:rsid w:val="00CC58B0"/>
    <w:rsid w:val="00CC5BEB"/>
    <w:rsid w:val="00CC6BE5"/>
    <w:rsid w:val="00CC6C25"/>
    <w:rsid w:val="00CC76F8"/>
    <w:rsid w:val="00CD2166"/>
    <w:rsid w:val="00CD2A75"/>
    <w:rsid w:val="00CD2BCD"/>
    <w:rsid w:val="00CD2F9D"/>
    <w:rsid w:val="00CD36C4"/>
    <w:rsid w:val="00CD3A4C"/>
    <w:rsid w:val="00CD4742"/>
    <w:rsid w:val="00CD47D0"/>
    <w:rsid w:val="00CD5826"/>
    <w:rsid w:val="00CD6221"/>
    <w:rsid w:val="00CD6548"/>
    <w:rsid w:val="00CD7189"/>
    <w:rsid w:val="00CD76F2"/>
    <w:rsid w:val="00CD7840"/>
    <w:rsid w:val="00CD7A75"/>
    <w:rsid w:val="00CE0809"/>
    <w:rsid w:val="00CE10E9"/>
    <w:rsid w:val="00CE1BD8"/>
    <w:rsid w:val="00CE1CF2"/>
    <w:rsid w:val="00CE2910"/>
    <w:rsid w:val="00CE3040"/>
    <w:rsid w:val="00CE4357"/>
    <w:rsid w:val="00CE4896"/>
    <w:rsid w:val="00CE5393"/>
    <w:rsid w:val="00CE53D6"/>
    <w:rsid w:val="00CE7960"/>
    <w:rsid w:val="00CE7B01"/>
    <w:rsid w:val="00CF024E"/>
    <w:rsid w:val="00CF10CA"/>
    <w:rsid w:val="00CF10E8"/>
    <w:rsid w:val="00CF204A"/>
    <w:rsid w:val="00CF2C58"/>
    <w:rsid w:val="00CF36BE"/>
    <w:rsid w:val="00CF39B6"/>
    <w:rsid w:val="00CF3D4B"/>
    <w:rsid w:val="00CF50C1"/>
    <w:rsid w:val="00CF59DC"/>
    <w:rsid w:val="00CF6000"/>
    <w:rsid w:val="00CF6600"/>
    <w:rsid w:val="00CF6B2B"/>
    <w:rsid w:val="00CF7436"/>
    <w:rsid w:val="00CF7A32"/>
    <w:rsid w:val="00D003F3"/>
    <w:rsid w:val="00D005EF"/>
    <w:rsid w:val="00D00896"/>
    <w:rsid w:val="00D00F24"/>
    <w:rsid w:val="00D011C6"/>
    <w:rsid w:val="00D0178B"/>
    <w:rsid w:val="00D01F29"/>
    <w:rsid w:val="00D01F88"/>
    <w:rsid w:val="00D020F7"/>
    <w:rsid w:val="00D0259A"/>
    <w:rsid w:val="00D02EA0"/>
    <w:rsid w:val="00D030A5"/>
    <w:rsid w:val="00D03228"/>
    <w:rsid w:val="00D0364F"/>
    <w:rsid w:val="00D03B94"/>
    <w:rsid w:val="00D05D98"/>
    <w:rsid w:val="00D06834"/>
    <w:rsid w:val="00D069C5"/>
    <w:rsid w:val="00D06D28"/>
    <w:rsid w:val="00D06EFC"/>
    <w:rsid w:val="00D06FBD"/>
    <w:rsid w:val="00D07ACD"/>
    <w:rsid w:val="00D10F24"/>
    <w:rsid w:val="00D1274E"/>
    <w:rsid w:val="00D13496"/>
    <w:rsid w:val="00D13648"/>
    <w:rsid w:val="00D149EE"/>
    <w:rsid w:val="00D162AD"/>
    <w:rsid w:val="00D17056"/>
    <w:rsid w:val="00D17559"/>
    <w:rsid w:val="00D208B2"/>
    <w:rsid w:val="00D217BB"/>
    <w:rsid w:val="00D22075"/>
    <w:rsid w:val="00D2223F"/>
    <w:rsid w:val="00D22F46"/>
    <w:rsid w:val="00D22F78"/>
    <w:rsid w:val="00D23F42"/>
    <w:rsid w:val="00D23F90"/>
    <w:rsid w:val="00D24098"/>
    <w:rsid w:val="00D248BB"/>
    <w:rsid w:val="00D2497D"/>
    <w:rsid w:val="00D24C8B"/>
    <w:rsid w:val="00D25ACD"/>
    <w:rsid w:val="00D25B55"/>
    <w:rsid w:val="00D26ABD"/>
    <w:rsid w:val="00D26D04"/>
    <w:rsid w:val="00D26ED5"/>
    <w:rsid w:val="00D26FC0"/>
    <w:rsid w:val="00D27210"/>
    <w:rsid w:val="00D27599"/>
    <w:rsid w:val="00D275C4"/>
    <w:rsid w:val="00D308ED"/>
    <w:rsid w:val="00D30C0C"/>
    <w:rsid w:val="00D31B83"/>
    <w:rsid w:val="00D32A2F"/>
    <w:rsid w:val="00D32A41"/>
    <w:rsid w:val="00D33168"/>
    <w:rsid w:val="00D333A6"/>
    <w:rsid w:val="00D33C74"/>
    <w:rsid w:val="00D33F6C"/>
    <w:rsid w:val="00D3406C"/>
    <w:rsid w:val="00D34CE3"/>
    <w:rsid w:val="00D3528D"/>
    <w:rsid w:val="00D36C02"/>
    <w:rsid w:val="00D36C56"/>
    <w:rsid w:val="00D36D86"/>
    <w:rsid w:val="00D37A02"/>
    <w:rsid w:val="00D40276"/>
    <w:rsid w:val="00D404DE"/>
    <w:rsid w:val="00D41262"/>
    <w:rsid w:val="00D419AE"/>
    <w:rsid w:val="00D428AA"/>
    <w:rsid w:val="00D45104"/>
    <w:rsid w:val="00D45EC7"/>
    <w:rsid w:val="00D45EFA"/>
    <w:rsid w:val="00D46176"/>
    <w:rsid w:val="00D467D7"/>
    <w:rsid w:val="00D473B9"/>
    <w:rsid w:val="00D500FF"/>
    <w:rsid w:val="00D50A34"/>
    <w:rsid w:val="00D50B69"/>
    <w:rsid w:val="00D51187"/>
    <w:rsid w:val="00D51D4C"/>
    <w:rsid w:val="00D52131"/>
    <w:rsid w:val="00D538E9"/>
    <w:rsid w:val="00D53B48"/>
    <w:rsid w:val="00D53EFA"/>
    <w:rsid w:val="00D542B2"/>
    <w:rsid w:val="00D54A4D"/>
    <w:rsid w:val="00D54B01"/>
    <w:rsid w:val="00D55581"/>
    <w:rsid w:val="00D55A8B"/>
    <w:rsid w:val="00D55B7C"/>
    <w:rsid w:val="00D56A1B"/>
    <w:rsid w:val="00D62939"/>
    <w:rsid w:val="00D63AB1"/>
    <w:rsid w:val="00D64068"/>
    <w:rsid w:val="00D646CC"/>
    <w:rsid w:val="00D65C1B"/>
    <w:rsid w:val="00D66A2D"/>
    <w:rsid w:val="00D704B8"/>
    <w:rsid w:val="00D71ECE"/>
    <w:rsid w:val="00D721E5"/>
    <w:rsid w:val="00D72725"/>
    <w:rsid w:val="00D73139"/>
    <w:rsid w:val="00D737FC"/>
    <w:rsid w:val="00D73BDA"/>
    <w:rsid w:val="00D74681"/>
    <w:rsid w:val="00D756DA"/>
    <w:rsid w:val="00D76D43"/>
    <w:rsid w:val="00D770BB"/>
    <w:rsid w:val="00D775CA"/>
    <w:rsid w:val="00D803FA"/>
    <w:rsid w:val="00D807DC"/>
    <w:rsid w:val="00D8238D"/>
    <w:rsid w:val="00D82549"/>
    <w:rsid w:val="00D83077"/>
    <w:rsid w:val="00D831A7"/>
    <w:rsid w:val="00D83310"/>
    <w:rsid w:val="00D83E81"/>
    <w:rsid w:val="00D8500A"/>
    <w:rsid w:val="00D85407"/>
    <w:rsid w:val="00D8779A"/>
    <w:rsid w:val="00D9031E"/>
    <w:rsid w:val="00D90E1F"/>
    <w:rsid w:val="00D91AA8"/>
    <w:rsid w:val="00D923C7"/>
    <w:rsid w:val="00D93290"/>
    <w:rsid w:val="00D93BF2"/>
    <w:rsid w:val="00D940C4"/>
    <w:rsid w:val="00D9431D"/>
    <w:rsid w:val="00D94A7C"/>
    <w:rsid w:val="00D9525F"/>
    <w:rsid w:val="00D954FD"/>
    <w:rsid w:val="00D95896"/>
    <w:rsid w:val="00D95AE7"/>
    <w:rsid w:val="00D95D69"/>
    <w:rsid w:val="00D97E14"/>
    <w:rsid w:val="00DA0034"/>
    <w:rsid w:val="00DA039D"/>
    <w:rsid w:val="00DA03AD"/>
    <w:rsid w:val="00DA1CAF"/>
    <w:rsid w:val="00DA3CEA"/>
    <w:rsid w:val="00DA4143"/>
    <w:rsid w:val="00DA45F9"/>
    <w:rsid w:val="00DA5695"/>
    <w:rsid w:val="00DA5CF7"/>
    <w:rsid w:val="00DA60A6"/>
    <w:rsid w:val="00DA6F1A"/>
    <w:rsid w:val="00DA7E51"/>
    <w:rsid w:val="00DB0299"/>
    <w:rsid w:val="00DB036B"/>
    <w:rsid w:val="00DB05FE"/>
    <w:rsid w:val="00DB0BB0"/>
    <w:rsid w:val="00DB21D6"/>
    <w:rsid w:val="00DB2730"/>
    <w:rsid w:val="00DB2983"/>
    <w:rsid w:val="00DB37AA"/>
    <w:rsid w:val="00DB3DD8"/>
    <w:rsid w:val="00DB6BDB"/>
    <w:rsid w:val="00DB735E"/>
    <w:rsid w:val="00DB781E"/>
    <w:rsid w:val="00DB7B38"/>
    <w:rsid w:val="00DC0715"/>
    <w:rsid w:val="00DC0C65"/>
    <w:rsid w:val="00DC1257"/>
    <w:rsid w:val="00DC20B7"/>
    <w:rsid w:val="00DC3C15"/>
    <w:rsid w:val="00DC3DC0"/>
    <w:rsid w:val="00DC51F8"/>
    <w:rsid w:val="00DC5217"/>
    <w:rsid w:val="00DC54EB"/>
    <w:rsid w:val="00DC5B2B"/>
    <w:rsid w:val="00DC5F35"/>
    <w:rsid w:val="00DC60DB"/>
    <w:rsid w:val="00DC6A56"/>
    <w:rsid w:val="00DC6CF7"/>
    <w:rsid w:val="00DC6E20"/>
    <w:rsid w:val="00DC7AFC"/>
    <w:rsid w:val="00DD19A9"/>
    <w:rsid w:val="00DD2855"/>
    <w:rsid w:val="00DD2F13"/>
    <w:rsid w:val="00DD318D"/>
    <w:rsid w:val="00DD5B46"/>
    <w:rsid w:val="00DD6386"/>
    <w:rsid w:val="00DD671F"/>
    <w:rsid w:val="00DD7C05"/>
    <w:rsid w:val="00DE0189"/>
    <w:rsid w:val="00DE03C7"/>
    <w:rsid w:val="00DE19CC"/>
    <w:rsid w:val="00DE3E95"/>
    <w:rsid w:val="00DE48B9"/>
    <w:rsid w:val="00DE4AC7"/>
    <w:rsid w:val="00DE4B68"/>
    <w:rsid w:val="00DE510F"/>
    <w:rsid w:val="00DE5B77"/>
    <w:rsid w:val="00DE5D7F"/>
    <w:rsid w:val="00DE6ADC"/>
    <w:rsid w:val="00DE7ECC"/>
    <w:rsid w:val="00DF05E5"/>
    <w:rsid w:val="00DF127F"/>
    <w:rsid w:val="00DF200F"/>
    <w:rsid w:val="00DF2E12"/>
    <w:rsid w:val="00DF3FE5"/>
    <w:rsid w:val="00DF4819"/>
    <w:rsid w:val="00DF5052"/>
    <w:rsid w:val="00DF514A"/>
    <w:rsid w:val="00DF51BB"/>
    <w:rsid w:val="00DF52F3"/>
    <w:rsid w:val="00DF59C2"/>
    <w:rsid w:val="00DF5D21"/>
    <w:rsid w:val="00DF64FC"/>
    <w:rsid w:val="00DF6690"/>
    <w:rsid w:val="00DF6804"/>
    <w:rsid w:val="00DF6F2D"/>
    <w:rsid w:val="00DF6FDA"/>
    <w:rsid w:val="00DF7569"/>
    <w:rsid w:val="00E006F6"/>
    <w:rsid w:val="00E00C79"/>
    <w:rsid w:val="00E02A78"/>
    <w:rsid w:val="00E02D16"/>
    <w:rsid w:val="00E03175"/>
    <w:rsid w:val="00E0358D"/>
    <w:rsid w:val="00E03721"/>
    <w:rsid w:val="00E04000"/>
    <w:rsid w:val="00E04323"/>
    <w:rsid w:val="00E04668"/>
    <w:rsid w:val="00E04864"/>
    <w:rsid w:val="00E04E55"/>
    <w:rsid w:val="00E051CF"/>
    <w:rsid w:val="00E06268"/>
    <w:rsid w:val="00E06F20"/>
    <w:rsid w:val="00E070A2"/>
    <w:rsid w:val="00E073EF"/>
    <w:rsid w:val="00E07DC8"/>
    <w:rsid w:val="00E07F73"/>
    <w:rsid w:val="00E110F1"/>
    <w:rsid w:val="00E11B09"/>
    <w:rsid w:val="00E1283A"/>
    <w:rsid w:val="00E12D87"/>
    <w:rsid w:val="00E13D8B"/>
    <w:rsid w:val="00E14935"/>
    <w:rsid w:val="00E14CE7"/>
    <w:rsid w:val="00E15067"/>
    <w:rsid w:val="00E15D7C"/>
    <w:rsid w:val="00E16094"/>
    <w:rsid w:val="00E162AE"/>
    <w:rsid w:val="00E17076"/>
    <w:rsid w:val="00E17364"/>
    <w:rsid w:val="00E174F9"/>
    <w:rsid w:val="00E1785C"/>
    <w:rsid w:val="00E1789B"/>
    <w:rsid w:val="00E20EE4"/>
    <w:rsid w:val="00E21D65"/>
    <w:rsid w:val="00E23121"/>
    <w:rsid w:val="00E24617"/>
    <w:rsid w:val="00E24AF9"/>
    <w:rsid w:val="00E24F1F"/>
    <w:rsid w:val="00E25BD4"/>
    <w:rsid w:val="00E25FB9"/>
    <w:rsid w:val="00E25FD4"/>
    <w:rsid w:val="00E2656A"/>
    <w:rsid w:val="00E269CE"/>
    <w:rsid w:val="00E26B5E"/>
    <w:rsid w:val="00E26E2C"/>
    <w:rsid w:val="00E27AAB"/>
    <w:rsid w:val="00E27B2C"/>
    <w:rsid w:val="00E27CD7"/>
    <w:rsid w:val="00E30420"/>
    <w:rsid w:val="00E30437"/>
    <w:rsid w:val="00E30CFE"/>
    <w:rsid w:val="00E30EDD"/>
    <w:rsid w:val="00E31CC3"/>
    <w:rsid w:val="00E32779"/>
    <w:rsid w:val="00E32E0E"/>
    <w:rsid w:val="00E334EE"/>
    <w:rsid w:val="00E34E0F"/>
    <w:rsid w:val="00E351A1"/>
    <w:rsid w:val="00E35BE4"/>
    <w:rsid w:val="00E36D5B"/>
    <w:rsid w:val="00E36FB0"/>
    <w:rsid w:val="00E3717C"/>
    <w:rsid w:val="00E37293"/>
    <w:rsid w:val="00E37EF6"/>
    <w:rsid w:val="00E37FEE"/>
    <w:rsid w:val="00E407BD"/>
    <w:rsid w:val="00E412D0"/>
    <w:rsid w:val="00E41877"/>
    <w:rsid w:val="00E41D90"/>
    <w:rsid w:val="00E41E9D"/>
    <w:rsid w:val="00E424A4"/>
    <w:rsid w:val="00E425CF"/>
    <w:rsid w:val="00E42769"/>
    <w:rsid w:val="00E42A54"/>
    <w:rsid w:val="00E42BE7"/>
    <w:rsid w:val="00E43347"/>
    <w:rsid w:val="00E43C0C"/>
    <w:rsid w:val="00E442BB"/>
    <w:rsid w:val="00E443A9"/>
    <w:rsid w:val="00E44707"/>
    <w:rsid w:val="00E45CDD"/>
    <w:rsid w:val="00E47790"/>
    <w:rsid w:val="00E47AA0"/>
    <w:rsid w:val="00E509D2"/>
    <w:rsid w:val="00E51540"/>
    <w:rsid w:val="00E51707"/>
    <w:rsid w:val="00E52901"/>
    <w:rsid w:val="00E54030"/>
    <w:rsid w:val="00E5438D"/>
    <w:rsid w:val="00E54D24"/>
    <w:rsid w:val="00E55586"/>
    <w:rsid w:val="00E559CC"/>
    <w:rsid w:val="00E56322"/>
    <w:rsid w:val="00E563C9"/>
    <w:rsid w:val="00E565CE"/>
    <w:rsid w:val="00E57B3D"/>
    <w:rsid w:val="00E57E23"/>
    <w:rsid w:val="00E60356"/>
    <w:rsid w:val="00E60591"/>
    <w:rsid w:val="00E60982"/>
    <w:rsid w:val="00E62466"/>
    <w:rsid w:val="00E62C62"/>
    <w:rsid w:val="00E63E56"/>
    <w:rsid w:val="00E64237"/>
    <w:rsid w:val="00E64369"/>
    <w:rsid w:val="00E647EB"/>
    <w:rsid w:val="00E64A46"/>
    <w:rsid w:val="00E654C1"/>
    <w:rsid w:val="00E65B11"/>
    <w:rsid w:val="00E65D97"/>
    <w:rsid w:val="00E6612B"/>
    <w:rsid w:val="00E664AF"/>
    <w:rsid w:val="00E6673B"/>
    <w:rsid w:val="00E66A3D"/>
    <w:rsid w:val="00E67ABA"/>
    <w:rsid w:val="00E67CED"/>
    <w:rsid w:val="00E71AD2"/>
    <w:rsid w:val="00E72A5A"/>
    <w:rsid w:val="00E72E1C"/>
    <w:rsid w:val="00E73354"/>
    <w:rsid w:val="00E739F8"/>
    <w:rsid w:val="00E73AD9"/>
    <w:rsid w:val="00E73B3F"/>
    <w:rsid w:val="00E75487"/>
    <w:rsid w:val="00E75830"/>
    <w:rsid w:val="00E760FB"/>
    <w:rsid w:val="00E7698C"/>
    <w:rsid w:val="00E771C5"/>
    <w:rsid w:val="00E80248"/>
    <w:rsid w:val="00E81274"/>
    <w:rsid w:val="00E81B0C"/>
    <w:rsid w:val="00E824D1"/>
    <w:rsid w:val="00E82D52"/>
    <w:rsid w:val="00E85223"/>
    <w:rsid w:val="00E8555B"/>
    <w:rsid w:val="00E855CB"/>
    <w:rsid w:val="00E85B50"/>
    <w:rsid w:val="00E85DA5"/>
    <w:rsid w:val="00E865D0"/>
    <w:rsid w:val="00E86ECB"/>
    <w:rsid w:val="00E870AC"/>
    <w:rsid w:val="00E87235"/>
    <w:rsid w:val="00E878F3"/>
    <w:rsid w:val="00E87D3A"/>
    <w:rsid w:val="00E87DB5"/>
    <w:rsid w:val="00E9004C"/>
    <w:rsid w:val="00E90BB5"/>
    <w:rsid w:val="00E90DD4"/>
    <w:rsid w:val="00E9153F"/>
    <w:rsid w:val="00E9168C"/>
    <w:rsid w:val="00E9242D"/>
    <w:rsid w:val="00E924BC"/>
    <w:rsid w:val="00E9398E"/>
    <w:rsid w:val="00E940BA"/>
    <w:rsid w:val="00E95693"/>
    <w:rsid w:val="00E95862"/>
    <w:rsid w:val="00E95A80"/>
    <w:rsid w:val="00E95E6C"/>
    <w:rsid w:val="00E96041"/>
    <w:rsid w:val="00E96E4D"/>
    <w:rsid w:val="00E9716E"/>
    <w:rsid w:val="00E97587"/>
    <w:rsid w:val="00E97CF6"/>
    <w:rsid w:val="00EA10C9"/>
    <w:rsid w:val="00EA2382"/>
    <w:rsid w:val="00EA27CF"/>
    <w:rsid w:val="00EA2A73"/>
    <w:rsid w:val="00EA2CA6"/>
    <w:rsid w:val="00EA30FB"/>
    <w:rsid w:val="00EA37EA"/>
    <w:rsid w:val="00EA3A96"/>
    <w:rsid w:val="00EA4691"/>
    <w:rsid w:val="00EA4C79"/>
    <w:rsid w:val="00EB0315"/>
    <w:rsid w:val="00EB0C72"/>
    <w:rsid w:val="00EB1C4B"/>
    <w:rsid w:val="00EB2C13"/>
    <w:rsid w:val="00EB3111"/>
    <w:rsid w:val="00EB31FF"/>
    <w:rsid w:val="00EB4513"/>
    <w:rsid w:val="00EB5255"/>
    <w:rsid w:val="00EB5C47"/>
    <w:rsid w:val="00EB5E08"/>
    <w:rsid w:val="00EC0903"/>
    <w:rsid w:val="00EC16FD"/>
    <w:rsid w:val="00EC1AAA"/>
    <w:rsid w:val="00EC22C0"/>
    <w:rsid w:val="00EC41CE"/>
    <w:rsid w:val="00EC435F"/>
    <w:rsid w:val="00EC589E"/>
    <w:rsid w:val="00EC64AA"/>
    <w:rsid w:val="00ED0639"/>
    <w:rsid w:val="00ED161D"/>
    <w:rsid w:val="00ED1A8A"/>
    <w:rsid w:val="00ED1C65"/>
    <w:rsid w:val="00ED1CA8"/>
    <w:rsid w:val="00ED1F0A"/>
    <w:rsid w:val="00ED332B"/>
    <w:rsid w:val="00ED44B5"/>
    <w:rsid w:val="00ED4691"/>
    <w:rsid w:val="00ED60F7"/>
    <w:rsid w:val="00ED6430"/>
    <w:rsid w:val="00ED6861"/>
    <w:rsid w:val="00ED6B07"/>
    <w:rsid w:val="00ED7FDB"/>
    <w:rsid w:val="00EE0872"/>
    <w:rsid w:val="00EE173A"/>
    <w:rsid w:val="00EE17DD"/>
    <w:rsid w:val="00EE1803"/>
    <w:rsid w:val="00EE1DCA"/>
    <w:rsid w:val="00EE2214"/>
    <w:rsid w:val="00EE40D6"/>
    <w:rsid w:val="00EE4C59"/>
    <w:rsid w:val="00EE5DC9"/>
    <w:rsid w:val="00EE6134"/>
    <w:rsid w:val="00EE630F"/>
    <w:rsid w:val="00EF0566"/>
    <w:rsid w:val="00EF153C"/>
    <w:rsid w:val="00EF1C86"/>
    <w:rsid w:val="00EF29C2"/>
    <w:rsid w:val="00EF2B2E"/>
    <w:rsid w:val="00EF2B95"/>
    <w:rsid w:val="00EF3D79"/>
    <w:rsid w:val="00EF4755"/>
    <w:rsid w:val="00EF5B46"/>
    <w:rsid w:val="00EF6254"/>
    <w:rsid w:val="00EF62EF"/>
    <w:rsid w:val="00EF645E"/>
    <w:rsid w:val="00EF7135"/>
    <w:rsid w:val="00EF7B05"/>
    <w:rsid w:val="00F00A1B"/>
    <w:rsid w:val="00F01614"/>
    <w:rsid w:val="00F01892"/>
    <w:rsid w:val="00F02059"/>
    <w:rsid w:val="00F0232A"/>
    <w:rsid w:val="00F027DB"/>
    <w:rsid w:val="00F02C5C"/>
    <w:rsid w:val="00F03259"/>
    <w:rsid w:val="00F0380C"/>
    <w:rsid w:val="00F045B9"/>
    <w:rsid w:val="00F049D7"/>
    <w:rsid w:val="00F04EDD"/>
    <w:rsid w:val="00F05428"/>
    <w:rsid w:val="00F0571D"/>
    <w:rsid w:val="00F05B14"/>
    <w:rsid w:val="00F06D6A"/>
    <w:rsid w:val="00F06F10"/>
    <w:rsid w:val="00F07577"/>
    <w:rsid w:val="00F07601"/>
    <w:rsid w:val="00F1020E"/>
    <w:rsid w:val="00F102BB"/>
    <w:rsid w:val="00F10BE8"/>
    <w:rsid w:val="00F10F5C"/>
    <w:rsid w:val="00F10FE3"/>
    <w:rsid w:val="00F11660"/>
    <w:rsid w:val="00F11E50"/>
    <w:rsid w:val="00F11E92"/>
    <w:rsid w:val="00F123FB"/>
    <w:rsid w:val="00F13579"/>
    <w:rsid w:val="00F13842"/>
    <w:rsid w:val="00F13A3F"/>
    <w:rsid w:val="00F14016"/>
    <w:rsid w:val="00F14A6F"/>
    <w:rsid w:val="00F14A7A"/>
    <w:rsid w:val="00F14F6B"/>
    <w:rsid w:val="00F15ED7"/>
    <w:rsid w:val="00F213BD"/>
    <w:rsid w:val="00F218F2"/>
    <w:rsid w:val="00F21DEB"/>
    <w:rsid w:val="00F2248D"/>
    <w:rsid w:val="00F22985"/>
    <w:rsid w:val="00F231D3"/>
    <w:rsid w:val="00F2322D"/>
    <w:rsid w:val="00F239BE"/>
    <w:rsid w:val="00F23AF2"/>
    <w:rsid w:val="00F23ED4"/>
    <w:rsid w:val="00F243DA"/>
    <w:rsid w:val="00F24419"/>
    <w:rsid w:val="00F24A54"/>
    <w:rsid w:val="00F25C3B"/>
    <w:rsid w:val="00F26DBE"/>
    <w:rsid w:val="00F272E7"/>
    <w:rsid w:val="00F27532"/>
    <w:rsid w:val="00F27B00"/>
    <w:rsid w:val="00F314BF"/>
    <w:rsid w:val="00F32947"/>
    <w:rsid w:val="00F32FCC"/>
    <w:rsid w:val="00F336AF"/>
    <w:rsid w:val="00F3383E"/>
    <w:rsid w:val="00F348D7"/>
    <w:rsid w:val="00F36776"/>
    <w:rsid w:val="00F36F40"/>
    <w:rsid w:val="00F37241"/>
    <w:rsid w:val="00F37410"/>
    <w:rsid w:val="00F37A3B"/>
    <w:rsid w:val="00F37BA7"/>
    <w:rsid w:val="00F4056B"/>
    <w:rsid w:val="00F409AC"/>
    <w:rsid w:val="00F40C34"/>
    <w:rsid w:val="00F40D09"/>
    <w:rsid w:val="00F42052"/>
    <w:rsid w:val="00F42F08"/>
    <w:rsid w:val="00F4361C"/>
    <w:rsid w:val="00F439D0"/>
    <w:rsid w:val="00F442E8"/>
    <w:rsid w:val="00F4519B"/>
    <w:rsid w:val="00F456C6"/>
    <w:rsid w:val="00F46183"/>
    <w:rsid w:val="00F465A7"/>
    <w:rsid w:val="00F4672B"/>
    <w:rsid w:val="00F47A12"/>
    <w:rsid w:val="00F47DA3"/>
    <w:rsid w:val="00F50B74"/>
    <w:rsid w:val="00F50B7C"/>
    <w:rsid w:val="00F5134C"/>
    <w:rsid w:val="00F5171D"/>
    <w:rsid w:val="00F521EA"/>
    <w:rsid w:val="00F5224E"/>
    <w:rsid w:val="00F529CE"/>
    <w:rsid w:val="00F52F9A"/>
    <w:rsid w:val="00F53ACD"/>
    <w:rsid w:val="00F53D50"/>
    <w:rsid w:val="00F53FE5"/>
    <w:rsid w:val="00F547B6"/>
    <w:rsid w:val="00F54A81"/>
    <w:rsid w:val="00F54B28"/>
    <w:rsid w:val="00F550E6"/>
    <w:rsid w:val="00F557CF"/>
    <w:rsid w:val="00F55ED3"/>
    <w:rsid w:val="00F5613F"/>
    <w:rsid w:val="00F56BB2"/>
    <w:rsid w:val="00F60047"/>
    <w:rsid w:val="00F60F7E"/>
    <w:rsid w:val="00F61E36"/>
    <w:rsid w:val="00F61FC0"/>
    <w:rsid w:val="00F62A0F"/>
    <w:rsid w:val="00F63038"/>
    <w:rsid w:val="00F636C3"/>
    <w:rsid w:val="00F63761"/>
    <w:rsid w:val="00F63AB8"/>
    <w:rsid w:val="00F63F94"/>
    <w:rsid w:val="00F64230"/>
    <w:rsid w:val="00F6435A"/>
    <w:rsid w:val="00F65499"/>
    <w:rsid w:val="00F65F33"/>
    <w:rsid w:val="00F67364"/>
    <w:rsid w:val="00F67C9D"/>
    <w:rsid w:val="00F67D03"/>
    <w:rsid w:val="00F67E00"/>
    <w:rsid w:val="00F72135"/>
    <w:rsid w:val="00F723A8"/>
    <w:rsid w:val="00F72D03"/>
    <w:rsid w:val="00F73213"/>
    <w:rsid w:val="00F734C3"/>
    <w:rsid w:val="00F74345"/>
    <w:rsid w:val="00F743E5"/>
    <w:rsid w:val="00F74C07"/>
    <w:rsid w:val="00F75E2C"/>
    <w:rsid w:val="00F77333"/>
    <w:rsid w:val="00F775D1"/>
    <w:rsid w:val="00F77719"/>
    <w:rsid w:val="00F808AB"/>
    <w:rsid w:val="00F80A0A"/>
    <w:rsid w:val="00F80B71"/>
    <w:rsid w:val="00F80D87"/>
    <w:rsid w:val="00F82115"/>
    <w:rsid w:val="00F82A92"/>
    <w:rsid w:val="00F82B19"/>
    <w:rsid w:val="00F82DE4"/>
    <w:rsid w:val="00F83A1D"/>
    <w:rsid w:val="00F8487D"/>
    <w:rsid w:val="00F8685D"/>
    <w:rsid w:val="00F86A07"/>
    <w:rsid w:val="00F86B54"/>
    <w:rsid w:val="00F87FFB"/>
    <w:rsid w:val="00F90838"/>
    <w:rsid w:val="00F91340"/>
    <w:rsid w:val="00F915B8"/>
    <w:rsid w:val="00F91E4F"/>
    <w:rsid w:val="00F91F92"/>
    <w:rsid w:val="00F9212D"/>
    <w:rsid w:val="00F9240C"/>
    <w:rsid w:val="00F93915"/>
    <w:rsid w:val="00F94140"/>
    <w:rsid w:val="00F947F1"/>
    <w:rsid w:val="00F9553F"/>
    <w:rsid w:val="00F965DA"/>
    <w:rsid w:val="00F966BB"/>
    <w:rsid w:val="00F97CC7"/>
    <w:rsid w:val="00FA0F9B"/>
    <w:rsid w:val="00FA14E2"/>
    <w:rsid w:val="00FA2924"/>
    <w:rsid w:val="00FA2C4B"/>
    <w:rsid w:val="00FA2CB4"/>
    <w:rsid w:val="00FA3EFA"/>
    <w:rsid w:val="00FA406A"/>
    <w:rsid w:val="00FA46EC"/>
    <w:rsid w:val="00FA55F9"/>
    <w:rsid w:val="00FA6D8E"/>
    <w:rsid w:val="00FA7CA3"/>
    <w:rsid w:val="00FA7DC1"/>
    <w:rsid w:val="00FB0592"/>
    <w:rsid w:val="00FB0E44"/>
    <w:rsid w:val="00FB11DD"/>
    <w:rsid w:val="00FB1296"/>
    <w:rsid w:val="00FB139A"/>
    <w:rsid w:val="00FB1D08"/>
    <w:rsid w:val="00FB39A5"/>
    <w:rsid w:val="00FB40FC"/>
    <w:rsid w:val="00FB4D65"/>
    <w:rsid w:val="00FB503A"/>
    <w:rsid w:val="00FB516C"/>
    <w:rsid w:val="00FB64E4"/>
    <w:rsid w:val="00FB74D9"/>
    <w:rsid w:val="00FB7D8A"/>
    <w:rsid w:val="00FC07C0"/>
    <w:rsid w:val="00FC099D"/>
    <w:rsid w:val="00FC0D9C"/>
    <w:rsid w:val="00FC2829"/>
    <w:rsid w:val="00FC43B6"/>
    <w:rsid w:val="00FC58C1"/>
    <w:rsid w:val="00FC5F52"/>
    <w:rsid w:val="00FC7B3B"/>
    <w:rsid w:val="00FC7B66"/>
    <w:rsid w:val="00FC7E29"/>
    <w:rsid w:val="00FC7E2E"/>
    <w:rsid w:val="00FC7E64"/>
    <w:rsid w:val="00FD0236"/>
    <w:rsid w:val="00FD09AD"/>
    <w:rsid w:val="00FD0D58"/>
    <w:rsid w:val="00FD1416"/>
    <w:rsid w:val="00FD1454"/>
    <w:rsid w:val="00FD18F4"/>
    <w:rsid w:val="00FD1B73"/>
    <w:rsid w:val="00FD1E3C"/>
    <w:rsid w:val="00FD2CA3"/>
    <w:rsid w:val="00FD43D8"/>
    <w:rsid w:val="00FD488E"/>
    <w:rsid w:val="00FD4E7B"/>
    <w:rsid w:val="00FD54DB"/>
    <w:rsid w:val="00FD619F"/>
    <w:rsid w:val="00FD6376"/>
    <w:rsid w:val="00FD6EF6"/>
    <w:rsid w:val="00FD7778"/>
    <w:rsid w:val="00FD7BF6"/>
    <w:rsid w:val="00FD7ED3"/>
    <w:rsid w:val="00FE0535"/>
    <w:rsid w:val="00FE0647"/>
    <w:rsid w:val="00FE0F04"/>
    <w:rsid w:val="00FE103D"/>
    <w:rsid w:val="00FE2224"/>
    <w:rsid w:val="00FE34AB"/>
    <w:rsid w:val="00FE3A51"/>
    <w:rsid w:val="00FE3DF9"/>
    <w:rsid w:val="00FE4224"/>
    <w:rsid w:val="00FE4822"/>
    <w:rsid w:val="00FE59D2"/>
    <w:rsid w:val="00FE6A1D"/>
    <w:rsid w:val="00FE6F2E"/>
    <w:rsid w:val="00FE7618"/>
    <w:rsid w:val="00FE76CB"/>
    <w:rsid w:val="00FF0894"/>
    <w:rsid w:val="00FF0D2E"/>
    <w:rsid w:val="00FF2A55"/>
    <w:rsid w:val="00FF3006"/>
    <w:rsid w:val="00FF34BA"/>
    <w:rsid w:val="00FF35CB"/>
    <w:rsid w:val="00FF3E7F"/>
    <w:rsid w:val="00FF63D7"/>
    <w:rsid w:val="00FF7053"/>
    <w:rsid w:val="00FF79DE"/>
    <w:rsid w:val="00FF7C7A"/>
    <w:rsid w:val="010A478A"/>
    <w:rsid w:val="01106309"/>
    <w:rsid w:val="01276E62"/>
    <w:rsid w:val="01290F7E"/>
    <w:rsid w:val="012C3FDC"/>
    <w:rsid w:val="01301DC5"/>
    <w:rsid w:val="01332F93"/>
    <w:rsid w:val="01510BEF"/>
    <w:rsid w:val="01560270"/>
    <w:rsid w:val="015D1E09"/>
    <w:rsid w:val="015F5F58"/>
    <w:rsid w:val="016C71F3"/>
    <w:rsid w:val="017F1CF3"/>
    <w:rsid w:val="01870CC7"/>
    <w:rsid w:val="018D25C3"/>
    <w:rsid w:val="019A399C"/>
    <w:rsid w:val="01A86A05"/>
    <w:rsid w:val="01B44445"/>
    <w:rsid w:val="01B7372F"/>
    <w:rsid w:val="01C34639"/>
    <w:rsid w:val="01C5349F"/>
    <w:rsid w:val="01CE57AE"/>
    <w:rsid w:val="01D0111A"/>
    <w:rsid w:val="01D3127C"/>
    <w:rsid w:val="01DB6543"/>
    <w:rsid w:val="02022176"/>
    <w:rsid w:val="020255E1"/>
    <w:rsid w:val="021262B2"/>
    <w:rsid w:val="021D3898"/>
    <w:rsid w:val="021F6ED0"/>
    <w:rsid w:val="022E0085"/>
    <w:rsid w:val="02632FA6"/>
    <w:rsid w:val="02697903"/>
    <w:rsid w:val="026E29FD"/>
    <w:rsid w:val="027345B1"/>
    <w:rsid w:val="029B2374"/>
    <w:rsid w:val="02BC3862"/>
    <w:rsid w:val="02BF09F6"/>
    <w:rsid w:val="02C10C26"/>
    <w:rsid w:val="02C60B85"/>
    <w:rsid w:val="02DB33B5"/>
    <w:rsid w:val="02DD310D"/>
    <w:rsid w:val="02E02BE4"/>
    <w:rsid w:val="02E512BB"/>
    <w:rsid w:val="02F12BFF"/>
    <w:rsid w:val="02F96569"/>
    <w:rsid w:val="030E53F6"/>
    <w:rsid w:val="031F0624"/>
    <w:rsid w:val="03350C98"/>
    <w:rsid w:val="03403367"/>
    <w:rsid w:val="03457CFC"/>
    <w:rsid w:val="035449C5"/>
    <w:rsid w:val="035F4235"/>
    <w:rsid w:val="0374413D"/>
    <w:rsid w:val="039E565E"/>
    <w:rsid w:val="03B92498"/>
    <w:rsid w:val="03BB27C5"/>
    <w:rsid w:val="03CA0748"/>
    <w:rsid w:val="03CD21A9"/>
    <w:rsid w:val="03EA7B21"/>
    <w:rsid w:val="03F23821"/>
    <w:rsid w:val="03F51722"/>
    <w:rsid w:val="040337E5"/>
    <w:rsid w:val="040C0A64"/>
    <w:rsid w:val="040D00EE"/>
    <w:rsid w:val="043438CC"/>
    <w:rsid w:val="043B6EEC"/>
    <w:rsid w:val="04456F8E"/>
    <w:rsid w:val="04543492"/>
    <w:rsid w:val="045A1585"/>
    <w:rsid w:val="045B2EC4"/>
    <w:rsid w:val="0470397C"/>
    <w:rsid w:val="049E65AB"/>
    <w:rsid w:val="04AE1C18"/>
    <w:rsid w:val="04B13F18"/>
    <w:rsid w:val="04CA1C7C"/>
    <w:rsid w:val="04DC0C65"/>
    <w:rsid w:val="04E9341A"/>
    <w:rsid w:val="04FA7D8A"/>
    <w:rsid w:val="04FB6BB7"/>
    <w:rsid w:val="05191440"/>
    <w:rsid w:val="051D0B6F"/>
    <w:rsid w:val="052F20A8"/>
    <w:rsid w:val="052F5FCA"/>
    <w:rsid w:val="05300538"/>
    <w:rsid w:val="053578FC"/>
    <w:rsid w:val="05592701"/>
    <w:rsid w:val="05746676"/>
    <w:rsid w:val="05783E8C"/>
    <w:rsid w:val="05942874"/>
    <w:rsid w:val="0599432F"/>
    <w:rsid w:val="05A61923"/>
    <w:rsid w:val="05A81F6F"/>
    <w:rsid w:val="05AA02EA"/>
    <w:rsid w:val="05AA653C"/>
    <w:rsid w:val="05B253F0"/>
    <w:rsid w:val="05B34538"/>
    <w:rsid w:val="05B9570C"/>
    <w:rsid w:val="05C07B0D"/>
    <w:rsid w:val="05D80E51"/>
    <w:rsid w:val="05E80E12"/>
    <w:rsid w:val="05EC2F6E"/>
    <w:rsid w:val="05F83EAE"/>
    <w:rsid w:val="06014ADE"/>
    <w:rsid w:val="06021ED4"/>
    <w:rsid w:val="06080C8D"/>
    <w:rsid w:val="0612476F"/>
    <w:rsid w:val="06130F55"/>
    <w:rsid w:val="0614609E"/>
    <w:rsid w:val="061D0378"/>
    <w:rsid w:val="061E273E"/>
    <w:rsid w:val="062D753B"/>
    <w:rsid w:val="0638767C"/>
    <w:rsid w:val="063C1204"/>
    <w:rsid w:val="063E7D85"/>
    <w:rsid w:val="063F4ED6"/>
    <w:rsid w:val="064C000D"/>
    <w:rsid w:val="06584D05"/>
    <w:rsid w:val="066C5CA4"/>
    <w:rsid w:val="067B1C86"/>
    <w:rsid w:val="067B56B2"/>
    <w:rsid w:val="068154C9"/>
    <w:rsid w:val="0682122F"/>
    <w:rsid w:val="069114AA"/>
    <w:rsid w:val="06974BCE"/>
    <w:rsid w:val="06977BDA"/>
    <w:rsid w:val="069E6D88"/>
    <w:rsid w:val="06BA336B"/>
    <w:rsid w:val="06C510C5"/>
    <w:rsid w:val="06D422E1"/>
    <w:rsid w:val="06D440CE"/>
    <w:rsid w:val="06D90200"/>
    <w:rsid w:val="06DA718B"/>
    <w:rsid w:val="06DD649D"/>
    <w:rsid w:val="06EA248E"/>
    <w:rsid w:val="06FE13F6"/>
    <w:rsid w:val="07293586"/>
    <w:rsid w:val="07295285"/>
    <w:rsid w:val="073E0CA3"/>
    <w:rsid w:val="07431599"/>
    <w:rsid w:val="074F739B"/>
    <w:rsid w:val="0750690D"/>
    <w:rsid w:val="076170CE"/>
    <w:rsid w:val="07636392"/>
    <w:rsid w:val="07652467"/>
    <w:rsid w:val="07744FC2"/>
    <w:rsid w:val="07770C56"/>
    <w:rsid w:val="0777361A"/>
    <w:rsid w:val="077D3735"/>
    <w:rsid w:val="07836455"/>
    <w:rsid w:val="078A0EF1"/>
    <w:rsid w:val="079052BE"/>
    <w:rsid w:val="07925D89"/>
    <w:rsid w:val="0795326A"/>
    <w:rsid w:val="079B25E0"/>
    <w:rsid w:val="079C190A"/>
    <w:rsid w:val="07C733D5"/>
    <w:rsid w:val="07FC32B5"/>
    <w:rsid w:val="07FE43F0"/>
    <w:rsid w:val="0815173B"/>
    <w:rsid w:val="08156932"/>
    <w:rsid w:val="081C1D16"/>
    <w:rsid w:val="081F2B39"/>
    <w:rsid w:val="082B571B"/>
    <w:rsid w:val="085602B5"/>
    <w:rsid w:val="0864103F"/>
    <w:rsid w:val="088D2C5B"/>
    <w:rsid w:val="08AB7BAF"/>
    <w:rsid w:val="08C761FD"/>
    <w:rsid w:val="08CC67C9"/>
    <w:rsid w:val="08D31953"/>
    <w:rsid w:val="08D86F1C"/>
    <w:rsid w:val="08F50369"/>
    <w:rsid w:val="08F8136C"/>
    <w:rsid w:val="091B1929"/>
    <w:rsid w:val="092217DD"/>
    <w:rsid w:val="092378FF"/>
    <w:rsid w:val="09290360"/>
    <w:rsid w:val="093A7294"/>
    <w:rsid w:val="094673C1"/>
    <w:rsid w:val="09497E1A"/>
    <w:rsid w:val="0959420B"/>
    <w:rsid w:val="096E7880"/>
    <w:rsid w:val="09722762"/>
    <w:rsid w:val="09727371"/>
    <w:rsid w:val="098470A4"/>
    <w:rsid w:val="09A8240E"/>
    <w:rsid w:val="09AF4121"/>
    <w:rsid w:val="09B25D42"/>
    <w:rsid w:val="09BA6158"/>
    <w:rsid w:val="09C95E4B"/>
    <w:rsid w:val="09E244F6"/>
    <w:rsid w:val="09EF451D"/>
    <w:rsid w:val="0A1641A0"/>
    <w:rsid w:val="0A263993"/>
    <w:rsid w:val="0A27465C"/>
    <w:rsid w:val="0A285C81"/>
    <w:rsid w:val="0A2D3AC2"/>
    <w:rsid w:val="0A442A3C"/>
    <w:rsid w:val="0A782458"/>
    <w:rsid w:val="0A7D5FCD"/>
    <w:rsid w:val="0A8A10D6"/>
    <w:rsid w:val="0A982956"/>
    <w:rsid w:val="0A9B6453"/>
    <w:rsid w:val="0AA51080"/>
    <w:rsid w:val="0AA755DF"/>
    <w:rsid w:val="0AB37D49"/>
    <w:rsid w:val="0AC0410C"/>
    <w:rsid w:val="0AD87A32"/>
    <w:rsid w:val="0AE71819"/>
    <w:rsid w:val="0AE71884"/>
    <w:rsid w:val="0AFA5870"/>
    <w:rsid w:val="0B070EB3"/>
    <w:rsid w:val="0B120D44"/>
    <w:rsid w:val="0B207C95"/>
    <w:rsid w:val="0B304DED"/>
    <w:rsid w:val="0B353632"/>
    <w:rsid w:val="0B397435"/>
    <w:rsid w:val="0B3E0E39"/>
    <w:rsid w:val="0B5F3B76"/>
    <w:rsid w:val="0B674587"/>
    <w:rsid w:val="0B7C6285"/>
    <w:rsid w:val="0B802BBC"/>
    <w:rsid w:val="0BA77F38"/>
    <w:rsid w:val="0BBA6DAD"/>
    <w:rsid w:val="0BBF43C3"/>
    <w:rsid w:val="0BC1638D"/>
    <w:rsid w:val="0BD21DB5"/>
    <w:rsid w:val="0BD27BF6"/>
    <w:rsid w:val="0BDB3772"/>
    <w:rsid w:val="0BE1433A"/>
    <w:rsid w:val="0BE75FC5"/>
    <w:rsid w:val="0BF319E5"/>
    <w:rsid w:val="0BF45AAC"/>
    <w:rsid w:val="0BF73ECA"/>
    <w:rsid w:val="0BFE109E"/>
    <w:rsid w:val="0C1D16F4"/>
    <w:rsid w:val="0C2506CA"/>
    <w:rsid w:val="0C394176"/>
    <w:rsid w:val="0C3B3C7D"/>
    <w:rsid w:val="0C572C27"/>
    <w:rsid w:val="0C594818"/>
    <w:rsid w:val="0C6078B8"/>
    <w:rsid w:val="0C673C16"/>
    <w:rsid w:val="0C8353F1"/>
    <w:rsid w:val="0CAB2EAE"/>
    <w:rsid w:val="0CAB724F"/>
    <w:rsid w:val="0CBF1356"/>
    <w:rsid w:val="0CC6480C"/>
    <w:rsid w:val="0CCB51C6"/>
    <w:rsid w:val="0CCD48BE"/>
    <w:rsid w:val="0CE42A1D"/>
    <w:rsid w:val="0CFD2F33"/>
    <w:rsid w:val="0CFF716D"/>
    <w:rsid w:val="0D0B3D64"/>
    <w:rsid w:val="0D1F15BD"/>
    <w:rsid w:val="0D2C57D8"/>
    <w:rsid w:val="0D2C617C"/>
    <w:rsid w:val="0D365FE1"/>
    <w:rsid w:val="0D411534"/>
    <w:rsid w:val="0D621C7D"/>
    <w:rsid w:val="0D8A0B26"/>
    <w:rsid w:val="0D91385F"/>
    <w:rsid w:val="0D9A634F"/>
    <w:rsid w:val="0D9A68D1"/>
    <w:rsid w:val="0D9A7683"/>
    <w:rsid w:val="0DC3019B"/>
    <w:rsid w:val="0DC932D7"/>
    <w:rsid w:val="0DD07A6D"/>
    <w:rsid w:val="0DD1743B"/>
    <w:rsid w:val="0DDA0AE6"/>
    <w:rsid w:val="0DDE3227"/>
    <w:rsid w:val="0DE1021E"/>
    <w:rsid w:val="0DE36D77"/>
    <w:rsid w:val="0DFC36AD"/>
    <w:rsid w:val="0E083E00"/>
    <w:rsid w:val="0E1D29A1"/>
    <w:rsid w:val="0E3948D3"/>
    <w:rsid w:val="0E493A32"/>
    <w:rsid w:val="0E73034D"/>
    <w:rsid w:val="0E750972"/>
    <w:rsid w:val="0E796D37"/>
    <w:rsid w:val="0E7B530F"/>
    <w:rsid w:val="0E84218B"/>
    <w:rsid w:val="0E8C407F"/>
    <w:rsid w:val="0E9A2BC2"/>
    <w:rsid w:val="0EA1737A"/>
    <w:rsid w:val="0EA27076"/>
    <w:rsid w:val="0EBB0DFE"/>
    <w:rsid w:val="0EC341CA"/>
    <w:rsid w:val="0ECC2676"/>
    <w:rsid w:val="0ED95F54"/>
    <w:rsid w:val="0EDF64BB"/>
    <w:rsid w:val="0EE627C7"/>
    <w:rsid w:val="0EED1247"/>
    <w:rsid w:val="0EF15A6A"/>
    <w:rsid w:val="0EF95E3E"/>
    <w:rsid w:val="0F011655"/>
    <w:rsid w:val="0F13775A"/>
    <w:rsid w:val="0F32570F"/>
    <w:rsid w:val="0F37546D"/>
    <w:rsid w:val="0F42346F"/>
    <w:rsid w:val="0F476BAA"/>
    <w:rsid w:val="0F4A0448"/>
    <w:rsid w:val="0F517A28"/>
    <w:rsid w:val="0F5F45FE"/>
    <w:rsid w:val="0F7C09E9"/>
    <w:rsid w:val="0F8265E8"/>
    <w:rsid w:val="0F8432D0"/>
    <w:rsid w:val="0F9242C9"/>
    <w:rsid w:val="0F95128B"/>
    <w:rsid w:val="0F985657"/>
    <w:rsid w:val="0F9A112B"/>
    <w:rsid w:val="0F9A3E44"/>
    <w:rsid w:val="0F9C3392"/>
    <w:rsid w:val="0FA61B22"/>
    <w:rsid w:val="0FB664B0"/>
    <w:rsid w:val="0FC42600"/>
    <w:rsid w:val="0FCB1589"/>
    <w:rsid w:val="0FE30B60"/>
    <w:rsid w:val="0FE74AD6"/>
    <w:rsid w:val="0FEE34C9"/>
    <w:rsid w:val="0FEF2A91"/>
    <w:rsid w:val="0FF52AA9"/>
    <w:rsid w:val="0FF578E5"/>
    <w:rsid w:val="0FFD54BA"/>
    <w:rsid w:val="100565B7"/>
    <w:rsid w:val="10172161"/>
    <w:rsid w:val="1017657C"/>
    <w:rsid w:val="10190546"/>
    <w:rsid w:val="103144ED"/>
    <w:rsid w:val="103B1C47"/>
    <w:rsid w:val="10593038"/>
    <w:rsid w:val="105B01E2"/>
    <w:rsid w:val="105B0B5E"/>
    <w:rsid w:val="105B5E6F"/>
    <w:rsid w:val="10613C9B"/>
    <w:rsid w:val="1063029A"/>
    <w:rsid w:val="106D2F64"/>
    <w:rsid w:val="106E1EE8"/>
    <w:rsid w:val="106F1A56"/>
    <w:rsid w:val="109041A4"/>
    <w:rsid w:val="10991180"/>
    <w:rsid w:val="10B63710"/>
    <w:rsid w:val="10B73622"/>
    <w:rsid w:val="10BD19D1"/>
    <w:rsid w:val="10CB4527"/>
    <w:rsid w:val="10D305EC"/>
    <w:rsid w:val="10DA1A59"/>
    <w:rsid w:val="10E4605B"/>
    <w:rsid w:val="10F10820"/>
    <w:rsid w:val="10F73C16"/>
    <w:rsid w:val="111C2F7A"/>
    <w:rsid w:val="111D36CF"/>
    <w:rsid w:val="11203380"/>
    <w:rsid w:val="112231F9"/>
    <w:rsid w:val="112E25AD"/>
    <w:rsid w:val="113B44EC"/>
    <w:rsid w:val="11455A80"/>
    <w:rsid w:val="11665CA1"/>
    <w:rsid w:val="11675545"/>
    <w:rsid w:val="116B1A81"/>
    <w:rsid w:val="116E48C1"/>
    <w:rsid w:val="11765524"/>
    <w:rsid w:val="119E463A"/>
    <w:rsid w:val="11B038B5"/>
    <w:rsid w:val="11BB7C37"/>
    <w:rsid w:val="11BF0EEF"/>
    <w:rsid w:val="11C26E4A"/>
    <w:rsid w:val="11C579E0"/>
    <w:rsid w:val="11C73FD2"/>
    <w:rsid w:val="11CF5734"/>
    <w:rsid w:val="11D049ED"/>
    <w:rsid w:val="11D32976"/>
    <w:rsid w:val="11D81086"/>
    <w:rsid w:val="11F81B06"/>
    <w:rsid w:val="11FF7489"/>
    <w:rsid w:val="12145696"/>
    <w:rsid w:val="121B14C3"/>
    <w:rsid w:val="121C42E1"/>
    <w:rsid w:val="1225617B"/>
    <w:rsid w:val="12281C2E"/>
    <w:rsid w:val="12353631"/>
    <w:rsid w:val="123548E0"/>
    <w:rsid w:val="123C1304"/>
    <w:rsid w:val="124F6188"/>
    <w:rsid w:val="12550132"/>
    <w:rsid w:val="12555D12"/>
    <w:rsid w:val="12577104"/>
    <w:rsid w:val="125C5D07"/>
    <w:rsid w:val="125E4936"/>
    <w:rsid w:val="1269778D"/>
    <w:rsid w:val="126C227A"/>
    <w:rsid w:val="1288618A"/>
    <w:rsid w:val="1292088A"/>
    <w:rsid w:val="12981852"/>
    <w:rsid w:val="129C6D83"/>
    <w:rsid w:val="12AA1929"/>
    <w:rsid w:val="12B74A07"/>
    <w:rsid w:val="12BF0B36"/>
    <w:rsid w:val="12C472B9"/>
    <w:rsid w:val="12C56763"/>
    <w:rsid w:val="12D22D54"/>
    <w:rsid w:val="12E411BC"/>
    <w:rsid w:val="13246CB0"/>
    <w:rsid w:val="132870BB"/>
    <w:rsid w:val="133921D0"/>
    <w:rsid w:val="13397200"/>
    <w:rsid w:val="135950FD"/>
    <w:rsid w:val="136A7912"/>
    <w:rsid w:val="137F7BEF"/>
    <w:rsid w:val="13823B09"/>
    <w:rsid w:val="13832D44"/>
    <w:rsid w:val="1388135C"/>
    <w:rsid w:val="138E17D4"/>
    <w:rsid w:val="13951726"/>
    <w:rsid w:val="139D148E"/>
    <w:rsid w:val="13A32D36"/>
    <w:rsid w:val="13E5054D"/>
    <w:rsid w:val="13E56E5C"/>
    <w:rsid w:val="13EC43D1"/>
    <w:rsid w:val="140A1AC7"/>
    <w:rsid w:val="14173DA6"/>
    <w:rsid w:val="1432607A"/>
    <w:rsid w:val="14396509"/>
    <w:rsid w:val="143A4F2F"/>
    <w:rsid w:val="1447062F"/>
    <w:rsid w:val="144B713C"/>
    <w:rsid w:val="145A112D"/>
    <w:rsid w:val="145D1E6C"/>
    <w:rsid w:val="14636234"/>
    <w:rsid w:val="149845D8"/>
    <w:rsid w:val="14993100"/>
    <w:rsid w:val="14A82C52"/>
    <w:rsid w:val="14B106F3"/>
    <w:rsid w:val="14B83C0B"/>
    <w:rsid w:val="14B95C2D"/>
    <w:rsid w:val="14C642BB"/>
    <w:rsid w:val="14CB40C1"/>
    <w:rsid w:val="14D362EF"/>
    <w:rsid w:val="14D72C15"/>
    <w:rsid w:val="14DC6C9D"/>
    <w:rsid w:val="14DD2C3C"/>
    <w:rsid w:val="14EA24B1"/>
    <w:rsid w:val="14EF1A4E"/>
    <w:rsid w:val="14F11A91"/>
    <w:rsid w:val="15080EEC"/>
    <w:rsid w:val="1509575D"/>
    <w:rsid w:val="150B2427"/>
    <w:rsid w:val="15110314"/>
    <w:rsid w:val="151417DA"/>
    <w:rsid w:val="15272FA9"/>
    <w:rsid w:val="154F1247"/>
    <w:rsid w:val="155B33AF"/>
    <w:rsid w:val="15655FDB"/>
    <w:rsid w:val="1568787A"/>
    <w:rsid w:val="15877D00"/>
    <w:rsid w:val="158A663D"/>
    <w:rsid w:val="158C2113"/>
    <w:rsid w:val="158D4FD4"/>
    <w:rsid w:val="158F187F"/>
    <w:rsid w:val="15A732C0"/>
    <w:rsid w:val="15B8101F"/>
    <w:rsid w:val="15BF56EC"/>
    <w:rsid w:val="15C076B6"/>
    <w:rsid w:val="15DC3C77"/>
    <w:rsid w:val="15E7028E"/>
    <w:rsid w:val="15EF5777"/>
    <w:rsid w:val="16087E1D"/>
    <w:rsid w:val="160B0931"/>
    <w:rsid w:val="16186C2E"/>
    <w:rsid w:val="161B33B8"/>
    <w:rsid w:val="16281A82"/>
    <w:rsid w:val="162F0991"/>
    <w:rsid w:val="163C4115"/>
    <w:rsid w:val="165512C8"/>
    <w:rsid w:val="165B2F3A"/>
    <w:rsid w:val="1662251B"/>
    <w:rsid w:val="16650136"/>
    <w:rsid w:val="166828C6"/>
    <w:rsid w:val="16831A50"/>
    <w:rsid w:val="168C0FA7"/>
    <w:rsid w:val="169237BF"/>
    <w:rsid w:val="16993933"/>
    <w:rsid w:val="169C1EC4"/>
    <w:rsid w:val="16B32368"/>
    <w:rsid w:val="16B95DD2"/>
    <w:rsid w:val="16CC4F05"/>
    <w:rsid w:val="16CD5BE6"/>
    <w:rsid w:val="16D026BB"/>
    <w:rsid w:val="16D03928"/>
    <w:rsid w:val="16D05B14"/>
    <w:rsid w:val="16D64FF4"/>
    <w:rsid w:val="16D85217"/>
    <w:rsid w:val="16DE4297"/>
    <w:rsid w:val="16E11692"/>
    <w:rsid w:val="16F70EB5"/>
    <w:rsid w:val="16F931E8"/>
    <w:rsid w:val="17052AF1"/>
    <w:rsid w:val="170D71E7"/>
    <w:rsid w:val="17233C4D"/>
    <w:rsid w:val="17320321"/>
    <w:rsid w:val="1739327C"/>
    <w:rsid w:val="17516817"/>
    <w:rsid w:val="17577BA6"/>
    <w:rsid w:val="175B6C77"/>
    <w:rsid w:val="176F2079"/>
    <w:rsid w:val="17701D14"/>
    <w:rsid w:val="17720ADE"/>
    <w:rsid w:val="17735226"/>
    <w:rsid w:val="1782529E"/>
    <w:rsid w:val="17A17069"/>
    <w:rsid w:val="17AC2BAB"/>
    <w:rsid w:val="17AF3CFA"/>
    <w:rsid w:val="17C04E88"/>
    <w:rsid w:val="17D43216"/>
    <w:rsid w:val="17E04EE3"/>
    <w:rsid w:val="17E503C2"/>
    <w:rsid w:val="17EF7DDE"/>
    <w:rsid w:val="17F319E7"/>
    <w:rsid w:val="17F6116D"/>
    <w:rsid w:val="1800571E"/>
    <w:rsid w:val="18041425"/>
    <w:rsid w:val="18071748"/>
    <w:rsid w:val="18274E39"/>
    <w:rsid w:val="1828305B"/>
    <w:rsid w:val="183D39CC"/>
    <w:rsid w:val="183E0787"/>
    <w:rsid w:val="184E0CEC"/>
    <w:rsid w:val="18574A7E"/>
    <w:rsid w:val="18772770"/>
    <w:rsid w:val="18874BF1"/>
    <w:rsid w:val="188F4ED8"/>
    <w:rsid w:val="189A3577"/>
    <w:rsid w:val="189A41EE"/>
    <w:rsid w:val="189D7F41"/>
    <w:rsid w:val="189F624C"/>
    <w:rsid w:val="18A1416D"/>
    <w:rsid w:val="18A1557C"/>
    <w:rsid w:val="18BF5A03"/>
    <w:rsid w:val="18C87522"/>
    <w:rsid w:val="18D86AC4"/>
    <w:rsid w:val="18DF0A33"/>
    <w:rsid w:val="18E702C9"/>
    <w:rsid w:val="18FD62AE"/>
    <w:rsid w:val="190D0166"/>
    <w:rsid w:val="191479B4"/>
    <w:rsid w:val="19353F17"/>
    <w:rsid w:val="19393A07"/>
    <w:rsid w:val="19445F08"/>
    <w:rsid w:val="1945415A"/>
    <w:rsid w:val="195A572B"/>
    <w:rsid w:val="19715F37"/>
    <w:rsid w:val="197E2E26"/>
    <w:rsid w:val="197F0DB4"/>
    <w:rsid w:val="199178F6"/>
    <w:rsid w:val="19A4034B"/>
    <w:rsid w:val="19B47531"/>
    <w:rsid w:val="19C05185"/>
    <w:rsid w:val="19CE5B6F"/>
    <w:rsid w:val="19E0594D"/>
    <w:rsid w:val="19E41BC5"/>
    <w:rsid w:val="19FA0392"/>
    <w:rsid w:val="1A0538E9"/>
    <w:rsid w:val="1A0B0E6E"/>
    <w:rsid w:val="1A1324AA"/>
    <w:rsid w:val="1A1C66C0"/>
    <w:rsid w:val="1A2F22D7"/>
    <w:rsid w:val="1A40112B"/>
    <w:rsid w:val="1A42393B"/>
    <w:rsid w:val="1A561A9B"/>
    <w:rsid w:val="1A7F7F97"/>
    <w:rsid w:val="1A9B1FEA"/>
    <w:rsid w:val="1AA2738A"/>
    <w:rsid w:val="1AA63AF6"/>
    <w:rsid w:val="1AA80E44"/>
    <w:rsid w:val="1AAD45DE"/>
    <w:rsid w:val="1AB53AAF"/>
    <w:rsid w:val="1AB5530F"/>
    <w:rsid w:val="1AC769DE"/>
    <w:rsid w:val="1ACA1BF4"/>
    <w:rsid w:val="1ADC289C"/>
    <w:rsid w:val="1ADD5C6B"/>
    <w:rsid w:val="1AE14356"/>
    <w:rsid w:val="1AF35A9F"/>
    <w:rsid w:val="1B004588"/>
    <w:rsid w:val="1B021E92"/>
    <w:rsid w:val="1B043BA1"/>
    <w:rsid w:val="1B046F80"/>
    <w:rsid w:val="1B0B3181"/>
    <w:rsid w:val="1B244243"/>
    <w:rsid w:val="1B3267B5"/>
    <w:rsid w:val="1B3304CF"/>
    <w:rsid w:val="1B336C3A"/>
    <w:rsid w:val="1B373F76"/>
    <w:rsid w:val="1B3E3E47"/>
    <w:rsid w:val="1B40161D"/>
    <w:rsid w:val="1B421F43"/>
    <w:rsid w:val="1B441859"/>
    <w:rsid w:val="1B485930"/>
    <w:rsid w:val="1B4F17A2"/>
    <w:rsid w:val="1B514B4A"/>
    <w:rsid w:val="1B5D4B7A"/>
    <w:rsid w:val="1B6606B1"/>
    <w:rsid w:val="1B673F89"/>
    <w:rsid w:val="1B67737F"/>
    <w:rsid w:val="1B682BCD"/>
    <w:rsid w:val="1B69491E"/>
    <w:rsid w:val="1B697EA8"/>
    <w:rsid w:val="1B944F25"/>
    <w:rsid w:val="1BA333BA"/>
    <w:rsid w:val="1BA710FC"/>
    <w:rsid w:val="1BB47375"/>
    <w:rsid w:val="1BCA303C"/>
    <w:rsid w:val="1BD31ED2"/>
    <w:rsid w:val="1BDE43F2"/>
    <w:rsid w:val="1BE7774A"/>
    <w:rsid w:val="1C033E58"/>
    <w:rsid w:val="1C0628B7"/>
    <w:rsid w:val="1C0876C1"/>
    <w:rsid w:val="1C0C32D9"/>
    <w:rsid w:val="1C173A69"/>
    <w:rsid w:val="1C2C2D69"/>
    <w:rsid w:val="1C312DFB"/>
    <w:rsid w:val="1C406E5A"/>
    <w:rsid w:val="1C4C1CA3"/>
    <w:rsid w:val="1C53589B"/>
    <w:rsid w:val="1C597F1C"/>
    <w:rsid w:val="1C5E7925"/>
    <w:rsid w:val="1C5F1840"/>
    <w:rsid w:val="1C71351D"/>
    <w:rsid w:val="1C862D77"/>
    <w:rsid w:val="1C882EC0"/>
    <w:rsid w:val="1C890801"/>
    <w:rsid w:val="1C933A8A"/>
    <w:rsid w:val="1C981F6B"/>
    <w:rsid w:val="1C99656B"/>
    <w:rsid w:val="1CB301F3"/>
    <w:rsid w:val="1CB97CE8"/>
    <w:rsid w:val="1CD312D5"/>
    <w:rsid w:val="1CE60B28"/>
    <w:rsid w:val="1CED62BC"/>
    <w:rsid w:val="1CF540E9"/>
    <w:rsid w:val="1CF814E3"/>
    <w:rsid w:val="1CF976CF"/>
    <w:rsid w:val="1CFD070F"/>
    <w:rsid w:val="1D0501DE"/>
    <w:rsid w:val="1D187DD7"/>
    <w:rsid w:val="1D1E3640"/>
    <w:rsid w:val="1D1F1166"/>
    <w:rsid w:val="1D246946"/>
    <w:rsid w:val="1D2A0508"/>
    <w:rsid w:val="1D2A690C"/>
    <w:rsid w:val="1D417AAF"/>
    <w:rsid w:val="1D434E54"/>
    <w:rsid w:val="1D5F6196"/>
    <w:rsid w:val="1D6132A5"/>
    <w:rsid w:val="1D62418B"/>
    <w:rsid w:val="1D6D3C7F"/>
    <w:rsid w:val="1D747F3A"/>
    <w:rsid w:val="1D7B3B35"/>
    <w:rsid w:val="1D7F21A0"/>
    <w:rsid w:val="1D817E25"/>
    <w:rsid w:val="1D835251"/>
    <w:rsid w:val="1D880B8C"/>
    <w:rsid w:val="1D8B1AB4"/>
    <w:rsid w:val="1D8E56D5"/>
    <w:rsid w:val="1D952F20"/>
    <w:rsid w:val="1D9C28EC"/>
    <w:rsid w:val="1DAE3399"/>
    <w:rsid w:val="1DB55626"/>
    <w:rsid w:val="1DB93368"/>
    <w:rsid w:val="1DBA67B2"/>
    <w:rsid w:val="1DBC4C07"/>
    <w:rsid w:val="1DD6608D"/>
    <w:rsid w:val="1DDC7057"/>
    <w:rsid w:val="1DFA1B66"/>
    <w:rsid w:val="1DFE0D7B"/>
    <w:rsid w:val="1E054EB4"/>
    <w:rsid w:val="1E141BB6"/>
    <w:rsid w:val="1E2867DD"/>
    <w:rsid w:val="1E380731"/>
    <w:rsid w:val="1E3C02F5"/>
    <w:rsid w:val="1E450758"/>
    <w:rsid w:val="1E4A0464"/>
    <w:rsid w:val="1E5F6132"/>
    <w:rsid w:val="1E690DEE"/>
    <w:rsid w:val="1E6F28FB"/>
    <w:rsid w:val="1E7726E6"/>
    <w:rsid w:val="1E7A43DA"/>
    <w:rsid w:val="1E931E41"/>
    <w:rsid w:val="1E9B2FB0"/>
    <w:rsid w:val="1EA725F8"/>
    <w:rsid w:val="1EAA2E0E"/>
    <w:rsid w:val="1EAF2075"/>
    <w:rsid w:val="1EC41FC5"/>
    <w:rsid w:val="1ECC5F39"/>
    <w:rsid w:val="1EF160BA"/>
    <w:rsid w:val="1EF67CA4"/>
    <w:rsid w:val="1F0C571A"/>
    <w:rsid w:val="1F1678C6"/>
    <w:rsid w:val="1F262635"/>
    <w:rsid w:val="1F291E28"/>
    <w:rsid w:val="1F2B1C30"/>
    <w:rsid w:val="1F403D87"/>
    <w:rsid w:val="1F497AE1"/>
    <w:rsid w:val="1F4A096C"/>
    <w:rsid w:val="1F546DCB"/>
    <w:rsid w:val="1F5E5F75"/>
    <w:rsid w:val="1F672950"/>
    <w:rsid w:val="1F707A57"/>
    <w:rsid w:val="1F7D07B7"/>
    <w:rsid w:val="1F860D5D"/>
    <w:rsid w:val="1F86214E"/>
    <w:rsid w:val="1F8B600B"/>
    <w:rsid w:val="1F8C28BE"/>
    <w:rsid w:val="1F8C4B6C"/>
    <w:rsid w:val="1F9000F9"/>
    <w:rsid w:val="1F9025A4"/>
    <w:rsid w:val="1FA47700"/>
    <w:rsid w:val="1FE7539E"/>
    <w:rsid w:val="1FF22B62"/>
    <w:rsid w:val="201E1748"/>
    <w:rsid w:val="20337123"/>
    <w:rsid w:val="20343A93"/>
    <w:rsid w:val="203554DA"/>
    <w:rsid w:val="203E32AB"/>
    <w:rsid w:val="20513004"/>
    <w:rsid w:val="205C3214"/>
    <w:rsid w:val="20662E9A"/>
    <w:rsid w:val="20671BE0"/>
    <w:rsid w:val="206D21E8"/>
    <w:rsid w:val="20815AF2"/>
    <w:rsid w:val="2084273E"/>
    <w:rsid w:val="20957A2F"/>
    <w:rsid w:val="20963CB8"/>
    <w:rsid w:val="20A31443"/>
    <w:rsid w:val="20A81A1B"/>
    <w:rsid w:val="20B07FB6"/>
    <w:rsid w:val="20B646FB"/>
    <w:rsid w:val="20C242E2"/>
    <w:rsid w:val="20CE2C87"/>
    <w:rsid w:val="20D00D13"/>
    <w:rsid w:val="20D075AF"/>
    <w:rsid w:val="20D217AE"/>
    <w:rsid w:val="20D65FDF"/>
    <w:rsid w:val="20D75D9A"/>
    <w:rsid w:val="20DF098A"/>
    <w:rsid w:val="20ED1CFA"/>
    <w:rsid w:val="20EE157B"/>
    <w:rsid w:val="20FF72E4"/>
    <w:rsid w:val="2104067A"/>
    <w:rsid w:val="21163D9B"/>
    <w:rsid w:val="212835C7"/>
    <w:rsid w:val="21294361"/>
    <w:rsid w:val="212F0BB3"/>
    <w:rsid w:val="213165C4"/>
    <w:rsid w:val="213B74B1"/>
    <w:rsid w:val="21423675"/>
    <w:rsid w:val="21494581"/>
    <w:rsid w:val="215A2310"/>
    <w:rsid w:val="21733254"/>
    <w:rsid w:val="21751354"/>
    <w:rsid w:val="2178141D"/>
    <w:rsid w:val="217E7BB1"/>
    <w:rsid w:val="219437E5"/>
    <w:rsid w:val="21AF03A0"/>
    <w:rsid w:val="21B33138"/>
    <w:rsid w:val="21B47408"/>
    <w:rsid w:val="21B9550D"/>
    <w:rsid w:val="21BF4CC5"/>
    <w:rsid w:val="21DE318A"/>
    <w:rsid w:val="21DE6697"/>
    <w:rsid w:val="21E464DA"/>
    <w:rsid w:val="21EB1B1A"/>
    <w:rsid w:val="21EF5B80"/>
    <w:rsid w:val="21F11698"/>
    <w:rsid w:val="21F93D33"/>
    <w:rsid w:val="22005281"/>
    <w:rsid w:val="22066450"/>
    <w:rsid w:val="221B56B0"/>
    <w:rsid w:val="222A3EC4"/>
    <w:rsid w:val="222C14D6"/>
    <w:rsid w:val="222F3BF9"/>
    <w:rsid w:val="224457A4"/>
    <w:rsid w:val="224E7144"/>
    <w:rsid w:val="2251152F"/>
    <w:rsid w:val="22511DC1"/>
    <w:rsid w:val="22536AC3"/>
    <w:rsid w:val="22576990"/>
    <w:rsid w:val="225C0A7C"/>
    <w:rsid w:val="2261051A"/>
    <w:rsid w:val="22625D7D"/>
    <w:rsid w:val="226950C7"/>
    <w:rsid w:val="22715FC0"/>
    <w:rsid w:val="22745AB0"/>
    <w:rsid w:val="227D3272"/>
    <w:rsid w:val="22A54A88"/>
    <w:rsid w:val="22A632CF"/>
    <w:rsid w:val="22AA4195"/>
    <w:rsid w:val="22B67E4F"/>
    <w:rsid w:val="22C555A7"/>
    <w:rsid w:val="22C771F9"/>
    <w:rsid w:val="22CB59C2"/>
    <w:rsid w:val="22DE361C"/>
    <w:rsid w:val="22EC09C5"/>
    <w:rsid w:val="22F1787E"/>
    <w:rsid w:val="22F47480"/>
    <w:rsid w:val="230C7027"/>
    <w:rsid w:val="231057D9"/>
    <w:rsid w:val="232272BA"/>
    <w:rsid w:val="23327D4B"/>
    <w:rsid w:val="23530B52"/>
    <w:rsid w:val="23644B62"/>
    <w:rsid w:val="23805DED"/>
    <w:rsid w:val="238A3FC2"/>
    <w:rsid w:val="238D5C23"/>
    <w:rsid w:val="238F6FBE"/>
    <w:rsid w:val="23A13D5D"/>
    <w:rsid w:val="23A91789"/>
    <w:rsid w:val="23B0227A"/>
    <w:rsid w:val="23B24AE2"/>
    <w:rsid w:val="23C67AA1"/>
    <w:rsid w:val="23D069B6"/>
    <w:rsid w:val="23DE1C48"/>
    <w:rsid w:val="23DF164F"/>
    <w:rsid w:val="23E766A2"/>
    <w:rsid w:val="23FB303B"/>
    <w:rsid w:val="23FB6B71"/>
    <w:rsid w:val="240210CD"/>
    <w:rsid w:val="240822B0"/>
    <w:rsid w:val="2416273C"/>
    <w:rsid w:val="243D3E99"/>
    <w:rsid w:val="24443260"/>
    <w:rsid w:val="244E554B"/>
    <w:rsid w:val="245E2574"/>
    <w:rsid w:val="246E02B3"/>
    <w:rsid w:val="2475274B"/>
    <w:rsid w:val="247A284E"/>
    <w:rsid w:val="249126D3"/>
    <w:rsid w:val="24A1796F"/>
    <w:rsid w:val="24B5759A"/>
    <w:rsid w:val="24BF09F7"/>
    <w:rsid w:val="24C76402"/>
    <w:rsid w:val="24F1163A"/>
    <w:rsid w:val="24F32055"/>
    <w:rsid w:val="2501310C"/>
    <w:rsid w:val="250824DF"/>
    <w:rsid w:val="250E5D48"/>
    <w:rsid w:val="25166C4D"/>
    <w:rsid w:val="25217CF5"/>
    <w:rsid w:val="252D53FE"/>
    <w:rsid w:val="253456E5"/>
    <w:rsid w:val="253C2E36"/>
    <w:rsid w:val="253D03DB"/>
    <w:rsid w:val="253D5FB8"/>
    <w:rsid w:val="25537BFE"/>
    <w:rsid w:val="255709B9"/>
    <w:rsid w:val="255F0D6E"/>
    <w:rsid w:val="257D2D13"/>
    <w:rsid w:val="258B2D19"/>
    <w:rsid w:val="258C2852"/>
    <w:rsid w:val="2592441B"/>
    <w:rsid w:val="25B14925"/>
    <w:rsid w:val="25C17F17"/>
    <w:rsid w:val="25CA6D23"/>
    <w:rsid w:val="25D02FFD"/>
    <w:rsid w:val="25E0688D"/>
    <w:rsid w:val="25E90563"/>
    <w:rsid w:val="25EC2D81"/>
    <w:rsid w:val="25F56F08"/>
    <w:rsid w:val="260B5A34"/>
    <w:rsid w:val="262735ED"/>
    <w:rsid w:val="262849A3"/>
    <w:rsid w:val="263E265D"/>
    <w:rsid w:val="264D2598"/>
    <w:rsid w:val="264D7964"/>
    <w:rsid w:val="265A170D"/>
    <w:rsid w:val="26613876"/>
    <w:rsid w:val="26653312"/>
    <w:rsid w:val="267C4F33"/>
    <w:rsid w:val="26924756"/>
    <w:rsid w:val="26955807"/>
    <w:rsid w:val="269B13C4"/>
    <w:rsid w:val="26A63817"/>
    <w:rsid w:val="26A7603E"/>
    <w:rsid w:val="26DC3C24"/>
    <w:rsid w:val="26EA6341"/>
    <w:rsid w:val="26F60004"/>
    <w:rsid w:val="26F61BF9"/>
    <w:rsid w:val="27070722"/>
    <w:rsid w:val="270753B7"/>
    <w:rsid w:val="270C275B"/>
    <w:rsid w:val="27190DDB"/>
    <w:rsid w:val="271C2980"/>
    <w:rsid w:val="27395BB1"/>
    <w:rsid w:val="274F2353"/>
    <w:rsid w:val="276177B4"/>
    <w:rsid w:val="27677991"/>
    <w:rsid w:val="27683A73"/>
    <w:rsid w:val="276C31F9"/>
    <w:rsid w:val="276D33F0"/>
    <w:rsid w:val="277057A2"/>
    <w:rsid w:val="27885D7B"/>
    <w:rsid w:val="278C389C"/>
    <w:rsid w:val="278C526B"/>
    <w:rsid w:val="27A622B9"/>
    <w:rsid w:val="27B53845"/>
    <w:rsid w:val="27B56496"/>
    <w:rsid w:val="27D52B4D"/>
    <w:rsid w:val="27E81DCD"/>
    <w:rsid w:val="28025BD0"/>
    <w:rsid w:val="28063B27"/>
    <w:rsid w:val="280F37C5"/>
    <w:rsid w:val="281067F9"/>
    <w:rsid w:val="284259CB"/>
    <w:rsid w:val="28426A77"/>
    <w:rsid w:val="285A74F6"/>
    <w:rsid w:val="288836D2"/>
    <w:rsid w:val="288A1B89"/>
    <w:rsid w:val="288A470E"/>
    <w:rsid w:val="288D1679"/>
    <w:rsid w:val="28956780"/>
    <w:rsid w:val="289D2E2D"/>
    <w:rsid w:val="289E3886"/>
    <w:rsid w:val="28CC0C03"/>
    <w:rsid w:val="28D02641"/>
    <w:rsid w:val="28EA786D"/>
    <w:rsid w:val="28EB63A0"/>
    <w:rsid w:val="28F27A9D"/>
    <w:rsid w:val="290E2F0E"/>
    <w:rsid w:val="291108A4"/>
    <w:rsid w:val="291F72A6"/>
    <w:rsid w:val="29206EB8"/>
    <w:rsid w:val="29334D44"/>
    <w:rsid w:val="295126A7"/>
    <w:rsid w:val="29590700"/>
    <w:rsid w:val="29595666"/>
    <w:rsid w:val="295B1778"/>
    <w:rsid w:val="29615621"/>
    <w:rsid w:val="2964062C"/>
    <w:rsid w:val="296A7617"/>
    <w:rsid w:val="296F60AE"/>
    <w:rsid w:val="29712D49"/>
    <w:rsid w:val="298411B3"/>
    <w:rsid w:val="29867130"/>
    <w:rsid w:val="2987431B"/>
    <w:rsid w:val="29874881"/>
    <w:rsid w:val="2997125E"/>
    <w:rsid w:val="29997033"/>
    <w:rsid w:val="29B91531"/>
    <w:rsid w:val="29E325E0"/>
    <w:rsid w:val="29E637CA"/>
    <w:rsid w:val="29EE439A"/>
    <w:rsid w:val="29F31EAD"/>
    <w:rsid w:val="2A04596B"/>
    <w:rsid w:val="2A287CF0"/>
    <w:rsid w:val="2A383727"/>
    <w:rsid w:val="2A3B7000"/>
    <w:rsid w:val="2A3D25C5"/>
    <w:rsid w:val="2A44220C"/>
    <w:rsid w:val="2A452503"/>
    <w:rsid w:val="2A506E02"/>
    <w:rsid w:val="2A761EA8"/>
    <w:rsid w:val="2A8645D2"/>
    <w:rsid w:val="2A8A7484"/>
    <w:rsid w:val="2AA042C3"/>
    <w:rsid w:val="2AA16847"/>
    <w:rsid w:val="2AAD6003"/>
    <w:rsid w:val="2AB47FDB"/>
    <w:rsid w:val="2ABF3E19"/>
    <w:rsid w:val="2ACA7F42"/>
    <w:rsid w:val="2AE40D00"/>
    <w:rsid w:val="2AF32917"/>
    <w:rsid w:val="2AF9465D"/>
    <w:rsid w:val="2AFC349E"/>
    <w:rsid w:val="2B0C6A13"/>
    <w:rsid w:val="2B160DA2"/>
    <w:rsid w:val="2B193698"/>
    <w:rsid w:val="2B1D42B7"/>
    <w:rsid w:val="2B4E29EB"/>
    <w:rsid w:val="2B5022DC"/>
    <w:rsid w:val="2B591CE7"/>
    <w:rsid w:val="2B6F037D"/>
    <w:rsid w:val="2B9364B1"/>
    <w:rsid w:val="2B9E594C"/>
    <w:rsid w:val="2BA411B4"/>
    <w:rsid w:val="2BA936A8"/>
    <w:rsid w:val="2BAC3EA5"/>
    <w:rsid w:val="2BAF1907"/>
    <w:rsid w:val="2BB66F76"/>
    <w:rsid w:val="2BC86F2E"/>
    <w:rsid w:val="2BE268EA"/>
    <w:rsid w:val="2BE5344F"/>
    <w:rsid w:val="2BEA1DC2"/>
    <w:rsid w:val="2BF94880"/>
    <w:rsid w:val="2BFE51CC"/>
    <w:rsid w:val="2C041C52"/>
    <w:rsid w:val="2C0933C7"/>
    <w:rsid w:val="2C0C3648"/>
    <w:rsid w:val="2C116DCC"/>
    <w:rsid w:val="2C161986"/>
    <w:rsid w:val="2C2363AC"/>
    <w:rsid w:val="2C2E6CCF"/>
    <w:rsid w:val="2C315A5A"/>
    <w:rsid w:val="2C41624C"/>
    <w:rsid w:val="2C4B1C25"/>
    <w:rsid w:val="2C640943"/>
    <w:rsid w:val="2C694543"/>
    <w:rsid w:val="2C884632"/>
    <w:rsid w:val="2C90798A"/>
    <w:rsid w:val="2C9E436C"/>
    <w:rsid w:val="2CA32118"/>
    <w:rsid w:val="2CA62D0A"/>
    <w:rsid w:val="2CB5119F"/>
    <w:rsid w:val="2CBD1BF3"/>
    <w:rsid w:val="2CBF5314"/>
    <w:rsid w:val="2CCB17D4"/>
    <w:rsid w:val="2CD23AFF"/>
    <w:rsid w:val="2CD8045E"/>
    <w:rsid w:val="2CD84EAC"/>
    <w:rsid w:val="2CEE4E67"/>
    <w:rsid w:val="2D1D1C78"/>
    <w:rsid w:val="2D306A77"/>
    <w:rsid w:val="2D315F07"/>
    <w:rsid w:val="2D475737"/>
    <w:rsid w:val="2D4D1C04"/>
    <w:rsid w:val="2D6A0F01"/>
    <w:rsid w:val="2D6B4140"/>
    <w:rsid w:val="2D7A31DC"/>
    <w:rsid w:val="2D850B71"/>
    <w:rsid w:val="2D996931"/>
    <w:rsid w:val="2D9E56F5"/>
    <w:rsid w:val="2DA3549B"/>
    <w:rsid w:val="2DA610C3"/>
    <w:rsid w:val="2DB53A19"/>
    <w:rsid w:val="2DB9081B"/>
    <w:rsid w:val="2DC01BA9"/>
    <w:rsid w:val="2DCF6290"/>
    <w:rsid w:val="2DD17D17"/>
    <w:rsid w:val="2DE7182C"/>
    <w:rsid w:val="2DE735DA"/>
    <w:rsid w:val="2DEB6E74"/>
    <w:rsid w:val="2E165C6D"/>
    <w:rsid w:val="2E295ED6"/>
    <w:rsid w:val="2E336271"/>
    <w:rsid w:val="2E374561"/>
    <w:rsid w:val="2E383E35"/>
    <w:rsid w:val="2E38518E"/>
    <w:rsid w:val="2E3A195C"/>
    <w:rsid w:val="2E484859"/>
    <w:rsid w:val="2E514690"/>
    <w:rsid w:val="2E5477BD"/>
    <w:rsid w:val="2E652781"/>
    <w:rsid w:val="2E667F96"/>
    <w:rsid w:val="2E696C43"/>
    <w:rsid w:val="2E6F2C9C"/>
    <w:rsid w:val="2E7F6C5B"/>
    <w:rsid w:val="2E8226AB"/>
    <w:rsid w:val="2E8F5067"/>
    <w:rsid w:val="2E9324EA"/>
    <w:rsid w:val="2E933762"/>
    <w:rsid w:val="2EA438B2"/>
    <w:rsid w:val="2EA674C6"/>
    <w:rsid w:val="2ED42DC7"/>
    <w:rsid w:val="2ED51FFA"/>
    <w:rsid w:val="2EF0321E"/>
    <w:rsid w:val="2EFF2166"/>
    <w:rsid w:val="2F04518C"/>
    <w:rsid w:val="2F0807FF"/>
    <w:rsid w:val="2F0E23C9"/>
    <w:rsid w:val="2F1A21BB"/>
    <w:rsid w:val="2F1C4926"/>
    <w:rsid w:val="2F236894"/>
    <w:rsid w:val="2F26170E"/>
    <w:rsid w:val="2F39402E"/>
    <w:rsid w:val="2F3C1703"/>
    <w:rsid w:val="2F495922"/>
    <w:rsid w:val="2F497FCC"/>
    <w:rsid w:val="2F5D5E33"/>
    <w:rsid w:val="2F5E5B1E"/>
    <w:rsid w:val="2F63253E"/>
    <w:rsid w:val="2F770696"/>
    <w:rsid w:val="2F77273B"/>
    <w:rsid w:val="2F86421C"/>
    <w:rsid w:val="2F92053F"/>
    <w:rsid w:val="2F971030"/>
    <w:rsid w:val="2F994DA8"/>
    <w:rsid w:val="2F9C6646"/>
    <w:rsid w:val="2FA572A9"/>
    <w:rsid w:val="2FAD0383"/>
    <w:rsid w:val="2FB41BE1"/>
    <w:rsid w:val="2FC82F97"/>
    <w:rsid w:val="2FD065E6"/>
    <w:rsid w:val="2FD125D3"/>
    <w:rsid w:val="2FD12CA3"/>
    <w:rsid w:val="2FD96870"/>
    <w:rsid w:val="2FD96F6A"/>
    <w:rsid w:val="2FE37DD1"/>
    <w:rsid w:val="30007611"/>
    <w:rsid w:val="300F39C3"/>
    <w:rsid w:val="30132341"/>
    <w:rsid w:val="301D0DCE"/>
    <w:rsid w:val="30236E44"/>
    <w:rsid w:val="304039F3"/>
    <w:rsid w:val="30404B18"/>
    <w:rsid w:val="30466CDD"/>
    <w:rsid w:val="30580BC9"/>
    <w:rsid w:val="30590093"/>
    <w:rsid w:val="30600C1C"/>
    <w:rsid w:val="3064446E"/>
    <w:rsid w:val="3071362F"/>
    <w:rsid w:val="30765B9C"/>
    <w:rsid w:val="3085020A"/>
    <w:rsid w:val="308F16C5"/>
    <w:rsid w:val="30925924"/>
    <w:rsid w:val="30B3410D"/>
    <w:rsid w:val="30B50AD3"/>
    <w:rsid w:val="30B55C11"/>
    <w:rsid w:val="30B8542D"/>
    <w:rsid w:val="30BD63EB"/>
    <w:rsid w:val="30C7330C"/>
    <w:rsid w:val="30D065A7"/>
    <w:rsid w:val="30D342E9"/>
    <w:rsid w:val="30ED29E5"/>
    <w:rsid w:val="30EE433C"/>
    <w:rsid w:val="30F5600E"/>
    <w:rsid w:val="31091AB9"/>
    <w:rsid w:val="311E2ED7"/>
    <w:rsid w:val="312404CC"/>
    <w:rsid w:val="31393D3F"/>
    <w:rsid w:val="3140140A"/>
    <w:rsid w:val="3141744B"/>
    <w:rsid w:val="315619EE"/>
    <w:rsid w:val="315C449C"/>
    <w:rsid w:val="316C6351"/>
    <w:rsid w:val="3171463E"/>
    <w:rsid w:val="3186630B"/>
    <w:rsid w:val="318819B6"/>
    <w:rsid w:val="318B4A3C"/>
    <w:rsid w:val="31A4639F"/>
    <w:rsid w:val="31AA6E7B"/>
    <w:rsid w:val="31AD60D0"/>
    <w:rsid w:val="31B82709"/>
    <w:rsid w:val="31C87054"/>
    <w:rsid w:val="31D05482"/>
    <w:rsid w:val="31D2634F"/>
    <w:rsid w:val="31D73E68"/>
    <w:rsid w:val="31D976DD"/>
    <w:rsid w:val="32013BD9"/>
    <w:rsid w:val="320818EF"/>
    <w:rsid w:val="32096681"/>
    <w:rsid w:val="320F75E8"/>
    <w:rsid w:val="3212499D"/>
    <w:rsid w:val="32232ABF"/>
    <w:rsid w:val="32400B34"/>
    <w:rsid w:val="324A7700"/>
    <w:rsid w:val="325D7FBF"/>
    <w:rsid w:val="32607DFF"/>
    <w:rsid w:val="329A4AF6"/>
    <w:rsid w:val="329E6876"/>
    <w:rsid w:val="32AA2E28"/>
    <w:rsid w:val="32BB6DE3"/>
    <w:rsid w:val="32C936F6"/>
    <w:rsid w:val="32F6081D"/>
    <w:rsid w:val="32FB1847"/>
    <w:rsid w:val="3317222F"/>
    <w:rsid w:val="331A7FAD"/>
    <w:rsid w:val="331E707A"/>
    <w:rsid w:val="333015F2"/>
    <w:rsid w:val="334B22CF"/>
    <w:rsid w:val="334B6320"/>
    <w:rsid w:val="3353573A"/>
    <w:rsid w:val="335D76D5"/>
    <w:rsid w:val="33644116"/>
    <w:rsid w:val="336A17A1"/>
    <w:rsid w:val="336E25BF"/>
    <w:rsid w:val="33712F6E"/>
    <w:rsid w:val="33785759"/>
    <w:rsid w:val="337E22EA"/>
    <w:rsid w:val="338246FF"/>
    <w:rsid w:val="33833DA5"/>
    <w:rsid w:val="33883169"/>
    <w:rsid w:val="33960550"/>
    <w:rsid w:val="33A81080"/>
    <w:rsid w:val="33AE0AB8"/>
    <w:rsid w:val="33BB353F"/>
    <w:rsid w:val="33CB572B"/>
    <w:rsid w:val="33D5609F"/>
    <w:rsid w:val="33D934D4"/>
    <w:rsid w:val="33EE0078"/>
    <w:rsid w:val="33F24A86"/>
    <w:rsid w:val="33FE2F6A"/>
    <w:rsid w:val="34044CBF"/>
    <w:rsid w:val="34086058"/>
    <w:rsid w:val="34096B06"/>
    <w:rsid w:val="340E07E5"/>
    <w:rsid w:val="34157DD2"/>
    <w:rsid w:val="341964B7"/>
    <w:rsid w:val="34235BF7"/>
    <w:rsid w:val="342A74F9"/>
    <w:rsid w:val="342B0320"/>
    <w:rsid w:val="34373E4F"/>
    <w:rsid w:val="343914B9"/>
    <w:rsid w:val="343C6D63"/>
    <w:rsid w:val="34421E6D"/>
    <w:rsid w:val="344F3C87"/>
    <w:rsid w:val="34626139"/>
    <w:rsid w:val="34650CC0"/>
    <w:rsid w:val="346C6CEC"/>
    <w:rsid w:val="347329EC"/>
    <w:rsid w:val="34811B1C"/>
    <w:rsid w:val="34963B1F"/>
    <w:rsid w:val="34AE3172"/>
    <w:rsid w:val="34B8558F"/>
    <w:rsid w:val="34C71A6F"/>
    <w:rsid w:val="34D643A8"/>
    <w:rsid w:val="34DA1D12"/>
    <w:rsid w:val="34EC1334"/>
    <w:rsid w:val="34F16C0F"/>
    <w:rsid w:val="34F66DCB"/>
    <w:rsid w:val="35190941"/>
    <w:rsid w:val="3522139B"/>
    <w:rsid w:val="352250A2"/>
    <w:rsid w:val="352E5000"/>
    <w:rsid w:val="35323BCB"/>
    <w:rsid w:val="353F4856"/>
    <w:rsid w:val="354151AE"/>
    <w:rsid w:val="35496928"/>
    <w:rsid w:val="35534E43"/>
    <w:rsid w:val="355F0D2B"/>
    <w:rsid w:val="356C2617"/>
    <w:rsid w:val="357F059C"/>
    <w:rsid w:val="35863175"/>
    <w:rsid w:val="358C5FA8"/>
    <w:rsid w:val="358E7515"/>
    <w:rsid w:val="358F07D5"/>
    <w:rsid w:val="359E4543"/>
    <w:rsid w:val="35B00690"/>
    <w:rsid w:val="35BE3793"/>
    <w:rsid w:val="35BE4F18"/>
    <w:rsid w:val="35C15DF1"/>
    <w:rsid w:val="35DE1450"/>
    <w:rsid w:val="35E86141"/>
    <w:rsid w:val="35E87EEF"/>
    <w:rsid w:val="35ED19A9"/>
    <w:rsid w:val="35EF127D"/>
    <w:rsid w:val="35FF348B"/>
    <w:rsid w:val="36074A7F"/>
    <w:rsid w:val="36107446"/>
    <w:rsid w:val="36141A11"/>
    <w:rsid w:val="36270A9E"/>
    <w:rsid w:val="363470C6"/>
    <w:rsid w:val="363672F7"/>
    <w:rsid w:val="363D57DD"/>
    <w:rsid w:val="364C41FE"/>
    <w:rsid w:val="365365D2"/>
    <w:rsid w:val="3659640F"/>
    <w:rsid w:val="366426B3"/>
    <w:rsid w:val="36783969"/>
    <w:rsid w:val="36923549"/>
    <w:rsid w:val="36A92652"/>
    <w:rsid w:val="36AE3145"/>
    <w:rsid w:val="36B75FBF"/>
    <w:rsid w:val="36BD0C45"/>
    <w:rsid w:val="36C86CB1"/>
    <w:rsid w:val="36F6488E"/>
    <w:rsid w:val="370004CF"/>
    <w:rsid w:val="3709498F"/>
    <w:rsid w:val="371817F3"/>
    <w:rsid w:val="372C4753"/>
    <w:rsid w:val="373807C3"/>
    <w:rsid w:val="37381C4F"/>
    <w:rsid w:val="373E2366"/>
    <w:rsid w:val="37553354"/>
    <w:rsid w:val="375A306E"/>
    <w:rsid w:val="375B0970"/>
    <w:rsid w:val="377C1237"/>
    <w:rsid w:val="37863E63"/>
    <w:rsid w:val="37A16438"/>
    <w:rsid w:val="37A574B7"/>
    <w:rsid w:val="37C52BDE"/>
    <w:rsid w:val="37C96175"/>
    <w:rsid w:val="37D1111F"/>
    <w:rsid w:val="37D14DE3"/>
    <w:rsid w:val="37DF5322"/>
    <w:rsid w:val="37E00298"/>
    <w:rsid w:val="37E12CAF"/>
    <w:rsid w:val="37F21A6A"/>
    <w:rsid w:val="3827289C"/>
    <w:rsid w:val="38305DD2"/>
    <w:rsid w:val="3838582C"/>
    <w:rsid w:val="383C77C2"/>
    <w:rsid w:val="38400558"/>
    <w:rsid w:val="38405E56"/>
    <w:rsid w:val="38415FDC"/>
    <w:rsid w:val="384B0C09"/>
    <w:rsid w:val="384B439F"/>
    <w:rsid w:val="384C6E5B"/>
    <w:rsid w:val="38570383"/>
    <w:rsid w:val="385973C2"/>
    <w:rsid w:val="387243E8"/>
    <w:rsid w:val="387D0FFD"/>
    <w:rsid w:val="3881462B"/>
    <w:rsid w:val="3885411B"/>
    <w:rsid w:val="389B03B7"/>
    <w:rsid w:val="38A60508"/>
    <w:rsid w:val="38A9793B"/>
    <w:rsid w:val="38B302F9"/>
    <w:rsid w:val="38DB7D4A"/>
    <w:rsid w:val="38EA7DEB"/>
    <w:rsid w:val="38F12CD3"/>
    <w:rsid w:val="38F350C5"/>
    <w:rsid w:val="38F75011"/>
    <w:rsid w:val="38F94775"/>
    <w:rsid w:val="38FE7A29"/>
    <w:rsid w:val="39065A6E"/>
    <w:rsid w:val="39082905"/>
    <w:rsid w:val="39141C5A"/>
    <w:rsid w:val="391453EC"/>
    <w:rsid w:val="39264331"/>
    <w:rsid w:val="392971ED"/>
    <w:rsid w:val="39325651"/>
    <w:rsid w:val="39363667"/>
    <w:rsid w:val="393F1772"/>
    <w:rsid w:val="39493F75"/>
    <w:rsid w:val="394D05D7"/>
    <w:rsid w:val="395F2FC5"/>
    <w:rsid w:val="396E4BAF"/>
    <w:rsid w:val="396E4BCC"/>
    <w:rsid w:val="397A79F8"/>
    <w:rsid w:val="39861720"/>
    <w:rsid w:val="398F75A4"/>
    <w:rsid w:val="39902D77"/>
    <w:rsid w:val="3997579F"/>
    <w:rsid w:val="39A5302D"/>
    <w:rsid w:val="39A878A6"/>
    <w:rsid w:val="39AC56D7"/>
    <w:rsid w:val="39AD5A63"/>
    <w:rsid w:val="39B61044"/>
    <w:rsid w:val="39C57793"/>
    <w:rsid w:val="39CB2002"/>
    <w:rsid w:val="39CD5D7A"/>
    <w:rsid w:val="39E02DCA"/>
    <w:rsid w:val="39F3167F"/>
    <w:rsid w:val="39F36971"/>
    <w:rsid w:val="39FC6DC8"/>
    <w:rsid w:val="39FF1CFC"/>
    <w:rsid w:val="3A064DE8"/>
    <w:rsid w:val="3A0948D8"/>
    <w:rsid w:val="3A26548A"/>
    <w:rsid w:val="3A3052A6"/>
    <w:rsid w:val="3A463360"/>
    <w:rsid w:val="3A4F2C33"/>
    <w:rsid w:val="3A60438D"/>
    <w:rsid w:val="3A695377"/>
    <w:rsid w:val="3A7A37CB"/>
    <w:rsid w:val="3A835535"/>
    <w:rsid w:val="3A872856"/>
    <w:rsid w:val="3A8974F0"/>
    <w:rsid w:val="3A8A3C6B"/>
    <w:rsid w:val="3AA118AF"/>
    <w:rsid w:val="3ACC5E60"/>
    <w:rsid w:val="3AD15AFF"/>
    <w:rsid w:val="3AD83717"/>
    <w:rsid w:val="3AF05559"/>
    <w:rsid w:val="3AF360F8"/>
    <w:rsid w:val="3AF74F05"/>
    <w:rsid w:val="3AF86E26"/>
    <w:rsid w:val="3AFF2E7F"/>
    <w:rsid w:val="3B0179D2"/>
    <w:rsid w:val="3B070899"/>
    <w:rsid w:val="3B157185"/>
    <w:rsid w:val="3B1F21A1"/>
    <w:rsid w:val="3B2A577E"/>
    <w:rsid w:val="3B3763D1"/>
    <w:rsid w:val="3B3F7E98"/>
    <w:rsid w:val="3B44206B"/>
    <w:rsid w:val="3B5305AA"/>
    <w:rsid w:val="3B56056B"/>
    <w:rsid w:val="3B643B7B"/>
    <w:rsid w:val="3BAB171A"/>
    <w:rsid w:val="3BB13091"/>
    <w:rsid w:val="3BC14564"/>
    <w:rsid w:val="3BC66F24"/>
    <w:rsid w:val="3BC96A15"/>
    <w:rsid w:val="3BCB241A"/>
    <w:rsid w:val="3BDC60D8"/>
    <w:rsid w:val="3BE82932"/>
    <w:rsid w:val="3BF456FE"/>
    <w:rsid w:val="3C0363DD"/>
    <w:rsid w:val="3C2D1FEA"/>
    <w:rsid w:val="3C2F6E1E"/>
    <w:rsid w:val="3C3A346E"/>
    <w:rsid w:val="3C3F229B"/>
    <w:rsid w:val="3C4F64BA"/>
    <w:rsid w:val="3C521565"/>
    <w:rsid w:val="3C590877"/>
    <w:rsid w:val="3C5F2ED5"/>
    <w:rsid w:val="3C605258"/>
    <w:rsid w:val="3C670724"/>
    <w:rsid w:val="3C720E5A"/>
    <w:rsid w:val="3C816D58"/>
    <w:rsid w:val="3C896818"/>
    <w:rsid w:val="3C8D267B"/>
    <w:rsid w:val="3C8F37BA"/>
    <w:rsid w:val="3C940DD1"/>
    <w:rsid w:val="3C9568F7"/>
    <w:rsid w:val="3C97441D"/>
    <w:rsid w:val="3CA54625"/>
    <w:rsid w:val="3CA5533F"/>
    <w:rsid w:val="3CAF1767"/>
    <w:rsid w:val="3CB87AEC"/>
    <w:rsid w:val="3CBB45AF"/>
    <w:rsid w:val="3CC761E6"/>
    <w:rsid w:val="3CD41170"/>
    <w:rsid w:val="3CDA245A"/>
    <w:rsid w:val="3CDB0FF1"/>
    <w:rsid w:val="3CDF4180"/>
    <w:rsid w:val="3CDF7907"/>
    <w:rsid w:val="3CE15236"/>
    <w:rsid w:val="3CF96EA3"/>
    <w:rsid w:val="3CFA4FEE"/>
    <w:rsid w:val="3D17076A"/>
    <w:rsid w:val="3D1E06B7"/>
    <w:rsid w:val="3D2C3791"/>
    <w:rsid w:val="3D2D528F"/>
    <w:rsid w:val="3D38212D"/>
    <w:rsid w:val="3D3D6D72"/>
    <w:rsid w:val="3D455619"/>
    <w:rsid w:val="3D491BBB"/>
    <w:rsid w:val="3D4F49A8"/>
    <w:rsid w:val="3D580050"/>
    <w:rsid w:val="3D654C29"/>
    <w:rsid w:val="3D7401B6"/>
    <w:rsid w:val="3D7948A9"/>
    <w:rsid w:val="3D8630F5"/>
    <w:rsid w:val="3D9A4EC2"/>
    <w:rsid w:val="3DA70D1F"/>
    <w:rsid w:val="3DA9265A"/>
    <w:rsid w:val="3DAE0B51"/>
    <w:rsid w:val="3DAE1A1E"/>
    <w:rsid w:val="3DBB3F2F"/>
    <w:rsid w:val="3DBB4AF6"/>
    <w:rsid w:val="3DC13A5A"/>
    <w:rsid w:val="3DC47494"/>
    <w:rsid w:val="3DD27E02"/>
    <w:rsid w:val="3DEA67CE"/>
    <w:rsid w:val="3DF30B14"/>
    <w:rsid w:val="3DFA4C63"/>
    <w:rsid w:val="3E081ACF"/>
    <w:rsid w:val="3E0D17E1"/>
    <w:rsid w:val="3E102FD6"/>
    <w:rsid w:val="3E2178C5"/>
    <w:rsid w:val="3E2816DB"/>
    <w:rsid w:val="3E2D4E4F"/>
    <w:rsid w:val="3E4E4FAF"/>
    <w:rsid w:val="3E597D6C"/>
    <w:rsid w:val="3E635673"/>
    <w:rsid w:val="3E6D1887"/>
    <w:rsid w:val="3E6D7B2B"/>
    <w:rsid w:val="3E846C23"/>
    <w:rsid w:val="3E854E75"/>
    <w:rsid w:val="3E8E35FE"/>
    <w:rsid w:val="3E9F1D36"/>
    <w:rsid w:val="3EA51F6C"/>
    <w:rsid w:val="3EB30313"/>
    <w:rsid w:val="3ECB14CD"/>
    <w:rsid w:val="3ED2537C"/>
    <w:rsid w:val="3EDA0523"/>
    <w:rsid w:val="3EEE5547"/>
    <w:rsid w:val="3EFF5C64"/>
    <w:rsid w:val="3F0555BA"/>
    <w:rsid w:val="3F0C10F2"/>
    <w:rsid w:val="3F1B695B"/>
    <w:rsid w:val="3F23643C"/>
    <w:rsid w:val="3F261E14"/>
    <w:rsid w:val="3F3E5024"/>
    <w:rsid w:val="3F450160"/>
    <w:rsid w:val="3F4563B2"/>
    <w:rsid w:val="3F4C46B6"/>
    <w:rsid w:val="3F5012FD"/>
    <w:rsid w:val="3F56236D"/>
    <w:rsid w:val="3F595EAF"/>
    <w:rsid w:val="3F7B1964"/>
    <w:rsid w:val="3F7E533C"/>
    <w:rsid w:val="3F874C1D"/>
    <w:rsid w:val="3F9C60C9"/>
    <w:rsid w:val="3FA53CD7"/>
    <w:rsid w:val="3FC30DB5"/>
    <w:rsid w:val="3FCA05DF"/>
    <w:rsid w:val="3FCF1F76"/>
    <w:rsid w:val="3FD3790F"/>
    <w:rsid w:val="3FDF038F"/>
    <w:rsid w:val="3FE600F6"/>
    <w:rsid w:val="3FE94F8F"/>
    <w:rsid w:val="3FF310F6"/>
    <w:rsid w:val="4000052B"/>
    <w:rsid w:val="4001677D"/>
    <w:rsid w:val="400E0FBE"/>
    <w:rsid w:val="401A15ED"/>
    <w:rsid w:val="40262573"/>
    <w:rsid w:val="40324B88"/>
    <w:rsid w:val="403A3A3D"/>
    <w:rsid w:val="4045612B"/>
    <w:rsid w:val="404C2F10"/>
    <w:rsid w:val="405F5AC6"/>
    <w:rsid w:val="4061546E"/>
    <w:rsid w:val="40650F99"/>
    <w:rsid w:val="406C5DFE"/>
    <w:rsid w:val="407707ED"/>
    <w:rsid w:val="407A6407"/>
    <w:rsid w:val="408064E7"/>
    <w:rsid w:val="40854D9E"/>
    <w:rsid w:val="40A24A84"/>
    <w:rsid w:val="40A92459"/>
    <w:rsid w:val="40AC500F"/>
    <w:rsid w:val="40B37F29"/>
    <w:rsid w:val="40D57A72"/>
    <w:rsid w:val="40E3488B"/>
    <w:rsid w:val="40EA5DF8"/>
    <w:rsid w:val="40F17E6A"/>
    <w:rsid w:val="40F37A97"/>
    <w:rsid w:val="40FD7CCB"/>
    <w:rsid w:val="4111484F"/>
    <w:rsid w:val="41163B0C"/>
    <w:rsid w:val="413A1C47"/>
    <w:rsid w:val="413D33EF"/>
    <w:rsid w:val="414167FA"/>
    <w:rsid w:val="414761D7"/>
    <w:rsid w:val="415B7FE2"/>
    <w:rsid w:val="41652D3C"/>
    <w:rsid w:val="41684B4C"/>
    <w:rsid w:val="416D1BF0"/>
    <w:rsid w:val="417026B1"/>
    <w:rsid w:val="419872F2"/>
    <w:rsid w:val="419B050B"/>
    <w:rsid w:val="41A6167E"/>
    <w:rsid w:val="41B42661"/>
    <w:rsid w:val="41B63597"/>
    <w:rsid w:val="41CB6971"/>
    <w:rsid w:val="41CE08E1"/>
    <w:rsid w:val="41D34149"/>
    <w:rsid w:val="41E33C60"/>
    <w:rsid w:val="41E439DD"/>
    <w:rsid w:val="41ED7849"/>
    <w:rsid w:val="4200449D"/>
    <w:rsid w:val="42084A18"/>
    <w:rsid w:val="421608E1"/>
    <w:rsid w:val="42315C43"/>
    <w:rsid w:val="423A3BCC"/>
    <w:rsid w:val="424256ED"/>
    <w:rsid w:val="424741EF"/>
    <w:rsid w:val="424E57D2"/>
    <w:rsid w:val="425E1366"/>
    <w:rsid w:val="42625CA5"/>
    <w:rsid w:val="42670BCD"/>
    <w:rsid w:val="426D00FA"/>
    <w:rsid w:val="426E79CE"/>
    <w:rsid w:val="426F250B"/>
    <w:rsid w:val="42707BEA"/>
    <w:rsid w:val="428B67D2"/>
    <w:rsid w:val="428F65AC"/>
    <w:rsid w:val="42972B2A"/>
    <w:rsid w:val="42984CE9"/>
    <w:rsid w:val="429A5B9D"/>
    <w:rsid w:val="42A51A1D"/>
    <w:rsid w:val="42B00182"/>
    <w:rsid w:val="42B26C49"/>
    <w:rsid w:val="42B64D5E"/>
    <w:rsid w:val="42BA2373"/>
    <w:rsid w:val="42C00C75"/>
    <w:rsid w:val="42DA5063"/>
    <w:rsid w:val="42E467E9"/>
    <w:rsid w:val="42E65ACD"/>
    <w:rsid w:val="42E82D7C"/>
    <w:rsid w:val="42F27732"/>
    <w:rsid w:val="430D6E9D"/>
    <w:rsid w:val="4334127F"/>
    <w:rsid w:val="43346990"/>
    <w:rsid w:val="43351C04"/>
    <w:rsid w:val="433A023E"/>
    <w:rsid w:val="433A6FE6"/>
    <w:rsid w:val="433B30D9"/>
    <w:rsid w:val="4347317B"/>
    <w:rsid w:val="43480868"/>
    <w:rsid w:val="4350713C"/>
    <w:rsid w:val="4364226F"/>
    <w:rsid w:val="436653E0"/>
    <w:rsid w:val="43707776"/>
    <w:rsid w:val="43712BC2"/>
    <w:rsid w:val="4392064E"/>
    <w:rsid w:val="43A318F9"/>
    <w:rsid w:val="43A82868"/>
    <w:rsid w:val="43AD4526"/>
    <w:rsid w:val="43B92096"/>
    <w:rsid w:val="43BB30E7"/>
    <w:rsid w:val="43C2234C"/>
    <w:rsid w:val="43C4431A"/>
    <w:rsid w:val="43C77936"/>
    <w:rsid w:val="43D271FE"/>
    <w:rsid w:val="43DF1FBF"/>
    <w:rsid w:val="43FE2A04"/>
    <w:rsid w:val="440C56F0"/>
    <w:rsid w:val="440F4CC3"/>
    <w:rsid w:val="44130575"/>
    <w:rsid w:val="442B13ED"/>
    <w:rsid w:val="44307631"/>
    <w:rsid w:val="44342D5C"/>
    <w:rsid w:val="443469F5"/>
    <w:rsid w:val="44381614"/>
    <w:rsid w:val="445157F9"/>
    <w:rsid w:val="4473751E"/>
    <w:rsid w:val="447500DA"/>
    <w:rsid w:val="44856D19"/>
    <w:rsid w:val="44873A14"/>
    <w:rsid w:val="44894F93"/>
    <w:rsid w:val="448A2A02"/>
    <w:rsid w:val="448A3389"/>
    <w:rsid w:val="44990B92"/>
    <w:rsid w:val="449F04B3"/>
    <w:rsid w:val="44A27E03"/>
    <w:rsid w:val="44AE49FA"/>
    <w:rsid w:val="44B951CC"/>
    <w:rsid w:val="44BB4D8A"/>
    <w:rsid w:val="44C71125"/>
    <w:rsid w:val="44CD14E0"/>
    <w:rsid w:val="44CD1564"/>
    <w:rsid w:val="44E411C8"/>
    <w:rsid w:val="44EB23FD"/>
    <w:rsid w:val="44F06DC0"/>
    <w:rsid w:val="44F20B0B"/>
    <w:rsid w:val="451A13C2"/>
    <w:rsid w:val="45206D24"/>
    <w:rsid w:val="45226446"/>
    <w:rsid w:val="45277E53"/>
    <w:rsid w:val="452E5F4C"/>
    <w:rsid w:val="453018B3"/>
    <w:rsid w:val="45402CDF"/>
    <w:rsid w:val="45511E73"/>
    <w:rsid w:val="455C26A8"/>
    <w:rsid w:val="45612018"/>
    <w:rsid w:val="4562168F"/>
    <w:rsid w:val="45701CAF"/>
    <w:rsid w:val="4585575A"/>
    <w:rsid w:val="458946E9"/>
    <w:rsid w:val="45A47C0E"/>
    <w:rsid w:val="45AA5AE9"/>
    <w:rsid w:val="45AB08F9"/>
    <w:rsid w:val="45B05AD2"/>
    <w:rsid w:val="45C36283"/>
    <w:rsid w:val="45C679C6"/>
    <w:rsid w:val="45CD0EAF"/>
    <w:rsid w:val="45D4223E"/>
    <w:rsid w:val="45D542AE"/>
    <w:rsid w:val="45EF7078"/>
    <w:rsid w:val="45F30822"/>
    <w:rsid w:val="462E5DF2"/>
    <w:rsid w:val="46311311"/>
    <w:rsid w:val="46340349"/>
    <w:rsid w:val="463902F3"/>
    <w:rsid w:val="4646138E"/>
    <w:rsid w:val="465142B3"/>
    <w:rsid w:val="4654337F"/>
    <w:rsid w:val="46577FD6"/>
    <w:rsid w:val="46641814"/>
    <w:rsid w:val="466471C4"/>
    <w:rsid w:val="46683A1F"/>
    <w:rsid w:val="46731183"/>
    <w:rsid w:val="467B6B5D"/>
    <w:rsid w:val="46801369"/>
    <w:rsid w:val="469B2209"/>
    <w:rsid w:val="46A92159"/>
    <w:rsid w:val="46AF345F"/>
    <w:rsid w:val="46B5664E"/>
    <w:rsid w:val="46C55E6C"/>
    <w:rsid w:val="46D52711"/>
    <w:rsid w:val="46D955A7"/>
    <w:rsid w:val="46E14145"/>
    <w:rsid w:val="46E83F1F"/>
    <w:rsid w:val="47065AB1"/>
    <w:rsid w:val="47133957"/>
    <w:rsid w:val="47191F19"/>
    <w:rsid w:val="47200AC2"/>
    <w:rsid w:val="47216B52"/>
    <w:rsid w:val="47217562"/>
    <w:rsid w:val="47262F6D"/>
    <w:rsid w:val="47272C53"/>
    <w:rsid w:val="473810D3"/>
    <w:rsid w:val="47590C4D"/>
    <w:rsid w:val="4760778D"/>
    <w:rsid w:val="477A40F1"/>
    <w:rsid w:val="477F4265"/>
    <w:rsid w:val="47804CDD"/>
    <w:rsid w:val="47992B38"/>
    <w:rsid w:val="47A0444C"/>
    <w:rsid w:val="47A07E0C"/>
    <w:rsid w:val="47B10A89"/>
    <w:rsid w:val="47B40579"/>
    <w:rsid w:val="47BA4E29"/>
    <w:rsid w:val="47C36A0E"/>
    <w:rsid w:val="47C40234"/>
    <w:rsid w:val="47C84024"/>
    <w:rsid w:val="47CA1B4A"/>
    <w:rsid w:val="47F92430"/>
    <w:rsid w:val="47FA5C10"/>
    <w:rsid w:val="48032022"/>
    <w:rsid w:val="482C1D0F"/>
    <w:rsid w:val="482E2E26"/>
    <w:rsid w:val="4832401E"/>
    <w:rsid w:val="4851401A"/>
    <w:rsid w:val="485B34DD"/>
    <w:rsid w:val="4870272E"/>
    <w:rsid w:val="48710218"/>
    <w:rsid w:val="48741542"/>
    <w:rsid w:val="488467C4"/>
    <w:rsid w:val="488A1EB1"/>
    <w:rsid w:val="4890006E"/>
    <w:rsid w:val="48905A69"/>
    <w:rsid w:val="489A776F"/>
    <w:rsid w:val="48C12F4D"/>
    <w:rsid w:val="48C1630B"/>
    <w:rsid w:val="48C4659A"/>
    <w:rsid w:val="48E22EC4"/>
    <w:rsid w:val="48EB7FCA"/>
    <w:rsid w:val="48F13107"/>
    <w:rsid w:val="48FF32BD"/>
    <w:rsid w:val="490D4067"/>
    <w:rsid w:val="49184B37"/>
    <w:rsid w:val="49185F90"/>
    <w:rsid w:val="492D5297"/>
    <w:rsid w:val="493010A1"/>
    <w:rsid w:val="493C0826"/>
    <w:rsid w:val="493D565B"/>
    <w:rsid w:val="494925B4"/>
    <w:rsid w:val="49532F75"/>
    <w:rsid w:val="495A13B0"/>
    <w:rsid w:val="495C03CA"/>
    <w:rsid w:val="496273D5"/>
    <w:rsid w:val="49632443"/>
    <w:rsid w:val="496F6810"/>
    <w:rsid w:val="49714E06"/>
    <w:rsid w:val="49765187"/>
    <w:rsid w:val="497B39E0"/>
    <w:rsid w:val="49865F45"/>
    <w:rsid w:val="49C43FAC"/>
    <w:rsid w:val="49CE7A98"/>
    <w:rsid w:val="49D32EBF"/>
    <w:rsid w:val="49D4280C"/>
    <w:rsid w:val="49DC7715"/>
    <w:rsid w:val="49DF387A"/>
    <w:rsid w:val="49E55B38"/>
    <w:rsid w:val="49F420DB"/>
    <w:rsid w:val="49FE1F7F"/>
    <w:rsid w:val="49FF4833"/>
    <w:rsid w:val="4A023139"/>
    <w:rsid w:val="4A050C38"/>
    <w:rsid w:val="4A084EF3"/>
    <w:rsid w:val="4A0C57B9"/>
    <w:rsid w:val="4A241BD8"/>
    <w:rsid w:val="4A2808DB"/>
    <w:rsid w:val="4A2D1442"/>
    <w:rsid w:val="4A2D7323"/>
    <w:rsid w:val="4A49554D"/>
    <w:rsid w:val="4A4A2ACF"/>
    <w:rsid w:val="4A5120AF"/>
    <w:rsid w:val="4A541B9F"/>
    <w:rsid w:val="4A6F1239"/>
    <w:rsid w:val="4A7B576F"/>
    <w:rsid w:val="4A7C249A"/>
    <w:rsid w:val="4A7D4C52"/>
    <w:rsid w:val="4A856F74"/>
    <w:rsid w:val="4A8D1910"/>
    <w:rsid w:val="4A912A40"/>
    <w:rsid w:val="4A981291"/>
    <w:rsid w:val="4ABF170F"/>
    <w:rsid w:val="4AC2628E"/>
    <w:rsid w:val="4AD02C3A"/>
    <w:rsid w:val="4AD65C25"/>
    <w:rsid w:val="4ADA20A4"/>
    <w:rsid w:val="4ADD2445"/>
    <w:rsid w:val="4AEF0909"/>
    <w:rsid w:val="4AF51E6C"/>
    <w:rsid w:val="4AF561A9"/>
    <w:rsid w:val="4AFA75F1"/>
    <w:rsid w:val="4B0242C0"/>
    <w:rsid w:val="4B0A5FD8"/>
    <w:rsid w:val="4B1912FD"/>
    <w:rsid w:val="4B1E0C00"/>
    <w:rsid w:val="4B226F7C"/>
    <w:rsid w:val="4B3A0D95"/>
    <w:rsid w:val="4B3E18C8"/>
    <w:rsid w:val="4B452DD9"/>
    <w:rsid w:val="4B5F07FC"/>
    <w:rsid w:val="4B6B71A0"/>
    <w:rsid w:val="4B756271"/>
    <w:rsid w:val="4B805800"/>
    <w:rsid w:val="4B906C07"/>
    <w:rsid w:val="4B987E25"/>
    <w:rsid w:val="4BAB65B8"/>
    <w:rsid w:val="4BB85A1C"/>
    <w:rsid w:val="4BC3710E"/>
    <w:rsid w:val="4BD94BFA"/>
    <w:rsid w:val="4BDA0212"/>
    <w:rsid w:val="4BF077C8"/>
    <w:rsid w:val="4BF94D80"/>
    <w:rsid w:val="4C0A69B9"/>
    <w:rsid w:val="4C0D528D"/>
    <w:rsid w:val="4C1B3B7D"/>
    <w:rsid w:val="4C261319"/>
    <w:rsid w:val="4C304C0E"/>
    <w:rsid w:val="4C495610"/>
    <w:rsid w:val="4C4A0649"/>
    <w:rsid w:val="4C5B5E30"/>
    <w:rsid w:val="4C6848B9"/>
    <w:rsid w:val="4C6F171E"/>
    <w:rsid w:val="4C787DC7"/>
    <w:rsid w:val="4C7E5ECA"/>
    <w:rsid w:val="4C876AA5"/>
    <w:rsid w:val="4C8C5620"/>
    <w:rsid w:val="4C9E27D6"/>
    <w:rsid w:val="4CAB6EAF"/>
    <w:rsid w:val="4CB87C80"/>
    <w:rsid w:val="4CB93A3F"/>
    <w:rsid w:val="4CB97FC1"/>
    <w:rsid w:val="4CD00063"/>
    <w:rsid w:val="4CD45919"/>
    <w:rsid w:val="4CD62AD4"/>
    <w:rsid w:val="4CE23492"/>
    <w:rsid w:val="4CE30FB8"/>
    <w:rsid w:val="4CEC2563"/>
    <w:rsid w:val="4CF338F1"/>
    <w:rsid w:val="4CF82CB6"/>
    <w:rsid w:val="4D0E00FB"/>
    <w:rsid w:val="4D0F6568"/>
    <w:rsid w:val="4D126900"/>
    <w:rsid w:val="4D176606"/>
    <w:rsid w:val="4D187CAD"/>
    <w:rsid w:val="4D1D44CA"/>
    <w:rsid w:val="4D6824FC"/>
    <w:rsid w:val="4D73058E"/>
    <w:rsid w:val="4D741C4E"/>
    <w:rsid w:val="4D78702A"/>
    <w:rsid w:val="4D933880"/>
    <w:rsid w:val="4D956757"/>
    <w:rsid w:val="4D9D5DD4"/>
    <w:rsid w:val="4DA77B17"/>
    <w:rsid w:val="4DAB7D28"/>
    <w:rsid w:val="4DAD116D"/>
    <w:rsid w:val="4DB7491F"/>
    <w:rsid w:val="4DBA5EDE"/>
    <w:rsid w:val="4DDE1EAC"/>
    <w:rsid w:val="4DEC4FB0"/>
    <w:rsid w:val="4DED17B3"/>
    <w:rsid w:val="4DED6DB2"/>
    <w:rsid w:val="4DF96CE5"/>
    <w:rsid w:val="4E075D8A"/>
    <w:rsid w:val="4E121B55"/>
    <w:rsid w:val="4E1F24C4"/>
    <w:rsid w:val="4E2A50F1"/>
    <w:rsid w:val="4E4E3288"/>
    <w:rsid w:val="4E631CA0"/>
    <w:rsid w:val="4E6D12FA"/>
    <w:rsid w:val="4E755111"/>
    <w:rsid w:val="4E9F5B72"/>
    <w:rsid w:val="4EAA4484"/>
    <w:rsid w:val="4EBA5F94"/>
    <w:rsid w:val="4EBD034C"/>
    <w:rsid w:val="4EC00FAD"/>
    <w:rsid w:val="4EC36941"/>
    <w:rsid w:val="4ECA2430"/>
    <w:rsid w:val="4ED70420"/>
    <w:rsid w:val="4EFC5D72"/>
    <w:rsid w:val="4F083536"/>
    <w:rsid w:val="4F0A063C"/>
    <w:rsid w:val="4F10078B"/>
    <w:rsid w:val="4F1D006A"/>
    <w:rsid w:val="4F351F9F"/>
    <w:rsid w:val="4F3F3843"/>
    <w:rsid w:val="4F534983"/>
    <w:rsid w:val="4F5839F6"/>
    <w:rsid w:val="4F5F0DCA"/>
    <w:rsid w:val="4F6B5D02"/>
    <w:rsid w:val="4F7F2D57"/>
    <w:rsid w:val="4F8C3B89"/>
    <w:rsid w:val="4F9843DC"/>
    <w:rsid w:val="4F987605"/>
    <w:rsid w:val="4F9E0853"/>
    <w:rsid w:val="4F9F566B"/>
    <w:rsid w:val="4FA36480"/>
    <w:rsid w:val="4FA90F5F"/>
    <w:rsid w:val="4FC62A8C"/>
    <w:rsid w:val="4FCA0E8E"/>
    <w:rsid w:val="4FD14760"/>
    <w:rsid w:val="4FD709B8"/>
    <w:rsid w:val="4FE20F0D"/>
    <w:rsid w:val="4FE43A21"/>
    <w:rsid w:val="4FE51552"/>
    <w:rsid w:val="4FE92D8A"/>
    <w:rsid w:val="4FF544B1"/>
    <w:rsid w:val="4FF736F9"/>
    <w:rsid w:val="4FFA6D45"/>
    <w:rsid w:val="4FFF435B"/>
    <w:rsid w:val="50003F76"/>
    <w:rsid w:val="501C5BF9"/>
    <w:rsid w:val="50243DC2"/>
    <w:rsid w:val="50357E4D"/>
    <w:rsid w:val="503F29AA"/>
    <w:rsid w:val="504B75A0"/>
    <w:rsid w:val="504D0949"/>
    <w:rsid w:val="504D6B78"/>
    <w:rsid w:val="50504C4B"/>
    <w:rsid w:val="50575B25"/>
    <w:rsid w:val="505E5526"/>
    <w:rsid w:val="50643AF0"/>
    <w:rsid w:val="50710417"/>
    <w:rsid w:val="50756584"/>
    <w:rsid w:val="50854860"/>
    <w:rsid w:val="50954BD0"/>
    <w:rsid w:val="509C6E7C"/>
    <w:rsid w:val="50AC44B8"/>
    <w:rsid w:val="50B040E7"/>
    <w:rsid w:val="50BB294A"/>
    <w:rsid w:val="50DF1B5A"/>
    <w:rsid w:val="50F415E0"/>
    <w:rsid w:val="50F54BB0"/>
    <w:rsid w:val="51042CAA"/>
    <w:rsid w:val="51053BF3"/>
    <w:rsid w:val="511D0F3D"/>
    <w:rsid w:val="5126114A"/>
    <w:rsid w:val="514232C3"/>
    <w:rsid w:val="51491514"/>
    <w:rsid w:val="514E4E9E"/>
    <w:rsid w:val="5162104E"/>
    <w:rsid w:val="5184720E"/>
    <w:rsid w:val="51962A9D"/>
    <w:rsid w:val="51AB76BF"/>
    <w:rsid w:val="51CD780F"/>
    <w:rsid w:val="51DB0C8A"/>
    <w:rsid w:val="51DF4DAF"/>
    <w:rsid w:val="51E44740"/>
    <w:rsid w:val="51EF718A"/>
    <w:rsid w:val="51F7178E"/>
    <w:rsid w:val="52196814"/>
    <w:rsid w:val="521A5A2A"/>
    <w:rsid w:val="521C62D4"/>
    <w:rsid w:val="521E5EA0"/>
    <w:rsid w:val="5236391B"/>
    <w:rsid w:val="52383B54"/>
    <w:rsid w:val="523A78CD"/>
    <w:rsid w:val="52493686"/>
    <w:rsid w:val="52555187"/>
    <w:rsid w:val="5259742B"/>
    <w:rsid w:val="527A5F1B"/>
    <w:rsid w:val="52887419"/>
    <w:rsid w:val="529214B7"/>
    <w:rsid w:val="529F485A"/>
    <w:rsid w:val="52B1230D"/>
    <w:rsid w:val="52E71802"/>
    <w:rsid w:val="52E85DA3"/>
    <w:rsid w:val="52F23468"/>
    <w:rsid w:val="52F34BD7"/>
    <w:rsid w:val="52F677DA"/>
    <w:rsid w:val="52F67834"/>
    <w:rsid w:val="52F91536"/>
    <w:rsid w:val="531E1F9E"/>
    <w:rsid w:val="532125B6"/>
    <w:rsid w:val="53353B54"/>
    <w:rsid w:val="5339476F"/>
    <w:rsid w:val="533B2615"/>
    <w:rsid w:val="53410CAF"/>
    <w:rsid w:val="53536E98"/>
    <w:rsid w:val="53610414"/>
    <w:rsid w:val="53A039CC"/>
    <w:rsid w:val="53A1505A"/>
    <w:rsid w:val="53A40961"/>
    <w:rsid w:val="53A84F81"/>
    <w:rsid w:val="53B667B1"/>
    <w:rsid w:val="53E314DB"/>
    <w:rsid w:val="53E40A0B"/>
    <w:rsid w:val="53E75832"/>
    <w:rsid w:val="53EA5BED"/>
    <w:rsid w:val="53FB15E8"/>
    <w:rsid w:val="5406399B"/>
    <w:rsid w:val="54063E08"/>
    <w:rsid w:val="540C3ED1"/>
    <w:rsid w:val="54106B37"/>
    <w:rsid w:val="541E1DEA"/>
    <w:rsid w:val="5429247E"/>
    <w:rsid w:val="542A2F84"/>
    <w:rsid w:val="54330A77"/>
    <w:rsid w:val="543437E8"/>
    <w:rsid w:val="544467E1"/>
    <w:rsid w:val="545273E8"/>
    <w:rsid w:val="54554E92"/>
    <w:rsid w:val="5492631E"/>
    <w:rsid w:val="549F7EBB"/>
    <w:rsid w:val="54A65F9F"/>
    <w:rsid w:val="54B814E6"/>
    <w:rsid w:val="54BF40B9"/>
    <w:rsid w:val="54C231E0"/>
    <w:rsid w:val="54C973AE"/>
    <w:rsid w:val="54D062C6"/>
    <w:rsid w:val="54D266A7"/>
    <w:rsid w:val="54D82708"/>
    <w:rsid w:val="54ED38FD"/>
    <w:rsid w:val="54F01198"/>
    <w:rsid w:val="54F73313"/>
    <w:rsid w:val="54F80955"/>
    <w:rsid w:val="54FC530D"/>
    <w:rsid w:val="550D4DAE"/>
    <w:rsid w:val="5510553A"/>
    <w:rsid w:val="55257A30"/>
    <w:rsid w:val="553711C9"/>
    <w:rsid w:val="553777B1"/>
    <w:rsid w:val="553A7F64"/>
    <w:rsid w:val="553D6C6B"/>
    <w:rsid w:val="553E1C37"/>
    <w:rsid w:val="554324E8"/>
    <w:rsid w:val="55451E8E"/>
    <w:rsid w:val="555170A7"/>
    <w:rsid w:val="556570DE"/>
    <w:rsid w:val="557E5D22"/>
    <w:rsid w:val="5587536D"/>
    <w:rsid w:val="558D41B7"/>
    <w:rsid w:val="559B174B"/>
    <w:rsid w:val="55A37758"/>
    <w:rsid w:val="55B17202"/>
    <w:rsid w:val="55B654BC"/>
    <w:rsid w:val="55B765D3"/>
    <w:rsid w:val="55B87486"/>
    <w:rsid w:val="55C220FC"/>
    <w:rsid w:val="55C25618"/>
    <w:rsid w:val="55C37BD9"/>
    <w:rsid w:val="55CC4CE0"/>
    <w:rsid w:val="55CE0CF4"/>
    <w:rsid w:val="55D229D7"/>
    <w:rsid w:val="55D42370"/>
    <w:rsid w:val="55E32FDD"/>
    <w:rsid w:val="55E4027B"/>
    <w:rsid w:val="55F47921"/>
    <w:rsid w:val="5616585D"/>
    <w:rsid w:val="56340913"/>
    <w:rsid w:val="56350AD7"/>
    <w:rsid w:val="5641016C"/>
    <w:rsid w:val="56436613"/>
    <w:rsid w:val="56466827"/>
    <w:rsid w:val="564E5E5E"/>
    <w:rsid w:val="56564AC7"/>
    <w:rsid w:val="565914C8"/>
    <w:rsid w:val="565F090E"/>
    <w:rsid w:val="565F7902"/>
    <w:rsid w:val="56701329"/>
    <w:rsid w:val="567847E8"/>
    <w:rsid w:val="567D0066"/>
    <w:rsid w:val="569F6748"/>
    <w:rsid w:val="56B22A9C"/>
    <w:rsid w:val="56BC707B"/>
    <w:rsid w:val="56BE20D7"/>
    <w:rsid w:val="56C1236A"/>
    <w:rsid w:val="56C74B49"/>
    <w:rsid w:val="56C872E5"/>
    <w:rsid w:val="56CE7F22"/>
    <w:rsid w:val="56CF2ACC"/>
    <w:rsid w:val="56DC71A4"/>
    <w:rsid w:val="56E04EE6"/>
    <w:rsid w:val="56E32943"/>
    <w:rsid w:val="56E60023"/>
    <w:rsid w:val="56E808BA"/>
    <w:rsid w:val="56ED2C4C"/>
    <w:rsid w:val="56F97D56"/>
    <w:rsid w:val="57087F99"/>
    <w:rsid w:val="570E6E8F"/>
    <w:rsid w:val="570F696E"/>
    <w:rsid w:val="57203952"/>
    <w:rsid w:val="572A1156"/>
    <w:rsid w:val="5730129E"/>
    <w:rsid w:val="57314753"/>
    <w:rsid w:val="573174F0"/>
    <w:rsid w:val="57391A72"/>
    <w:rsid w:val="57546710"/>
    <w:rsid w:val="57566F5C"/>
    <w:rsid w:val="575E22AF"/>
    <w:rsid w:val="576F1263"/>
    <w:rsid w:val="577B4C0F"/>
    <w:rsid w:val="577D77E3"/>
    <w:rsid w:val="578E3176"/>
    <w:rsid w:val="57945CD1"/>
    <w:rsid w:val="57AA4FB1"/>
    <w:rsid w:val="57AF6667"/>
    <w:rsid w:val="57B72A76"/>
    <w:rsid w:val="57C3426C"/>
    <w:rsid w:val="57C775C1"/>
    <w:rsid w:val="57CE1F93"/>
    <w:rsid w:val="57DB745C"/>
    <w:rsid w:val="57DC6644"/>
    <w:rsid w:val="57E44517"/>
    <w:rsid w:val="57E5252E"/>
    <w:rsid w:val="57EF4CB5"/>
    <w:rsid w:val="57F95B34"/>
    <w:rsid w:val="57FB04AF"/>
    <w:rsid w:val="57FC296C"/>
    <w:rsid w:val="5806097D"/>
    <w:rsid w:val="58076896"/>
    <w:rsid w:val="580956C4"/>
    <w:rsid w:val="580F5FBE"/>
    <w:rsid w:val="58117322"/>
    <w:rsid w:val="5818420C"/>
    <w:rsid w:val="581A30C8"/>
    <w:rsid w:val="581F37ED"/>
    <w:rsid w:val="582C1526"/>
    <w:rsid w:val="582F059C"/>
    <w:rsid w:val="58340C31"/>
    <w:rsid w:val="58343F38"/>
    <w:rsid w:val="58373633"/>
    <w:rsid w:val="58640C5E"/>
    <w:rsid w:val="58796317"/>
    <w:rsid w:val="588743D1"/>
    <w:rsid w:val="5887701A"/>
    <w:rsid w:val="589507CD"/>
    <w:rsid w:val="58A3184F"/>
    <w:rsid w:val="58A673B8"/>
    <w:rsid w:val="58AD2EBA"/>
    <w:rsid w:val="58B32187"/>
    <w:rsid w:val="58BD4DB3"/>
    <w:rsid w:val="58C93758"/>
    <w:rsid w:val="58D10153"/>
    <w:rsid w:val="58DA5210"/>
    <w:rsid w:val="58F072F1"/>
    <w:rsid w:val="58F95A7C"/>
    <w:rsid w:val="59043964"/>
    <w:rsid w:val="59162E41"/>
    <w:rsid w:val="592310BA"/>
    <w:rsid w:val="593037D7"/>
    <w:rsid w:val="5930742F"/>
    <w:rsid w:val="5934151A"/>
    <w:rsid w:val="5939678D"/>
    <w:rsid w:val="593C3F2A"/>
    <w:rsid w:val="59423504"/>
    <w:rsid w:val="59590F80"/>
    <w:rsid w:val="596D0588"/>
    <w:rsid w:val="596D760D"/>
    <w:rsid w:val="597963C0"/>
    <w:rsid w:val="599C4BB7"/>
    <w:rsid w:val="599D73A3"/>
    <w:rsid w:val="59A33FA9"/>
    <w:rsid w:val="59A815C0"/>
    <w:rsid w:val="59B735E2"/>
    <w:rsid w:val="59B91A1F"/>
    <w:rsid w:val="59C0439F"/>
    <w:rsid w:val="59C62E18"/>
    <w:rsid w:val="59F173D5"/>
    <w:rsid w:val="59F74FEB"/>
    <w:rsid w:val="5A194FD3"/>
    <w:rsid w:val="5A236D79"/>
    <w:rsid w:val="5A284889"/>
    <w:rsid w:val="5A2E1BAA"/>
    <w:rsid w:val="5A364DCF"/>
    <w:rsid w:val="5A3D7F5A"/>
    <w:rsid w:val="5A48581A"/>
    <w:rsid w:val="5A4B3BD6"/>
    <w:rsid w:val="5A5654C0"/>
    <w:rsid w:val="5A5A0B0C"/>
    <w:rsid w:val="5A6F6F32"/>
    <w:rsid w:val="5A7E2CF2"/>
    <w:rsid w:val="5A9C1425"/>
    <w:rsid w:val="5A9C7376"/>
    <w:rsid w:val="5AA9748A"/>
    <w:rsid w:val="5AB10D16"/>
    <w:rsid w:val="5ABE2233"/>
    <w:rsid w:val="5ADF2AC5"/>
    <w:rsid w:val="5ADF5013"/>
    <w:rsid w:val="5AEE53ED"/>
    <w:rsid w:val="5AF450DF"/>
    <w:rsid w:val="5AF95D92"/>
    <w:rsid w:val="5AF97D15"/>
    <w:rsid w:val="5B093566"/>
    <w:rsid w:val="5B095077"/>
    <w:rsid w:val="5B0D5B7E"/>
    <w:rsid w:val="5B242EC8"/>
    <w:rsid w:val="5B2C0898"/>
    <w:rsid w:val="5B2D4472"/>
    <w:rsid w:val="5B3B4C78"/>
    <w:rsid w:val="5B3C46B5"/>
    <w:rsid w:val="5B4812AC"/>
    <w:rsid w:val="5B4E6B54"/>
    <w:rsid w:val="5B56078B"/>
    <w:rsid w:val="5B5A0536"/>
    <w:rsid w:val="5B6854AA"/>
    <w:rsid w:val="5B6D65C9"/>
    <w:rsid w:val="5B8523DC"/>
    <w:rsid w:val="5B8C4808"/>
    <w:rsid w:val="5B9B13DC"/>
    <w:rsid w:val="5BA51BA5"/>
    <w:rsid w:val="5BA640E4"/>
    <w:rsid w:val="5BA815A4"/>
    <w:rsid w:val="5BA83AF9"/>
    <w:rsid w:val="5BBA294C"/>
    <w:rsid w:val="5BBB3022"/>
    <w:rsid w:val="5BBD7228"/>
    <w:rsid w:val="5BCE5A89"/>
    <w:rsid w:val="5BDE18D5"/>
    <w:rsid w:val="5BDF5D95"/>
    <w:rsid w:val="5BE037DD"/>
    <w:rsid w:val="5BE30FD5"/>
    <w:rsid w:val="5BF509EB"/>
    <w:rsid w:val="5BFE7528"/>
    <w:rsid w:val="5C072ECB"/>
    <w:rsid w:val="5C0F2E1E"/>
    <w:rsid w:val="5C2869E8"/>
    <w:rsid w:val="5C297FA6"/>
    <w:rsid w:val="5C4B1054"/>
    <w:rsid w:val="5C4E644E"/>
    <w:rsid w:val="5C501E18"/>
    <w:rsid w:val="5C5477DD"/>
    <w:rsid w:val="5C657C3C"/>
    <w:rsid w:val="5C7834CB"/>
    <w:rsid w:val="5C7A5646"/>
    <w:rsid w:val="5C7C5679"/>
    <w:rsid w:val="5C7F2AAC"/>
    <w:rsid w:val="5C7F4EAC"/>
    <w:rsid w:val="5C84784F"/>
    <w:rsid w:val="5C8B76A2"/>
    <w:rsid w:val="5C900E30"/>
    <w:rsid w:val="5CBA1507"/>
    <w:rsid w:val="5CBE25EE"/>
    <w:rsid w:val="5CC34A21"/>
    <w:rsid w:val="5CF23011"/>
    <w:rsid w:val="5CFF0FC2"/>
    <w:rsid w:val="5D0134C1"/>
    <w:rsid w:val="5D0E4D8D"/>
    <w:rsid w:val="5D140D6A"/>
    <w:rsid w:val="5D186E6E"/>
    <w:rsid w:val="5D31181C"/>
    <w:rsid w:val="5D426FCB"/>
    <w:rsid w:val="5D59154F"/>
    <w:rsid w:val="5D5946B0"/>
    <w:rsid w:val="5D6323CD"/>
    <w:rsid w:val="5D7F0889"/>
    <w:rsid w:val="5D9434AA"/>
    <w:rsid w:val="5DA0717E"/>
    <w:rsid w:val="5DAC1C9C"/>
    <w:rsid w:val="5DB10F8A"/>
    <w:rsid w:val="5DC35759"/>
    <w:rsid w:val="5DC97FC9"/>
    <w:rsid w:val="5DCC1F1C"/>
    <w:rsid w:val="5DE52CAD"/>
    <w:rsid w:val="5DE52DE2"/>
    <w:rsid w:val="5DEC3DB2"/>
    <w:rsid w:val="5DF64FF0"/>
    <w:rsid w:val="5E145476"/>
    <w:rsid w:val="5E1C3FE9"/>
    <w:rsid w:val="5E1C4452"/>
    <w:rsid w:val="5E2467F1"/>
    <w:rsid w:val="5E320C01"/>
    <w:rsid w:val="5E3478C6"/>
    <w:rsid w:val="5E4C3FF5"/>
    <w:rsid w:val="5E522294"/>
    <w:rsid w:val="5E624E17"/>
    <w:rsid w:val="5E6B6ADD"/>
    <w:rsid w:val="5E6E26D7"/>
    <w:rsid w:val="5E7003B1"/>
    <w:rsid w:val="5E8D238E"/>
    <w:rsid w:val="5E9D531E"/>
    <w:rsid w:val="5EA031AD"/>
    <w:rsid w:val="5EA25257"/>
    <w:rsid w:val="5EB822A5"/>
    <w:rsid w:val="5ECE567F"/>
    <w:rsid w:val="5ED37924"/>
    <w:rsid w:val="5EE412EC"/>
    <w:rsid w:val="5EFF3D1A"/>
    <w:rsid w:val="5F095F0C"/>
    <w:rsid w:val="5F0B0627"/>
    <w:rsid w:val="5F1A2B43"/>
    <w:rsid w:val="5F2F405D"/>
    <w:rsid w:val="5F4B0077"/>
    <w:rsid w:val="5F820195"/>
    <w:rsid w:val="5F887343"/>
    <w:rsid w:val="5F9D0322"/>
    <w:rsid w:val="5F9D73C8"/>
    <w:rsid w:val="5FB837BB"/>
    <w:rsid w:val="5FBC4017"/>
    <w:rsid w:val="5FBE38EB"/>
    <w:rsid w:val="5FC26020"/>
    <w:rsid w:val="5FD14119"/>
    <w:rsid w:val="5FF13B42"/>
    <w:rsid w:val="5FF41CE4"/>
    <w:rsid w:val="5FFC2D67"/>
    <w:rsid w:val="600D6CAA"/>
    <w:rsid w:val="601B748B"/>
    <w:rsid w:val="603B14CB"/>
    <w:rsid w:val="6042276E"/>
    <w:rsid w:val="60432042"/>
    <w:rsid w:val="604C324B"/>
    <w:rsid w:val="604D63BE"/>
    <w:rsid w:val="605113C8"/>
    <w:rsid w:val="6060219A"/>
    <w:rsid w:val="608A3A2F"/>
    <w:rsid w:val="609D0B6D"/>
    <w:rsid w:val="60B7783F"/>
    <w:rsid w:val="60BF3DBF"/>
    <w:rsid w:val="60C137DC"/>
    <w:rsid w:val="60C70EC5"/>
    <w:rsid w:val="60CC405A"/>
    <w:rsid w:val="60CD50B5"/>
    <w:rsid w:val="60D26824"/>
    <w:rsid w:val="60DE56B7"/>
    <w:rsid w:val="60EA0710"/>
    <w:rsid w:val="6114405E"/>
    <w:rsid w:val="6124221E"/>
    <w:rsid w:val="612540D8"/>
    <w:rsid w:val="612606F0"/>
    <w:rsid w:val="6126799A"/>
    <w:rsid w:val="61277B8E"/>
    <w:rsid w:val="612A51EA"/>
    <w:rsid w:val="612B3202"/>
    <w:rsid w:val="61475B62"/>
    <w:rsid w:val="61502C69"/>
    <w:rsid w:val="615D46D4"/>
    <w:rsid w:val="61611F70"/>
    <w:rsid w:val="61622490"/>
    <w:rsid w:val="6166423A"/>
    <w:rsid w:val="616801DE"/>
    <w:rsid w:val="616D4724"/>
    <w:rsid w:val="61786F13"/>
    <w:rsid w:val="61834DEC"/>
    <w:rsid w:val="61971A54"/>
    <w:rsid w:val="61973564"/>
    <w:rsid w:val="61B23569"/>
    <w:rsid w:val="61B956D6"/>
    <w:rsid w:val="61C175C7"/>
    <w:rsid w:val="61CA73E7"/>
    <w:rsid w:val="61DF1A42"/>
    <w:rsid w:val="61E04C9D"/>
    <w:rsid w:val="61E215D8"/>
    <w:rsid w:val="61FC72E8"/>
    <w:rsid w:val="621B3775"/>
    <w:rsid w:val="62324EE1"/>
    <w:rsid w:val="62364782"/>
    <w:rsid w:val="624502F4"/>
    <w:rsid w:val="624C1682"/>
    <w:rsid w:val="624E2AD0"/>
    <w:rsid w:val="626F239F"/>
    <w:rsid w:val="62705C60"/>
    <w:rsid w:val="62A47BD9"/>
    <w:rsid w:val="62AE616E"/>
    <w:rsid w:val="62C57470"/>
    <w:rsid w:val="62CF2E43"/>
    <w:rsid w:val="62D972A2"/>
    <w:rsid w:val="62DA4EE0"/>
    <w:rsid w:val="62DB5DE4"/>
    <w:rsid w:val="62F22CAF"/>
    <w:rsid w:val="62FF4946"/>
    <w:rsid w:val="63252F5F"/>
    <w:rsid w:val="632567E7"/>
    <w:rsid w:val="633F4D43"/>
    <w:rsid w:val="634103B2"/>
    <w:rsid w:val="6344238F"/>
    <w:rsid w:val="634C3E55"/>
    <w:rsid w:val="634C546E"/>
    <w:rsid w:val="63512C02"/>
    <w:rsid w:val="635B0977"/>
    <w:rsid w:val="635C7C58"/>
    <w:rsid w:val="63666773"/>
    <w:rsid w:val="636B3D8A"/>
    <w:rsid w:val="636C3019"/>
    <w:rsid w:val="637E5958"/>
    <w:rsid w:val="63804511"/>
    <w:rsid w:val="638F6634"/>
    <w:rsid w:val="6394356A"/>
    <w:rsid w:val="639C2195"/>
    <w:rsid w:val="63A556AF"/>
    <w:rsid w:val="63A7157E"/>
    <w:rsid w:val="63B76FCF"/>
    <w:rsid w:val="63BB006E"/>
    <w:rsid w:val="63BE3FBD"/>
    <w:rsid w:val="63C61B2C"/>
    <w:rsid w:val="63D40BE9"/>
    <w:rsid w:val="63D538F9"/>
    <w:rsid w:val="63DA463B"/>
    <w:rsid w:val="63E7638D"/>
    <w:rsid w:val="63F702C7"/>
    <w:rsid w:val="64023449"/>
    <w:rsid w:val="640B099F"/>
    <w:rsid w:val="640F1BA1"/>
    <w:rsid w:val="64102431"/>
    <w:rsid w:val="64197310"/>
    <w:rsid w:val="642503DD"/>
    <w:rsid w:val="642A59F3"/>
    <w:rsid w:val="643C74D4"/>
    <w:rsid w:val="645944FC"/>
    <w:rsid w:val="64746C6E"/>
    <w:rsid w:val="6482420F"/>
    <w:rsid w:val="6490584E"/>
    <w:rsid w:val="64984234"/>
    <w:rsid w:val="649F4848"/>
    <w:rsid w:val="64A32CD9"/>
    <w:rsid w:val="64A5243A"/>
    <w:rsid w:val="64AD2180"/>
    <w:rsid w:val="64B21544"/>
    <w:rsid w:val="64CC4530"/>
    <w:rsid w:val="64F467F1"/>
    <w:rsid w:val="64F531DE"/>
    <w:rsid w:val="64FE6919"/>
    <w:rsid w:val="64FF1762"/>
    <w:rsid w:val="65156591"/>
    <w:rsid w:val="652A6682"/>
    <w:rsid w:val="65373578"/>
    <w:rsid w:val="656E284E"/>
    <w:rsid w:val="65703E04"/>
    <w:rsid w:val="65705687"/>
    <w:rsid w:val="657B70B9"/>
    <w:rsid w:val="6580501E"/>
    <w:rsid w:val="658A3945"/>
    <w:rsid w:val="65921AA2"/>
    <w:rsid w:val="65A672FB"/>
    <w:rsid w:val="65AF41D9"/>
    <w:rsid w:val="65B8702E"/>
    <w:rsid w:val="65C21C5B"/>
    <w:rsid w:val="65C33C66"/>
    <w:rsid w:val="65C6232E"/>
    <w:rsid w:val="65CA03F4"/>
    <w:rsid w:val="65D54C8C"/>
    <w:rsid w:val="66096F22"/>
    <w:rsid w:val="6612673F"/>
    <w:rsid w:val="662621EA"/>
    <w:rsid w:val="662E109F"/>
    <w:rsid w:val="66307B8F"/>
    <w:rsid w:val="66320B8F"/>
    <w:rsid w:val="66373640"/>
    <w:rsid w:val="663761A5"/>
    <w:rsid w:val="664408C2"/>
    <w:rsid w:val="66442670"/>
    <w:rsid w:val="666310A8"/>
    <w:rsid w:val="666637FF"/>
    <w:rsid w:val="66667528"/>
    <w:rsid w:val="666B22F3"/>
    <w:rsid w:val="666B630E"/>
    <w:rsid w:val="667050B2"/>
    <w:rsid w:val="66845987"/>
    <w:rsid w:val="668F6B02"/>
    <w:rsid w:val="669235FB"/>
    <w:rsid w:val="6695111E"/>
    <w:rsid w:val="66A4453B"/>
    <w:rsid w:val="66B506E4"/>
    <w:rsid w:val="66B87E12"/>
    <w:rsid w:val="66C04E2F"/>
    <w:rsid w:val="66D47E98"/>
    <w:rsid w:val="66ED6EC2"/>
    <w:rsid w:val="66F35054"/>
    <w:rsid w:val="670F2C7E"/>
    <w:rsid w:val="6714680B"/>
    <w:rsid w:val="671870AE"/>
    <w:rsid w:val="671B2446"/>
    <w:rsid w:val="671F124A"/>
    <w:rsid w:val="672D1356"/>
    <w:rsid w:val="672D3346"/>
    <w:rsid w:val="67334BBF"/>
    <w:rsid w:val="674E0DC0"/>
    <w:rsid w:val="675D123C"/>
    <w:rsid w:val="677A33C6"/>
    <w:rsid w:val="677F07F4"/>
    <w:rsid w:val="67816464"/>
    <w:rsid w:val="67895245"/>
    <w:rsid w:val="67915D89"/>
    <w:rsid w:val="6796339F"/>
    <w:rsid w:val="679F4D95"/>
    <w:rsid w:val="67AC671F"/>
    <w:rsid w:val="67B5459A"/>
    <w:rsid w:val="67BD26DA"/>
    <w:rsid w:val="67C1041C"/>
    <w:rsid w:val="67CB3782"/>
    <w:rsid w:val="67CF19B4"/>
    <w:rsid w:val="67D11C12"/>
    <w:rsid w:val="67E579F2"/>
    <w:rsid w:val="67EC2600"/>
    <w:rsid w:val="67EF04FF"/>
    <w:rsid w:val="67F50B5A"/>
    <w:rsid w:val="68064081"/>
    <w:rsid w:val="680E3FC7"/>
    <w:rsid w:val="680F6FD7"/>
    <w:rsid w:val="68113AF2"/>
    <w:rsid w:val="68150474"/>
    <w:rsid w:val="681F6961"/>
    <w:rsid w:val="68272A1B"/>
    <w:rsid w:val="684E1957"/>
    <w:rsid w:val="685B306D"/>
    <w:rsid w:val="685E210F"/>
    <w:rsid w:val="68610A2F"/>
    <w:rsid w:val="68805514"/>
    <w:rsid w:val="688C21FC"/>
    <w:rsid w:val="68A125DA"/>
    <w:rsid w:val="68A235FA"/>
    <w:rsid w:val="68A812BE"/>
    <w:rsid w:val="68CD2DF1"/>
    <w:rsid w:val="68D3471C"/>
    <w:rsid w:val="68D50F1E"/>
    <w:rsid w:val="68D51CA5"/>
    <w:rsid w:val="68D637F0"/>
    <w:rsid w:val="68D93544"/>
    <w:rsid w:val="68ED5241"/>
    <w:rsid w:val="68FB795E"/>
    <w:rsid w:val="690861D7"/>
    <w:rsid w:val="690B56C7"/>
    <w:rsid w:val="69143F69"/>
    <w:rsid w:val="69167CEB"/>
    <w:rsid w:val="691B1DAE"/>
    <w:rsid w:val="691D32A4"/>
    <w:rsid w:val="69316E2F"/>
    <w:rsid w:val="69446FC1"/>
    <w:rsid w:val="694E2071"/>
    <w:rsid w:val="6951757E"/>
    <w:rsid w:val="69564422"/>
    <w:rsid w:val="69601621"/>
    <w:rsid w:val="696A6CA5"/>
    <w:rsid w:val="69706A85"/>
    <w:rsid w:val="69754A86"/>
    <w:rsid w:val="69766163"/>
    <w:rsid w:val="697A3B33"/>
    <w:rsid w:val="698060B5"/>
    <w:rsid w:val="6987623C"/>
    <w:rsid w:val="69886D18"/>
    <w:rsid w:val="698928DA"/>
    <w:rsid w:val="698C376D"/>
    <w:rsid w:val="69983CAC"/>
    <w:rsid w:val="699851AD"/>
    <w:rsid w:val="69A00347"/>
    <w:rsid w:val="69BB0E9B"/>
    <w:rsid w:val="69C064B2"/>
    <w:rsid w:val="69CA377F"/>
    <w:rsid w:val="69D30C5B"/>
    <w:rsid w:val="69D44760"/>
    <w:rsid w:val="69EA26C3"/>
    <w:rsid w:val="69EB79D2"/>
    <w:rsid w:val="6A022F6E"/>
    <w:rsid w:val="6A0665BA"/>
    <w:rsid w:val="6A1F4B97"/>
    <w:rsid w:val="6A2B4273"/>
    <w:rsid w:val="6A3E2218"/>
    <w:rsid w:val="6A4964A7"/>
    <w:rsid w:val="6A520EC7"/>
    <w:rsid w:val="6A521978"/>
    <w:rsid w:val="6A531ADF"/>
    <w:rsid w:val="6A532E30"/>
    <w:rsid w:val="6A554E4C"/>
    <w:rsid w:val="6A5713B7"/>
    <w:rsid w:val="6A58386C"/>
    <w:rsid w:val="6A5F3F1C"/>
    <w:rsid w:val="6A6501BC"/>
    <w:rsid w:val="6A68160B"/>
    <w:rsid w:val="6A70715D"/>
    <w:rsid w:val="6A7C0B69"/>
    <w:rsid w:val="6AA06A0F"/>
    <w:rsid w:val="6AA14535"/>
    <w:rsid w:val="6AA61B4B"/>
    <w:rsid w:val="6AAF510F"/>
    <w:rsid w:val="6ABA6765"/>
    <w:rsid w:val="6ABA73A5"/>
    <w:rsid w:val="6AC13E4D"/>
    <w:rsid w:val="6AC15C11"/>
    <w:rsid w:val="6AD15511"/>
    <w:rsid w:val="6AD2649C"/>
    <w:rsid w:val="6ADC3513"/>
    <w:rsid w:val="6AE53699"/>
    <w:rsid w:val="6AF87E20"/>
    <w:rsid w:val="6AFC5C0F"/>
    <w:rsid w:val="6B005141"/>
    <w:rsid w:val="6B0E09DA"/>
    <w:rsid w:val="6B163092"/>
    <w:rsid w:val="6B1961B0"/>
    <w:rsid w:val="6B244B73"/>
    <w:rsid w:val="6B264357"/>
    <w:rsid w:val="6B2D0932"/>
    <w:rsid w:val="6B2E1512"/>
    <w:rsid w:val="6B322639"/>
    <w:rsid w:val="6B3555B1"/>
    <w:rsid w:val="6B3569DF"/>
    <w:rsid w:val="6B460C38"/>
    <w:rsid w:val="6B4F6B86"/>
    <w:rsid w:val="6B50121C"/>
    <w:rsid w:val="6B6164E9"/>
    <w:rsid w:val="6B717962"/>
    <w:rsid w:val="6B721A2E"/>
    <w:rsid w:val="6B7F44DB"/>
    <w:rsid w:val="6B87275F"/>
    <w:rsid w:val="6B8C0D41"/>
    <w:rsid w:val="6B9B2D32"/>
    <w:rsid w:val="6BA77929"/>
    <w:rsid w:val="6BB34520"/>
    <w:rsid w:val="6BB81B36"/>
    <w:rsid w:val="6BBD6AA3"/>
    <w:rsid w:val="6BC62286"/>
    <w:rsid w:val="6BC93D43"/>
    <w:rsid w:val="6BD43284"/>
    <w:rsid w:val="6BDF77E3"/>
    <w:rsid w:val="6BFF7765"/>
    <w:rsid w:val="6C0321DC"/>
    <w:rsid w:val="6C0604EF"/>
    <w:rsid w:val="6C1256EA"/>
    <w:rsid w:val="6C223454"/>
    <w:rsid w:val="6C3B4A56"/>
    <w:rsid w:val="6C441E4A"/>
    <w:rsid w:val="6C465394"/>
    <w:rsid w:val="6C5B0F44"/>
    <w:rsid w:val="6C5B255C"/>
    <w:rsid w:val="6C636C38"/>
    <w:rsid w:val="6C68355C"/>
    <w:rsid w:val="6C733CAF"/>
    <w:rsid w:val="6C7B1FBF"/>
    <w:rsid w:val="6C904861"/>
    <w:rsid w:val="6C94098B"/>
    <w:rsid w:val="6CA42BEA"/>
    <w:rsid w:val="6CB311FE"/>
    <w:rsid w:val="6CB50070"/>
    <w:rsid w:val="6CBD1A34"/>
    <w:rsid w:val="6CCB5899"/>
    <w:rsid w:val="6CCF1AF5"/>
    <w:rsid w:val="6CD01102"/>
    <w:rsid w:val="6CD45554"/>
    <w:rsid w:val="6CDB0A34"/>
    <w:rsid w:val="6CDC2BF0"/>
    <w:rsid w:val="6CEC58FD"/>
    <w:rsid w:val="6CF43042"/>
    <w:rsid w:val="6CFE5C6F"/>
    <w:rsid w:val="6D087752"/>
    <w:rsid w:val="6D0D1A0E"/>
    <w:rsid w:val="6D0E234D"/>
    <w:rsid w:val="6D326F07"/>
    <w:rsid w:val="6D390A55"/>
    <w:rsid w:val="6D392803"/>
    <w:rsid w:val="6D4511A4"/>
    <w:rsid w:val="6D4713C4"/>
    <w:rsid w:val="6D505D9E"/>
    <w:rsid w:val="6D5A3CAC"/>
    <w:rsid w:val="6D5D5B51"/>
    <w:rsid w:val="6D806218"/>
    <w:rsid w:val="6D94247F"/>
    <w:rsid w:val="6D963252"/>
    <w:rsid w:val="6DA85BDA"/>
    <w:rsid w:val="6DAB3516"/>
    <w:rsid w:val="6DB22893"/>
    <w:rsid w:val="6DB230AE"/>
    <w:rsid w:val="6DB34098"/>
    <w:rsid w:val="6DB545B6"/>
    <w:rsid w:val="6DC64092"/>
    <w:rsid w:val="6DCC1946"/>
    <w:rsid w:val="6DCC3677"/>
    <w:rsid w:val="6DD93FE6"/>
    <w:rsid w:val="6DDD48AA"/>
    <w:rsid w:val="6DDE01F4"/>
    <w:rsid w:val="6DE02FB4"/>
    <w:rsid w:val="6DE210EC"/>
    <w:rsid w:val="6E106332"/>
    <w:rsid w:val="6E1B45FE"/>
    <w:rsid w:val="6E1F5E9D"/>
    <w:rsid w:val="6E2D55C1"/>
    <w:rsid w:val="6E3E308D"/>
    <w:rsid w:val="6E4655BC"/>
    <w:rsid w:val="6E49630A"/>
    <w:rsid w:val="6E4D4094"/>
    <w:rsid w:val="6E4F28ED"/>
    <w:rsid w:val="6E514CED"/>
    <w:rsid w:val="6E530124"/>
    <w:rsid w:val="6E662F59"/>
    <w:rsid w:val="6E6672C4"/>
    <w:rsid w:val="6EA25306"/>
    <w:rsid w:val="6EAC5256"/>
    <w:rsid w:val="6EB563D5"/>
    <w:rsid w:val="6EC9405A"/>
    <w:rsid w:val="6ED21BA5"/>
    <w:rsid w:val="6ED92677"/>
    <w:rsid w:val="6EDC3D8E"/>
    <w:rsid w:val="6EF359E3"/>
    <w:rsid w:val="6EFA0228"/>
    <w:rsid w:val="6F084EF7"/>
    <w:rsid w:val="6F0A2120"/>
    <w:rsid w:val="6F147412"/>
    <w:rsid w:val="6F1956AC"/>
    <w:rsid w:val="6F225983"/>
    <w:rsid w:val="6F252696"/>
    <w:rsid w:val="6F2707FC"/>
    <w:rsid w:val="6F282A5B"/>
    <w:rsid w:val="6F2D0BE5"/>
    <w:rsid w:val="6F392F8E"/>
    <w:rsid w:val="6F4B7598"/>
    <w:rsid w:val="6F4D7078"/>
    <w:rsid w:val="6F59727A"/>
    <w:rsid w:val="6F5F2E2B"/>
    <w:rsid w:val="6F671009"/>
    <w:rsid w:val="6F7B66BC"/>
    <w:rsid w:val="6F9155B8"/>
    <w:rsid w:val="6F926B42"/>
    <w:rsid w:val="6F9C351D"/>
    <w:rsid w:val="6FA32AFD"/>
    <w:rsid w:val="6FB12744"/>
    <w:rsid w:val="6FBC475D"/>
    <w:rsid w:val="6FC61A6E"/>
    <w:rsid w:val="6FC9414D"/>
    <w:rsid w:val="6FD248BA"/>
    <w:rsid w:val="6FD9207B"/>
    <w:rsid w:val="6FE00A2E"/>
    <w:rsid w:val="6FEC67A6"/>
    <w:rsid w:val="6FF10085"/>
    <w:rsid w:val="6FF45107"/>
    <w:rsid w:val="6FF84BF7"/>
    <w:rsid w:val="6FFC5590"/>
    <w:rsid w:val="70044576"/>
    <w:rsid w:val="70176CEF"/>
    <w:rsid w:val="70180CEA"/>
    <w:rsid w:val="702B15B8"/>
    <w:rsid w:val="703379DD"/>
    <w:rsid w:val="704C6CF1"/>
    <w:rsid w:val="70535065"/>
    <w:rsid w:val="70545D1F"/>
    <w:rsid w:val="70640519"/>
    <w:rsid w:val="70663529"/>
    <w:rsid w:val="706D1DD0"/>
    <w:rsid w:val="70740E64"/>
    <w:rsid w:val="70840239"/>
    <w:rsid w:val="70856B87"/>
    <w:rsid w:val="70A209EC"/>
    <w:rsid w:val="70A40310"/>
    <w:rsid w:val="70AD4806"/>
    <w:rsid w:val="70AE1720"/>
    <w:rsid w:val="70BA394A"/>
    <w:rsid w:val="70BF39FA"/>
    <w:rsid w:val="70CB385A"/>
    <w:rsid w:val="70D527EE"/>
    <w:rsid w:val="70D65DEB"/>
    <w:rsid w:val="70DA42FD"/>
    <w:rsid w:val="70E05694"/>
    <w:rsid w:val="70F96E79"/>
    <w:rsid w:val="711032D8"/>
    <w:rsid w:val="711E6A5B"/>
    <w:rsid w:val="71235CA4"/>
    <w:rsid w:val="71383DCF"/>
    <w:rsid w:val="715B5300"/>
    <w:rsid w:val="717E2EDA"/>
    <w:rsid w:val="7197743A"/>
    <w:rsid w:val="71985DA2"/>
    <w:rsid w:val="71A072F4"/>
    <w:rsid w:val="71D27F8A"/>
    <w:rsid w:val="71E2080E"/>
    <w:rsid w:val="71FE4BAB"/>
    <w:rsid w:val="71FE6F7B"/>
    <w:rsid w:val="721E5272"/>
    <w:rsid w:val="72216AE0"/>
    <w:rsid w:val="72264621"/>
    <w:rsid w:val="722B7170"/>
    <w:rsid w:val="723957A3"/>
    <w:rsid w:val="723D47AF"/>
    <w:rsid w:val="724759C2"/>
    <w:rsid w:val="724F4877"/>
    <w:rsid w:val="72534367"/>
    <w:rsid w:val="725400DF"/>
    <w:rsid w:val="72553024"/>
    <w:rsid w:val="72560744"/>
    <w:rsid w:val="726E0E46"/>
    <w:rsid w:val="729E4B54"/>
    <w:rsid w:val="72A526E9"/>
    <w:rsid w:val="72AC3A77"/>
    <w:rsid w:val="72D52B8D"/>
    <w:rsid w:val="72D66D46"/>
    <w:rsid w:val="72E44654"/>
    <w:rsid w:val="72EC0DF4"/>
    <w:rsid w:val="72F53670"/>
    <w:rsid w:val="73004D9C"/>
    <w:rsid w:val="730E3BC5"/>
    <w:rsid w:val="73122968"/>
    <w:rsid w:val="731F5D5E"/>
    <w:rsid w:val="733777E5"/>
    <w:rsid w:val="733D6483"/>
    <w:rsid w:val="734A21BB"/>
    <w:rsid w:val="737522FE"/>
    <w:rsid w:val="738C2D40"/>
    <w:rsid w:val="739C2C3D"/>
    <w:rsid w:val="73C51951"/>
    <w:rsid w:val="73C51AD5"/>
    <w:rsid w:val="73DB1277"/>
    <w:rsid w:val="73F779CD"/>
    <w:rsid w:val="74163AD7"/>
    <w:rsid w:val="741E793C"/>
    <w:rsid w:val="74324450"/>
    <w:rsid w:val="743B1556"/>
    <w:rsid w:val="74404DBF"/>
    <w:rsid w:val="7443172F"/>
    <w:rsid w:val="74492F29"/>
    <w:rsid w:val="745D14CD"/>
    <w:rsid w:val="745E3944"/>
    <w:rsid w:val="746076C1"/>
    <w:rsid w:val="74620891"/>
    <w:rsid w:val="746700BF"/>
    <w:rsid w:val="749018A2"/>
    <w:rsid w:val="74905F41"/>
    <w:rsid w:val="74914331"/>
    <w:rsid w:val="74AE0965"/>
    <w:rsid w:val="74CF1091"/>
    <w:rsid w:val="74EE481B"/>
    <w:rsid w:val="74EF1E1F"/>
    <w:rsid w:val="74F33135"/>
    <w:rsid w:val="75024E3F"/>
    <w:rsid w:val="7507768A"/>
    <w:rsid w:val="751122B7"/>
    <w:rsid w:val="753858C7"/>
    <w:rsid w:val="755F069C"/>
    <w:rsid w:val="75607450"/>
    <w:rsid w:val="758B411D"/>
    <w:rsid w:val="75983F4B"/>
    <w:rsid w:val="75CB6B8C"/>
    <w:rsid w:val="75D00E65"/>
    <w:rsid w:val="75D71DA1"/>
    <w:rsid w:val="75F126B1"/>
    <w:rsid w:val="761E4C8C"/>
    <w:rsid w:val="76283D5C"/>
    <w:rsid w:val="762A4B49"/>
    <w:rsid w:val="762D0AE2"/>
    <w:rsid w:val="762F0C9A"/>
    <w:rsid w:val="76306C4B"/>
    <w:rsid w:val="7635099D"/>
    <w:rsid w:val="7641097A"/>
    <w:rsid w:val="76593F16"/>
    <w:rsid w:val="765C6FAE"/>
    <w:rsid w:val="76630FFB"/>
    <w:rsid w:val="76790ABC"/>
    <w:rsid w:val="76880357"/>
    <w:rsid w:val="76894E64"/>
    <w:rsid w:val="768C6EE2"/>
    <w:rsid w:val="76A15BBB"/>
    <w:rsid w:val="76A50F09"/>
    <w:rsid w:val="76B1740C"/>
    <w:rsid w:val="76C52BB6"/>
    <w:rsid w:val="76D01188"/>
    <w:rsid w:val="76D6668A"/>
    <w:rsid w:val="76F65C09"/>
    <w:rsid w:val="771C3B80"/>
    <w:rsid w:val="77221AA9"/>
    <w:rsid w:val="772700B6"/>
    <w:rsid w:val="7729540D"/>
    <w:rsid w:val="77550B81"/>
    <w:rsid w:val="775B5A6C"/>
    <w:rsid w:val="7763329E"/>
    <w:rsid w:val="776E049E"/>
    <w:rsid w:val="77746FA7"/>
    <w:rsid w:val="77762421"/>
    <w:rsid w:val="777C4B85"/>
    <w:rsid w:val="77824785"/>
    <w:rsid w:val="779A2A38"/>
    <w:rsid w:val="779E60E6"/>
    <w:rsid w:val="77A318EC"/>
    <w:rsid w:val="77AD1D68"/>
    <w:rsid w:val="77B56B1F"/>
    <w:rsid w:val="77B91110"/>
    <w:rsid w:val="77DA2E34"/>
    <w:rsid w:val="78073C2A"/>
    <w:rsid w:val="780962C6"/>
    <w:rsid w:val="780C53B7"/>
    <w:rsid w:val="780F09F4"/>
    <w:rsid w:val="78174088"/>
    <w:rsid w:val="78191BAF"/>
    <w:rsid w:val="781E71C5"/>
    <w:rsid w:val="782642CC"/>
    <w:rsid w:val="782B3690"/>
    <w:rsid w:val="782B468A"/>
    <w:rsid w:val="782F3180"/>
    <w:rsid w:val="784055BF"/>
    <w:rsid w:val="784C5E8E"/>
    <w:rsid w:val="78545B2C"/>
    <w:rsid w:val="78856643"/>
    <w:rsid w:val="78952D76"/>
    <w:rsid w:val="78994A9D"/>
    <w:rsid w:val="78A90480"/>
    <w:rsid w:val="78B71B7F"/>
    <w:rsid w:val="78C95383"/>
    <w:rsid w:val="78CD066A"/>
    <w:rsid w:val="791660EE"/>
    <w:rsid w:val="791B54B2"/>
    <w:rsid w:val="792349EE"/>
    <w:rsid w:val="792D3119"/>
    <w:rsid w:val="79326B8F"/>
    <w:rsid w:val="793C4BE9"/>
    <w:rsid w:val="79726BC4"/>
    <w:rsid w:val="797B75B8"/>
    <w:rsid w:val="797F1EE5"/>
    <w:rsid w:val="79841996"/>
    <w:rsid w:val="798B4C8C"/>
    <w:rsid w:val="799843BD"/>
    <w:rsid w:val="79B04DA0"/>
    <w:rsid w:val="79B60DB8"/>
    <w:rsid w:val="79C51ADA"/>
    <w:rsid w:val="79D044EF"/>
    <w:rsid w:val="79E24222"/>
    <w:rsid w:val="79F2188A"/>
    <w:rsid w:val="79FE105C"/>
    <w:rsid w:val="7A0237F1"/>
    <w:rsid w:val="7A0D3B0F"/>
    <w:rsid w:val="7A103081"/>
    <w:rsid w:val="7A106FE1"/>
    <w:rsid w:val="7A146AD1"/>
    <w:rsid w:val="7A1D6BAC"/>
    <w:rsid w:val="7A210855"/>
    <w:rsid w:val="7A212F59"/>
    <w:rsid w:val="7A2E4BCF"/>
    <w:rsid w:val="7A34504C"/>
    <w:rsid w:val="7A364017"/>
    <w:rsid w:val="7A3A5E0C"/>
    <w:rsid w:val="7A4030E9"/>
    <w:rsid w:val="7A467A16"/>
    <w:rsid w:val="7A4B626B"/>
    <w:rsid w:val="7A574C10"/>
    <w:rsid w:val="7A5967A5"/>
    <w:rsid w:val="7A5F3C09"/>
    <w:rsid w:val="7A6B6D58"/>
    <w:rsid w:val="7A8265E1"/>
    <w:rsid w:val="7A827EE4"/>
    <w:rsid w:val="7A965D1A"/>
    <w:rsid w:val="7AAA2F92"/>
    <w:rsid w:val="7AAD65DE"/>
    <w:rsid w:val="7AB86D9B"/>
    <w:rsid w:val="7ABF39E7"/>
    <w:rsid w:val="7AC0190A"/>
    <w:rsid w:val="7AD2224A"/>
    <w:rsid w:val="7AE446F6"/>
    <w:rsid w:val="7AE62CD5"/>
    <w:rsid w:val="7AFD3517"/>
    <w:rsid w:val="7AFF1D1E"/>
    <w:rsid w:val="7B034450"/>
    <w:rsid w:val="7B1B1097"/>
    <w:rsid w:val="7B1B3E90"/>
    <w:rsid w:val="7B1F6DB5"/>
    <w:rsid w:val="7B227151"/>
    <w:rsid w:val="7B252618"/>
    <w:rsid w:val="7B2F00CA"/>
    <w:rsid w:val="7B354F51"/>
    <w:rsid w:val="7B454957"/>
    <w:rsid w:val="7B4A052A"/>
    <w:rsid w:val="7B4A574A"/>
    <w:rsid w:val="7B4C4763"/>
    <w:rsid w:val="7B686D42"/>
    <w:rsid w:val="7B797EF7"/>
    <w:rsid w:val="7B7B492E"/>
    <w:rsid w:val="7B841746"/>
    <w:rsid w:val="7BB10350"/>
    <w:rsid w:val="7BBC11CF"/>
    <w:rsid w:val="7BD32074"/>
    <w:rsid w:val="7BDF0A19"/>
    <w:rsid w:val="7BE0283D"/>
    <w:rsid w:val="7BE112D4"/>
    <w:rsid w:val="7BE11D77"/>
    <w:rsid w:val="7BE81FC4"/>
    <w:rsid w:val="7BF24BF0"/>
    <w:rsid w:val="7BF87D2D"/>
    <w:rsid w:val="7C131252"/>
    <w:rsid w:val="7C143CCF"/>
    <w:rsid w:val="7C18217D"/>
    <w:rsid w:val="7C1940AA"/>
    <w:rsid w:val="7C1A344E"/>
    <w:rsid w:val="7C1F3112"/>
    <w:rsid w:val="7C242FD0"/>
    <w:rsid w:val="7C266648"/>
    <w:rsid w:val="7C434518"/>
    <w:rsid w:val="7C5F2D82"/>
    <w:rsid w:val="7C6852D2"/>
    <w:rsid w:val="7C6C5AC7"/>
    <w:rsid w:val="7C7452E6"/>
    <w:rsid w:val="7C80044E"/>
    <w:rsid w:val="7C887303"/>
    <w:rsid w:val="7C8E4E00"/>
    <w:rsid w:val="7C923A23"/>
    <w:rsid w:val="7CC14522"/>
    <w:rsid w:val="7CC6544B"/>
    <w:rsid w:val="7CC7563D"/>
    <w:rsid w:val="7CC97456"/>
    <w:rsid w:val="7CE8539E"/>
    <w:rsid w:val="7CEF3BF5"/>
    <w:rsid w:val="7D0239FF"/>
    <w:rsid w:val="7D1F32AC"/>
    <w:rsid w:val="7D2232B3"/>
    <w:rsid w:val="7D3354C1"/>
    <w:rsid w:val="7D376633"/>
    <w:rsid w:val="7D40407F"/>
    <w:rsid w:val="7D444752"/>
    <w:rsid w:val="7D505FEA"/>
    <w:rsid w:val="7D5B240A"/>
    <w:rsid w:val="7D5E40CD"/>
    <w:rsid w:val="7D6C452F"/>
    <w:rsid w:val="7D875FCE"/>
    <w:rsid w:val="7D943A85"/>
    <w:rsid w:val="7D9677FD"/>
    <w:rsid w:val="7DB70B7D"/>
    <w:rsid w:val="7DBB02EE"/>
    <w:rsid w:val="7DBD122E"/>
    <w:rsid w:val="7DBF0B02"/>
    <w:rsid w:val="7DCD56F2"/>
    <w:rsid w:val="7DF46895"/>
    <w:rsid w:val="7DFD787D"/>
    <w:rsid w:val="7E014BC1"/>
    <w:rsid w:val="7E0C4C3A"/>
    <w:rsid w:val="7E1B1F5A"/>
    <w:rsid w:val="7E3220D9"/>
    <w:rsid w:val="7E362B7B"/>
    <w:rsid w:val="7E582D05"/>
    <w:rsid w:val="7E586A2F"/>
    <w:rsid w:val="7E7107DD"/>
    <w:rsid w:val="7E7A6107"/>
    <w:rsid w:val="7E7F0156"/>
    <w:rsid w:val="7E807AE8"/>
    <w:rsid w:val="7E9544D5"/>
    <w:rsid w:val="7E9B682F"/>
    <w:rsid w:val="7EA2524F"/>
    <w:rsid w:val="7EE45B1F"/>
    <w:rsid w:val="7EEE45C4"/>
    <w:rsid w:val="7EFB532A"/>
    <w:rsid w:val="7F001CE7"/>
    <w:rsid w:val="7F133E7D"/>
    <w:rsid w:val="7F4200B3"/>
    <w:rsid w:val="7F43111F"/>
    <w:rsid w:val="7F4A0378"/>
    <w:rsid w:val="7F4A3314"/>
    <w:rsid w:val="7F5244EB"/>
    <w:rsid w:val="7F8A15E4"/>
    <w:rsid w:val="7FC433AA"/>
    <w:rsid w:val="7FD74B00"/>
    <w:rsid w:val="7FDC1E3F"/>
    <w:rsid w:val="7FE06C76"/>
    <w:rsid w:val="7FE47E50"/>
    <w:rsid w:val="7FF32CE5"/>
    <w:rsid w:val="7FF57326"/>
    <w:rsid w:val="7FFA40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_x0000_s2055">
          <o:proxy start="" idref="#_x0000_s2056" connectloc="1"/>
        </o:r>
      </o:rules>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ocked="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39" w:semiHidden="0" w:name="toc 1" w:locked="1"/>
    <w:lsdException w:uiPriority="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ocked="1"/>
    <w:lsdException w:uiPriority="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ocked="1"/>
    <w:lsdException w:qFormat="1" w:uiPriority="0" w:name="caption" w:locked="1"/>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name="annotation reference"/>
    <w:lsdException w:uiPriority="0" w:name="line number" w:locked="1"/>
    <w:lsdException w:qFormat="1" w:unhideWhenUsed="0" w:uiPriority="0" w:semiHidden="0" w:name="page number" w:locked="1"/>
    <w:lsdException w:uiPriority="0" w:name="endnote reference" w:locked="1"/>
    <w:lsdException w:uiPriority="0" w:name="endnote text" w:locked="1"/>
    <w:lsdException w:unhideWhenUsed="0" w:uiPriority="0" w:semiHidden="0" w:name="table of authorities" w:locked="1"/>
    <w:lsdException w:uiPriority="0" w:name="macro" w:locked="1"/>
    <w:lsdException w:uiPriority="0" w:name="toa heading" w:locked="1"/>
    <w:lsdException w:qFormat="1" w:unhideWhenUsed="0" w:uiPriority="99" w:semiHidden="0" w:name="List" w:locked="1"/>
    <w:lsdException w:unhideWhenUsed="0" w:uiPriority="0" w:semiHidden="0" w:name="List Bullet" w:locked="1"/>
    <w:lsdException w:uiPriority="0" w:name="List Number" w:locked="1"/>
    <w:lsdException w:uiPriority="0" w:name="List 2" w:locked="1"/>
    <w:lsdException w:uiPriority="0" w:name="List 3" w:locked="1"/>
    <w:lsdException w:uiPriority="0" w:name="List 4" w:locked="1"/>
    <w:lsdException w:uiPriority="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iPriority="0" w:name="Closing" w:locked="1"/>
    <w:lsdException w:uiPriority="0" w:name="Signature" w:locked="1"/>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iPriority="0" w:name="Message Header" w:locked="1"/>
    <w:lsdException w:qFormat="1" w:unhideWhenUsed="0" w:uiPriority="0" w:semiHidden="0" w:name="Subtitle" w:locked="1"/>
    <w:lsdException w:uiPriority="0" w:name="Salutation" w:locked="1"/>
    <w:lsdException w:qFormat="1" w:unhideWhenUsed="0" w:uiPriority="0" w:semiHidden="0" w:name="Date"/>
    <w:lsdException w:qFormat="1" w:uiPriority="0" w:semiHidden="0" w:name="Body Text First Indent" w:locked="1"/>
    <w:lsdException w:qFormat="1" w:unhideWhenUsed="0" w:uiPriority="99" w:semiHidden="0" w:name="Body Text First Indent 2" w:locked="1"/>
    <w:lsdException w:uiPriority="0" w:name="Note Heading" w:locked="1"/>
    <w:lsdException w:uiPriority="0" w:name="Body Text 2" w:locked="1"/>
    <w:lsdException w:uiPriority="0" w:name="Body Text 3" w:locked="1"/>
    <w:lsdException w:qFormat="1" w:unhideWhenUsed="0" w:uiPriority="0" w:semiHidden="0" w:name="Body Text Indent 2" w:locked="1"/>
    <w:lsdException w:qFormat="1" w:unhideWhenUsed="0" w:uiPriority="0" w:semiHidden="0" w:name="Body Text Indent 3" w:locked="1"/>
    <w:lsdException w:uiPriority="0" w:name="Block Text" w:locked="1"/>
    <w:lsdException w:qFormat="1" w:uiPriority="99" w:semiHidden="0" w:name="Hyperlink" w:locked="1"/>
    <w:lsdException w:uiPriority="0" w:name="FollowedHyperlink" w:locked="1"/>
    <w:lsdException w:qFormat="1" w:unhideWhenUsed="0" w:uiPriority="22" w:semiHidden="0" w:name="Strong" w:locked="1"/>
    <w:lsdException w:qFormat="1" w:unhideWhenUsed="0" w:uiPriority="0" w:semiHidden="0" w:name="Emphasis" w:locked="1"/>
    <w:lsdException w:uiPriority="0" w:name="Document Map" w:locked="1"/>
    <w:lsdException w:qFormat="1" w:unhideWhenUsed="0" w:uiPriority="0" w:semiHidden="0" w:name="Plain Text" w:locked="1"/>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uiPriority="0" w:name="HTML Preformatted" w:locked="1"/>
    <w:lsdException w:uiPriority="0" w:name="HTML Sample" w:locked="1"/>
    <w:lsdException w:uiPriority="0" w:name="HTML Typewriter" w:locked="1"/>
    <w:lsdException w:uiPriority="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99"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qFormat/>
    <w:locked/>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locked/>
    <w:uiPriority w:val="0"/>
    <w:pPr>
      <w:spacing w:line="560" w:lineRule="exact"/>
      <w:ind w:firstLine="120" w:firstLineChars="50"/>
      <w:outlineLvl w:val="2"/>
    </w:pPr>
    <w:rPr>
      <w:b/>
      <w:bCs/>
      <w:color w:val="000000"/>
      <w:sz w:val="24"/>
    </w:rPr>
  </w:style>
  <w:style w:type="paragraph" w:styleId="5">
    <w:name w:val="heading 4"/>
    <w:basedOn w:val="1"/>
    <w:next w:val="1"/>
    <w:qFormat/>
    <w:locked/>
    <w:uiPriority w:val="0"/>
    <w:pPr>
      <w:keepNext/>
      <w:keepLines/>
      <w:spacing w:after="120" w:line="360" w:lineRule="auto"/>
      <w:ind w:firstLine="480" w:firstLineChars="200"/>
      <w:jc w:val="left"/>
      <w:outlineLvl w:val="3"/>
    </w:pPr>
    <w:rPr>
      <w:bCs/>
      <w:sz w:val="24"/>
      <w:szCs w:val="28"/>
      <w:u w:val="single"/>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locked/>
    <w:uiPriority w:val="0"/>
    <w:pPr>
      <w:adjustRightInd w:val="0"/>
      <w:spacing w:after="0" w:line="360" w:lineRule="auto"/>
      <w:ind w:firstLine="0" w:firstLineChars="0"/>
      <w:jc w:val="center"/>
    </w:pPr>
    <w:rPr>
      <w:rFonts w:eastAsia="黑体"/>
      <w:sz w:val="24"/>
      <w:szCs w:val="21"/>
    </w:rPr>
  </w:style>
  <w:style w:type="paragraph" w:styleId="7">
    <w:name w:val="Body Text First Indent 2"/>
    <w:basedOn w:val="8"/>
    <w:next w:val="1"/>
    <w:link w:val="56"/>
    <w:qFormat/>
    <w:locked/>
    <w:uiPriority w:val="99"/>
    <w:pPr>
      <w:ind w:firstLine="420" w:firstLineChars="200"/>
    </w:pPr>
    <w:rPr>
      <w:kern w:val="2"/>
      <w:sz w:val="21"/>
      <w:szCs w:val="24"/>
    </w:rPr>
  </w:style>
  <w:style w:type="paragraph" w:styleId="8">
    <w:name w:val="Body Text Indent"/>
    <w:basedOn w:val="1"/>
    <w:next w:val="9"/>
    <w:link w:val="53"/>
    <w:qFormat/>
    <w:uiPriority w:val="0"/>
    <w:pPr>
      <w:spacing w:after="120"/>
      <w:ind w:left="420" w:leftChars="200"/>
    </w:pPr>
    <w:rPr>
      <w:kern w:val="0"/>
      <w:sz w:val="24"/>
      <w:szCs w:val="20"/>
    </w:rPr>
  </w:style>
  <w:style w:type="paragraph" w:styleId="9">
    <w:name w:val="toc 3"/>
    <w:basedOn w:val="1"/>
    <w:next w:val="1"/>
    <w:unhideWhenUsed/>
    <w:qFormat/>
    <w:locked/>
    <w:uiPriority w:val="39"/>
    <w:pPr>
      <w:ind w:left="840" w:leftChars="400"/>
    </w:pPr>
  </w:style>
  <w:style w:type="paragraph" w:styleId="10">
    <w:name w:val="annotation text"/>
    <w:basedOn w:val="1"/>
    <w:link w:val="45"/>
    <w:semiHidden/>
    <w:qFormat/>
    <w:uiPriority w:val="0"/>
    <w:pPr>
      <w:jc w:val="left"/>
    </w:pPr>
    <w:rPr>
      <w:kern w:val="0"/>
      <w:sz w:val="24"/>
      <w:szCs w:val="20"/>
    </w:rPr>
  </w:style>
  <w:style w:type="paragraph" w:styleId="11">
    <w:name w:val="Body Text"/>
    <w:basedOn w:val="1"/>
    <w:link w:val="44"/>
    <w:qFormat/>
    <w:uiPriority w:val="0"/>
    <w:pPr>
      <w:widowControl/>
      <w:snapToGrid w:val="0"/>
      <w:spacing w:before="60" w:after="160" w:line="259" w:lineRule="auto"/>
      <w:ind w:right="113"/>
    </w:pPr>
    <w:rPr>
      <w:kern w:val="0"/>
      <w:sz w:val="18"/>
      <w:szCs w:val="20"/>
    </w:rPr>
  </w:style>
  <w:style w:type="paragraph" w:styleId="12">
    <w:name w:val="Plain Text"/>
    <w:basedOn w:val="1"/>
    <w:next w:val="1"/>
    <w:qFormat/>
    <w:locked/>
    <w:uiPriority w:val="0"/>
    <w:rPr>
      <w:rFonts w:ascii="宋体" w:hAnsi="Courier New"/>
      <w:szCs w:val="20"/>
    </w:rPr>
  </w:style>
  <w:style w:type="paragraph" w:styleId="13">
    <w:name w:val="Date"/>
    <w:basedOn w:val="1"/>
    <w:next w:val="1"/>
    <w:link w:val="40"/>
    <w:qFormat/>
    <w:uiPriority w:val="0"/>
    <w:pPr>
      <w:ind w:left="100" w:leftChars="2500"/>
    </w:pPr>
    <w:rPr>
      <w:kern w:val="0"/>
      <w:sz w:val="24"/>
      <w:szCs w:val="20"/>
    </w:rPr>
  </w:style>
  <w:style w:type="paragraph" w:styleId="14">
    <w:name w:val="Body Text Indent 2"/>
    <w:basedOn w:val="1"/>
    <w:next w:val="1"/>
    <w:qFormat/>
    <w:locked/>
    <w:uiPriority w:val="0"/>
    <w:pPr>
      <w:spacing w:after="120" w:line="480" w:lineRule="auto"/>
      <w:ind w:left="420" w:leftChars="200"/>
    </w:pPr>
  </w:style>
  <w:style w:type="paragraph" w:styleId="15">
    <w:name w:val="Balloon Text"/>
    <w:basedOn w:val="1"/>
    <w:link w:val="49"/>
    <w:semiHidden/>
    <w:qFormat/>
    <w:uiPriority w:val="0"/>
    <w:rPr>
      <w:kern w:val="0"/>
      <w:sz w:val="18"/>
      <w:szCs w:val="20"/>
    </w:rPr>
  </w:style>
  <w:style w:type="paragraph" w:styleId="16">
    <w:name w:val="footer"/>
    <w:basedOn w:val="1"/>
    <w:link w:val="39"/>
    <w:qFormat/>
    <w:uiPriority w:val="99"/>
    <w:pPr>
      <w:tabs>
        <w:tab w:val="center" w:pos="4153"/>
        <w:tab w:val="right" w:pos="8306"/>
      </w:tabs>
      <w:snapToGrid w:val="0"/>
      <w:jc w:val="left"/>
    </w:pPr>
    <w:rPr>
      <w:kern w:val="0"/>
      <w:sz w:val="18"/>
      <w:szCs w:val="20"/>
    </w:rPr>
  </w:style>
  <w:style w:type="paragraph" w:styleId="17">
    <w:name w:val="header"/>
    <w:basedOn w:val="1"/>
    <w:link w:val="51"/>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toc 1"/>
    <w:basedOn w:val="1"/>
    <w:next w:val="1"/>
    <w:qFormat/>
    <w:locked/>
    <w:uiPriority w:val="39"/>
  </w:style>
  <w:style w:type="paragraph" w:styleId="19">
    <w:name w:val="List"/>
    <w:basedOn w:val="1"/>
    <w:qFormat/>
    <w:locked/>
    <w:uiPriority w:val="99"/>
    <w:pPr>
      <w:ind w:left="200" w:hanging="200" w:hangingChars="200"/>
      <w:contextualSpacing/>
    </w:pPr>
    <w:rPr>
      <w:rFonts w:ascii="宋体" w:hAnsi="宋体"/>
      <w:szCs w:val="21"/>
    </w:rPr>
  </w:style>
  <w:style w:type="paragraph" w:styleId="20">
    <w:name w:val="Body Text Indent 3"/>
    <w:basedOn w:val="1"/>
    <w:link w:val="76"/>
    <w:qFormat/>
    <w:locked/>
    <w:uiPriority w:val="0"/>
    <w:pPr>
      <w:spacing w:after="120"/>
      <w:ind w:left="420" w:leftChars="200"/>
    </w:pPr>
    <w:rPr>
      <w:sz w:val="16"/>
      <w:szCs w:val="16"/>
    </w:rPr>
  </w:style>
  <w:style w:type="paragraph" w:styleId="21">
    <w:name w:val="Normal (Web)"/>
    <w:basedOn w:val="1"/>
    <w:link w:val="42"/>
    <w:qFormat/>
    <w:uiPriority w:val="0"/>
    <w:pPr>
      <w:widowControl/>
      <w:spacing w:before="100" w:beforeAutospacing="1" w:after="100" w:afterAutospacing="1"/>
      <w:jc w:val="left"/>
    </w:pPr>
    <w:rPr>
      <w:rFonts w:ascii="宋体" w:hAnsi="宋体"/>
      <w:kern w:val="0"/>
      <w:sz w:val="24"/>
      <w:szCs w:val="20"/>
    </w:rPr>
  </w:style>
  <w:style w:type="paragraph" w:styleId="22">
    <w:name w:val="annotation subject"/>
    <w:basedOn w:val="10"/>
    <w:next w:val="10"/>
    <w:link w:val="50"/>
    <w:semiHidden/>
    <w:qFormat/>
    <w:uiPriority w:val="0"/>
    <w:rPr>
      <w:b/>
    </w:rPr>
  </w:style>
  <w:style w:type="paragraph" w:styleId="23">
    <w:name w:val="Body Text First Indent"/>
    <w:basedOn w:val="11"/>
    <w:next w:val="1"/>
    <w:unhideWhenUsed/>
    <w:qFormat/>
    <w:locked/>
    <w:uiPriority w:val="0"/>
    <w:pPr>
      <w:ind w:firstLine="420" w:firstLineChars="100"/>
    </w:pPr>
  </w:style>
  <w:style w:type="table" w:styleId="25">
    <w:name w:val="Table Grid"/>
    <w:basedOn w:val="2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locked/>
    <w:uiPriority w:val="22"/>
    <w:rPr>
      <w:b/>
      <w:bCs/>
    </w:rPr>
  </w:style>
  <w:style w:type="character" w:styleId="28">
    <w:name w:val="page number"/>
    <w:basedOn w:val="26"/>
    <w:qFormat/>
    <w:locked/>
    <w:uiPriority w:val="0"/>
  </w:style>
  <w:style w:type="character" w:styleId="29">
    <w:name w:val="Emphasis"/>
    <w:basedOn w:val="26"/>
    <w:qFormat/>
    <w:locked/>
    <w:uiPriority w:val="0"/>
    <w:rPr>
      <w:i/>
    </w:rPr>
  </w:style>
  <w:style w:type="character" w:styleId="30">
    <w:name w:val="Hyperlink"/>
    <w:unhideWhenUsed/>
    <w:qFormat/>
    <w:locked/>
    <w:uiPriority w:val="99"/>
    <w:rPr>
      <w:color w:val="0563C1"/>
      <w:u w:val="single"/>
    </w:rPr>
  </w:style>
  <w:style w:type="character" w:styleId="31">
    <w:name w:val="annotation reference"/>
    <w:semiHidden/>
    <w:qFormat/>
    <w:uiPriority w:val="0"/>
    <w:rPr>
      <w:sz w:val="21"/>
    </w:rPr>
  </w:style>
  <w:style w:type="paragraph" w:customStyle="1" w:styleId="32">
    <w:name w:val="Default"/>
    <w:basedOn w:val="33"/>
    <w:qFormat/>
    <w:uiPriority w:val="0"/>
    <w:rPr>
      <w:rFonts w:cs="宋体"/>
      <w:color w:val="000000"/>
      <w:sz w:val="24"/>
    </w:rPr>
  </w:style>
  <w:style w:type="paragraph" w:customStyle="1" w:styleId="33">
    <w:name w:val="文本"/>
    <w:basedOn w:val="1"/>
    <w:next w:val="1"/>
    <w:qFormat/>
    <w:uiPriority w:val="0"/>
    <w:pPr>
      <w:autoSpaceDE w:val="0"/>
      <w:autoSpaceDN w:val="0"/>
      <w:ind w:firstLine="480"/>
    </w:pPr>
    <w:rPr>
      <w:rFonts w:cs="Times New Roman"/>
      <w:szCs w:val="24"/>
      <w:lang w:val="zh-CN"/>
    </w:rPr>
  </w:style>
  <w:style w:type="paragraph" w:customStyle="1" w:styleId="34">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样式 正文文本缩进 + 行距: 1.5 倍行距"/>
    <w:basedOn w:val="1"/>
    <w:qFormat/>
    <w:uiPriority w:val="0"/>
    <w:pPr>
      <w:spacing w:after="120" w:line="360" w:lineRule="auto"/>
      <w:ind w:left="90" w:leftChars="32" w:firstLine="560" w:firstLineChars="200"/>
    </w:pPr>
    <w:rPr>
      <w:rFonts w:cs="宋体"/>
    </w:rPr>
  </w:style>
  <w:style w:type="paragraph" w:customStyle="1" w:styleId="36">
    <w:name w:val="报告正文"/>
    <w:basedOn w:val="1"/>
    <w:qFormat/>
    <w:uiPriority w:val="0"/>
    <w:pPr>
      <w:adjustRightInd w:val="0"/>
      <w:snapToGrid w:val="0"/>
      <w:ind w:firstLine="200"/>
    </w:pPr>
    <w:rPr>
      <w:szCs w:val="20"/>
    </w:rPr>
  </w:style>
  <w:style w:type="paragraph" w:customStyle="1" w:styleId="37">
    <w:name w:val="xl27"/>
    <w:basedOn w:val="1"/>
    <w:next w:val="14"/>
    <w:qFormat/>
    <w:uiPriority w:val="0"/>
    <w:pPr>
      <w:widowControl/>
      <w:pBdr>
        <w:bottom w:val="single" w:color="auto" w:sz="12" w:space="0"/>
      </w:pBdr>
      <w:spacing w:before="100" w:after="100"/>
      <w:jc w:val="center"/>
    </w:pPr>
    <w:rPr>
      <w:rFonts w:ascii="宋体" w:hAnsi="宋体"/>
      <w:kern w:val="0"/>
      <w:szCs w:val="20"/>
    </w:rPr>
  </w:style>
  <w:style w:type="paragraph" w:customStyle="1" w:styleId="38">
    <w:name w:val="纯文本1"/>
    <w:basedOn w:val="1"/>
    <w:next w:val="12"/>
    <w:qFormat/>
    <w:uiPriority w:val="0"/>
    <w:pPr>
      <w:adjustRightInd w:val="0"/>
    </w:pPr>
    <w:rPr>
      <w:rFonts w:ascii="宋体" w:hAnsi="Courier New"/>
      <w:szCs w:val="20"/>
    </w:rPr>
  </w:style>
  <w:style w:type="character" w:customStyle="1" w:styleId="39">
    <w:name w:val="页脚 字符1"/>
    <w:link w:val="16"/>
    <w:qFormat/>
    <w:locked/>
    <w:uiPriority w:val="99"/>
    <w:rPr>
      <w:sz w:val="18"/>
    </w:rPr>
  </w:style>
  <w:style w:type="character" w:customStyle="1" w:styleId="40">
    <w:name w:val="日期 字符1"/>
    <w:link w:val="13"/>
    <w:qFormat/>
    <w:locked/>
    <w:uiPriority w:val="0"/>
    <w:rPr>
      <w:rFonts w:ascii="Times New Roman" w:hAnsi="Times New Roman" w:eastAsia="宋体"/>
      <w:sz w:val="24"/>
    </w:rPr>
  </w:style>
  <w:style w:type="character" w:customStyle="1" w:styleId="41">
    <w:name w:val="页脚 字符"/>
    <w:basedOn w:val="26"/>
    <w:qFormat/>
    <w:uiPriority w:val="99"/>
  </w:style>
  <w:style w:type="character" w:customStyle="1" w:styleId="42">
    <w:name w:val="普通(网站) 字符"/>
    <w:link w:val="21"/>
    <w:qFormat/>
    <w:locked/>
    <w:uiPriority w:val="0"/>
    <w:rPr>
      <w:rFonts w:ascii="宋体" w:hAnsi="宋体" w:eastAsia="宋体"/>
      <w:sz w:val="24"/>
    </w:rPr>
  </w:style>
  <w:style w:type="character" w:customStyle="1" w:styleId="43">
    <w:name w:val="正文文本 字符1"/>
    <w:semiHidden/>
    <w:qFormat/>
    <w:uiPriority w:val="0"/>
    <w:rPr>
      <w:rFonts w:ascii="Times New Roman" w:hAnsi="Times New Roman" w:eastAsia="宋体"/>
      <w:sz w:val="24"/>
    </w:rPr>
  </w:style>
  <w:style w:type="character" w:customStyle="1" w:styleId="44">
    <w:name w:val="正文文本 字符"/>
    <w:link w:val="11"/>
    <w:qFormat/>
    <w:locked/>
    <w:uiPriority w:val="0"/>
    <w:rPr>
      <w:sz w:val="18"/>
    </w:rPr>
  </w:style>
  <w:style w:type="character" w:customStyle="1" w:styleId="45">
    <w:name w:val="批注文字 字符"/>
    <w:link w:val="10"/>
    <w:qFormat/>
    <w:locked/>
    <w:uiPriority w:val="0"/>
    <w:rPr>
      <w:rFonts w:ascii="Times New Roman" w:hAnsi="Times New Roman" w:eastAsia="宋体"/>
      <w:sz w:val="24"/>
    </w:rPr>
  </w:style>
  <w:style w:type="character" w:customStyle="1" w:styleId="46">
    <w:name w:val="表格 Char"/>
    <w:link w:val="47"/>
    <w:qFormat/>
    <w:locked/>
    <w:uiPriority w:val="0"/>
    <w:rPr>
      <w:rFonts w:ascii="宋体"/>
      <w:sz w:val="21"/>
    </w:rPr>
  </w:style>
  <w:style w:type="paragraph" w:customStyle="1" w:styleId="47">
    <w:name w:val="表格"/>
    <w:basedOn w:val="19"/>
    <w:next w:val="1"/>
    <w:link w:val="46"/>
    <w:qFormat/>
    <w:uiPriority w:val="0"/>
    <w:pPr>
      <w:adjustRightInd w:val="0"/>
      <w:snapToGrid w:val="0"/>
      <w:spacing w:beforeLines="10" w:afterLines="10" w:line="259" w:lineRule="auto"/>
      <w:jc w:val="center"/>
    </w:pPr>
    <w:rPr>
      <w:kern w:val="0"/>
      <w:szCs w:val="20"/>
    </w:rPr>
  </w:style>
  <w:style w:type="character" w:customStyle="1" w:styleId="48">
    <w:name w:val="日期 字符"/>
    <w:semiHidden/>
    <w:qFormat/>
    <w:uiPriority w:val="0"/>
    <w:rPr>
      <w:rFonts w:ascii="Times New Roman" w:hAnsi="Times New Roman" w:eastAsia="宋体"/>
      <w:sz w:val="24"/>
    </w:rPr>
  </w:style>
  <w:style w:type="character" w:customStyle="1" w:styleId="49">
    <w:name w:val="批注框文本 字符"/>
    <w:link w:val="15"/>
    <w:semiHidden/>
    <w:qFormat/>
    <w:locked/>
    <w:uiPriority w:val="0"/>
    <w:rPr>
      <w:rFonts w:ascii="Times New Roman" w:hAnsi="Times New Roman" w:eastAsia="宋体"/>
      <w:sz w:val="18"/>
    </w:rPr>
  </w:style>
  <w:style w:type="character" w:customStyle="1" w:styleId="50">
    <w:name w:val="批注主题 字符"/>
    <w:link w:val="22"/>
    <w:semiHidden/>
    <w:qFormat/>
    <w:locked/>
    <w:uiPriority w:val="0"/>
    <w:rPr>
      <w:rFonts w:ascii="Times New Roman" w:hAnsi="Times New Roman" w:eastAsia="宋体"/>
      <w:b/>
      <w:kern w:val="2"/>
      <w:sz w:val="24"/>
    </w:rPr>
  </w:style>
  <w:style w:type="character" w:customStyle="1" w:styleId="51">
    <w:name w:val="页眉 字符"/>
    <w:link w:val="17"/>
    <w:qFormat/>
    <w:locked/>
    <w:uiPriority w:val="0"/>
    <w:rPr>
      <w:sz w:val="18"/>
    </w:rPr>
  </w:style>
  <w:style w:type="character" w:customStyle="1" w:styleId="52">
    <w:name w:val="批注文字 字符1"/>
    <w:semiHidden/>
    <w:qFormat/>
    <w:uiPriority w:val="0"/>
    <w:rPr>
      <w:rFonts w:ascii="Times New Roman" w:hAnsi="Times New Roman" w:eastAsia="宋体"/>
      <w:sz w:val="24"/>
    </w:rPr>
  </w:style>
  <w:style w:type="character" w:customStyle="1" w:styleId="53">
    <w:name w:val="正文文本缩进 字符"/>
    <w:link w:val="8"/>
    <w:semiHidden/>
    <w:qFormat/>
    <w:locked/>
    <w:uiPriority w:val="0"/>
    <w:rPr>
      <w:rFonts w:ascii="Times New Roman" w:hAnsi="Times New Roman" w:eastAsia="宋体"/>
      <w:sz w:val="24"/>
    </w:rPr>
  </w:style>
  <w:style w:type="paragraph" w:customStyle="1" w:styleId="54">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56">
    <w:name w:val="正文文本首行缩进 2 字符"/>
    <w:link w:val="7"/>
    <w:qFormat/>
    <w:uiPriority w:val="99"/>
    <w:rPr>
      <w:rFonts w:ascii="Times New Roman" w:hAnsi="Times New Roman" w:eastAsia="宋体"/>
      <w:kern w:val="2"/>
      <w:sz w:val="21"/>
      <w:szCs w:val="24"/>
    </w:rPr>
  </w:style>
  <w:style w:type="paragraph" w:customStyle="1" w:styleId="57">
    <w:name w:val="TOC 标题1"/>
    <w:basedOn w:val="2"/>
    <w:next w:val="1"/>
    <w:unhideWhenUsed/>
    <w:qFormat/>
    <w:uiPriority w:val="39"/>
    <w:pPr>
      <w:keepLines/>
      <w:widowControl/>
      <w:overflowPunct/>
      <w:snapToGrid/>
      <w:spacing w:before="240" w:after="0"/>
      <w:ind w:left="0" w:firstLine="0"/>
      <w:jc w:val="left"/>
      <w:outlineLvl w:val="9"/>
    </w:pPr>
    <w:rPr>
      <w:rFonts w:ascii="等线 Light" w:hAnsi="等线 Light" w:eastAsia="等线 Light"/>
      <w:b w:val="0"/>
      <w:bCs w:val="0"/>
      <w:color w:val="2E74B5"/>
      <w:kern w:val="0"/>
      <w:sz w:val="32"/>
      <w:szCs w:val="32"/>
    </w:rPr>
  </w:style>
  <w:style w:type="paragraph" w:styleId="58">
    <w:name w:val="List Paragraph"/>
    <w:basedOn w:val="1"/>
    <w:qFormat/>
    <w:uiPriority w:val="34"/>
    <w:pPr>
      <w:ind w:firstLine="420" w:firstLineChars="200"/>
    </w:pPr>
  </w:style>
  <w:style w:type="table" w:customStyle="1" w:styleId="59">
    <w:name w:val="网格型1"/>
    <w:basedOn w:val="24"/>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0">
    <w:name w:val="lh-正文-报告书"/>
    <w:qFormat/>
    <w:uiPriority w:val="0"/>
    <w:pPr>
      <w:widowControl w:val="0"/>
      <w:spacing w:line="360" w:lineRule="auto"/>
      <w:ind w:firstLine="200" w:firstLineChars="200"/>
      <w:jc w:val="both"/>
    </w:pPr>
    <w:rPr>
      <w:rFonts w:ascii="Times New Roman" w:hAnsi="Times New Roman" w:eastAsia="宋体" w:cs="Times New Roman"/>
      <w:snapToGrid w:val="0"/>
      <w:position w:val="-6"/>
      <w:sz w:val="24"/>
      <w:lang w:val="en-US" w:eastAsia="zh-CN" w:bidi="ar-SA"/>
    </w:rPr>
  </w:style>
  <w:style w:type="paragraph" w:customStyle="1" w:styleId="61">
    <w:name w:val="lh-正文-报告表"/>
    <w:basedOn w:val="1"/>
    <w:qFormat/>
    <w:uiPriority w:val="0"/>
    <w:pPr>
      <w:spacing w:line="360" w:lineRule="auto"/>
      <w:ind w:firstLine="480" w:firstLineChars="200"/>
    </w:pPr>
    <w:rPr>
      <w:kern w:val="0"/>
      <w:sz w:val="24"/>
      <w:szCs w:val="21"/>
    </w:rPr>
  </w:style>
  <w:style w:type="paragraph" w:customStyle="1" w:styleId="62">
    <w:name w:val="lh-表格文字-报告书"/>
    <w:qFormat/>
    <w:uiPriority w:val="0"/>
    <w:pPr>
      <w:jc w:val="center"/>
    </w:pPr>
    <w:rPr>
      <w:rFonts w:ascii="Times New Roman" w:hAnsi="Times New Roman" w:eastAsia="宋体" w:cs="Times New Roman"/>
      <w:snapToGrid w:val="0"/>
      <w:sz w:val="21"/>
      <w:szCs w:val="24"/>
      <w:lang w:val="en-US" w:eastAsia="zh-CN" w:bidi="ar-SA"/>
    </w:rPr>
  </w:style>
  <w:style w:type="paragraph" w:customStyle="1" w:styleId="63">
    <w:name w:val="lh-1级标题--报告表"/>
    <w:next w:val="1"/>
    <w:qFormat/>
    <w:uiPriority w:val="0"/>
    <w:pPr>
      <w:keepNext/>
      <w:pageBreakBefore/>
      <w:numPr>
        <w:ilvl w:val="0"/>
        <w:numId w:val="1"/>
      </w:numPr>
      <w:spacing w:line="360" w:lineRule="auto"/>
      <w:outlineLvl w:val="0"/>
    </w:pPr>
    <w:rPr>
      <w:rFonts w:ascii="Times New Roman" w:hAnsi="Times New Roman" w:eastAsia="黑体" w:cs="Times New Roman"/>
      <w:bCs/>
      <w:snapToGrid w:val="0"/>
      <w:sz w:val="24"/>
      <w:szCs w:val="44"/>
      <w:lang w:val="en-US" w:eastAsia="zh-CN" w:bidi="ar-SA"/>
    </w:rPr>
  </w:style>
  <w:style w:type="paragraph" w:customStyle="1" w:styleId="64">
    <w:name w:val="Table Paragraph"/>
    <w:basedOn w:val="1"/>
    <w:qFormat/>
    <w:uiPriority w:val="1"/>
    <w:pPr>
      <w:jc w:val="left"/>
    </w:pPr>
    <w:rPr>
      <w:rFonts w:ascii="Calibri" w:hAnsi="Calibri" w:cs="Arial"/>
      <w:kern w:val="0"/>
      <w:sz w:val="22"/>
      <w:szCs w:val="22"/>
      <w:lang w:eastAsia="en-US"/>
    </w:rPr>
  </w:style>
  <w:style w:type="paragraph" w:customStyle="1" w:styleId="65">
    <w:name w:val="表格内格式-lxc"/>
    <w:basedOn w:val="1"/>
    <w:qFormat/>
    <w:uiPriority w:val="0"/>
    <w:pPr>
      <w:adjustRightInd w:val="0"/>
      <w:snapToGrid w:val="0"/>
      <w:jc w:val="center"/>
    </w:pPr>
    <w:rPr>
      <w:sz w:val="18"/>
      <w:szCs w:val="21"/>
    </w:rPr>
  </w:style>
  <w:style w:type="table" w:customStyle="1" w:styleId="66">
    <w:name w:val="Table Normal"/>
    <w:unhideWhenUsed/>
    <w:qFormat/>
    <w:uiPriority w:val="0"/>
    <w:tblPr>
      <w:tblCellMar>
        <w:top w:w="0" w:type="dxa"/>
        <w:left w:w="0" w:type="dxa"/>
        <w:bottom w:w="0" w:type="dxa"/>
        <w:right w:w="0" w:type="dxa"/>
      </w:tblCellMar>
    </w:tblPr>
  </w:style>
  <w:style w:type="paragraph" w:customStyle="1" w:styleId="67">
    <w:name w:val="正文1"/>
    <w:qFormat/>
    <w:uiPriority w:val="0"/>
    <w:pPr>
      <w:spacing w:line="560" w:lineRule="exact"/>
      <w:ind w:firstLine="200" w:firstLineChars="200"/>
      <w:jc w:val="both"/>
    </w:pPr>
    <w:rPr>
      <w:rFonts w:ascii="Times New Roman" w:hAnsi="Times New Roman" w:eastAsia="宋体" w:cs="宋体"/>
      <w:color w:val="000000"/>
      <w:kern w:val="2"/>
      <w:sz w:val="24"/>
      <w:lang w:val="en-US" w:eastAsia="zh-CN" w:bidi="ar-SA"/>
    </w:rPr>
  </w:style>
  <w:style w:type="paragraph" w:customStyle="1" w:styleId="68">
    <w:name w:val="表字居中"/>
    <w:basedOn w:val="1"/>
    <w:qFormat/>
    <w:uiPriority w:val="0"/>
    <w:pPr>
      <w:jc w:val="center"/>
    </w:pPr>
    <w:rPr>
      <w:rFonts w:ascii="Verdana" w:hAnsi="Verdana"/>
    </w:rPr>
  </w:style>
  <w:style w:type="paragraph" w:customStyle="1" w:styleId="69">
    <w:name w:val="UserStyle_0"/>
    <w:basedOn w:val="1"/>
    <w:qFormat/>
    <w:uiPriority w:val="0"/>
    <w:pPr>
      <w:snapToGrid w:val="0"/>
      <w:spacing w:line="480" w:lineRule="exact"/>
    </w:pPr>
    <w:rPr>
      <w:sz w:val="24"/>
      <w:szCs w:val="22"/>
    </w:rPr>
  </w:style>
  <w:style w:type="table" w:customStyle="1" w:styleId="70">
    <w:name w:val="网格型2"/>
    <w:basedOn w:val="24"/>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1">
    <w:name w:val="表格文字"/>
    <w:basedOn w:val="23"/>
    <w:next w:val="1"/>
    <w:link w:val="75"/>
    <w:qFormat/>
    <w:uiPriority w:val="99"/>
    <w:pPr>
      <w:jc w:val="center"/>
    </w:pPr>
    <w:rPr>
      <w:rFonts w:ascii="宋体" w:hAnsi="宋体"/>
      <w:color w:val="000000"/>
      <w:sz w:val="24"/>
      <w:szCs w:val="21"/>
    </w:rPr>
  </w:style>
  <w:style w:type="paragraph" w:customStyle="1" w:styleId="72">
    <w:name w:val="报告表二级标题"/>
    <w:qFormat/>
    <w:uiPriority w:val="0"/>
    <w:pPr>
      <w:spacing w:line="360" w:lineRule="auto"/>
      <w:outlineLvl w:val="1"/>
    </w:pPr>
    <w:rPr>
      <w:rFonts w:ascii="宋体" w:hAnsi="宋体" w:eastAsia="宋体" w:cs="Times New Roman"/>
      <w:b/>
      <w:kern w:val="2"/>
      <w:sz w:val="28"/>
      <w:szCs w:val="28"/>
      <w:lang w:val="en-US" w:eastAsia="zh-CN" w:bidi="ar-SA"/>
    </w:rPr>
  </w:style>
  <w:style w:type="paragraph" w:customStyle="1" w:styleId="73">
    <w:name w:val="报告表正文"/>
    <w:basedOn w:val="1"/>
    <w:qFormat/>
    <w:uiPriority w:val="0"/>
    <w:pPr>
      <w:adjustRightInd w:val="0"/>
      <w:spacing w:line="312" w:lineRule="auto"/>
      <w:ind w:left="113" w:right="113" w:firstLine="482"/>
      <w:jc w:val="left"/>
      <w:textAlignment w:val="baseline"/>
    </w:pPr>
    <w:rPr>
      <w:kern w:val="0"/>
      <w:sz w:val="24"/>
      <w:szCs w:val="20"/>
    </w:rPr>
  </w:style>
  <w:style w:type="paragraph" w:customStyle="1" w:styleId="74">
    <w:name w:val="xl25"/>
    <w:basedOn w:val="1"/>
    <w:qFormat/>
    <w:uiPriority w:val="0"/>
    <w:pPr>
      <w:widowControl/>
      <w:spacing w:before="100" w:beforeAutospacing="1" w:after="100" w:afterAutospacing="1"/>
      <w:jc w:val="center"/>
    </w:pPr>
    <w:rPr>
      <w:rFonts w:ascii="Calibri" w:hAnsi="Calibri"/>
      <w:kern w:val="0"/>
      <w:szCs w:val="20"/>
    </w:rPr>
  </w:style>
  <w:style w:type="character" w:customStyle="1" w:styleId="75">
    <w:name w:val="表格文字 Char"/>
    <w:basedOn w:val="26"/>
    <w:link w:val="71"/>
    <w:qFormat/>
    <w:uiPriority w:val="99"/>
    <w:rPr>
      <w:rFonts w:ascii="宋体" w:hAnsi="宋体"/>
      <w:color w:val="000000"/>
      <w:sz w:val="24"/>
      <w:szCs w:val="21"/>
    </w:rPr>
  </w:style>
  <w:style w:type="character" w:customStyle="1" w:styleId="76">
    <w:name w:val="正文文本缩进 3 字符"/>
    <w:basedOn w:val="26"/>
    <w:link w:val="20"/>
    <w:qFormat/>
    <w:uiPriority w:val="0"/>
    <w:rPr>
      <w:kern w:val="2"/>
      <w:sz w:val="16"/>
      <w:szCs w:val="16"/>
    </w:rPr>
  </w:style>
  <w:style w:type="paragraph" w:customStyle="1" w:styleId="77">
    <w:name w:val="正文_14"/>
    <w:qFormat/>
    <w:uiPriority w:val="0"/>
    <w:pPr>
      <w:widowControl w:val="0"/>
      <w:jc w:val="both"/>
    </w:pPr>
    <w:rPr>
      <w:rFonts w:ascii="Calibri" w:hAnsi="Calibri" w:eastAsia="宋体" w:cs="Times New Roman"/>
      <w:kern w:val="2"/>
      <w:sz w:val="21"/>
      <w:lang w:val="en-US" w:eastAsia="zh-CN" w:bidi="ar-SA"/>
    </w:rPr>
  </w:style>
  <w:style w:type="character" w:customStyle="1" w:styleId="78">
    <w:name w:val="content-right_8zs40"/>
    <w:basedOn w:val="26"/>
    <w:qFormat/>
    <w:uiPriority w:val="0"/>
  </w:style>
  <w:style w:type="paragraph" w:customStyle="1" w:styleId="79">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80">
    <w:name w:val="11正文"/>
    <w:qFormat/>
    <w:uiPriority w:val="0"/>
    <w:pPr>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81">
    <w:name w:val="font01"/>
    <w:basedOn w:val="26"/>
    <w:qFormat/>
    <w:uiPriority w:val="0"/>
    <w:rPr>
      <w:rFonts w:hint="eastAsia" w:ascii="宋体" w:hAnsi="宋体" w:eastAsia="宋体" w:cs="宋体"/>
      <w:color w:val="000000"/>
      <w:sz w:val="22"/>
      <w:szCs w:val="22"/>
      <w:u w:val="none"/>
    </w:rPr>
  </w:style>
  <w:style w:type="paragraph" w:customStyle="1" w:styleId="82">
    <w:name w:val="表文字"/>
    <w:basedOn w:val="11"/>
    <w:next w:val="1"/>
    <w:qFormat/>
    <w:uiPriority w:val="0"/>
    <w:pPr>
      <w:spacing w:line="240" w:lineRule="auto"/>
      <w:jc w:val="center"/>
    </w:pPr>
    <w:rPr>
      <w:sz w:val="21"/>
      <w:szCs w:val="21"/>
    </w:rPr>
  </w:style>
  <w:style w:type="paragraph" w:customStyle="1" w:styleId="83">
    <w:name w:val="表头"/>
    <w:basedOn w:val="82"/>
    <w:next w:val="1"/>
    <w:qFormat/>
    <w:uiPriority w:val="0"/>
    <w:rPr>
      <w:b/>
    </w:rPr>
  </w:style>
  <w:style w:type="paragraph" w:customStyle="1" w:styleId="84">
    <w:name w:val="新格式表"/>
    <w:basedOn w:val="1"/>
    <w:qFormat/>
    <w:uiPriority w:val="0"/>
    <w:pPr>
      <w:adjustRightInd w:val="0"/>
      <w:snapToGrid w:val="0"/>
      <w:spacing w:line="0" w:lineRule="atLeast"/>
      <w:jc w:val="center"/>
    </w:pPr>
    <w:rPr>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wmf"/><Relationship Id="rId16" Type="http://schemas.openxmlformats.org/officeDocument/2006/relationships/image" Target="media/image6.wmf"/><Relationship Id="rId15" Type="http://schemas.openxmlformats.org/officeDocument/2006/relationships/image" Target="media/image5.wmf"/><Relationship Id="rId14" Type="http://schemas.openxmlformats.org/officeDocument/2006/relationships/oleObject" Target="embeddings/oleObject1.bin"/><Relationship Id="rId13" Type="http://schemas.openxmlformats.org/officeDocument/2006/relationships/image" Target="media/image4.wmf"/><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3" textRotate="1"/>
    <customShpInfo spid="_x0000_s3074" textRotate="1"/>
    <customShpInfo spid="_x0000_s3075" textRotate="1"/>
    <customShpInfo spid="_x0000_s3076" textRotate="1"/>
    <customShpInfo spid="_x0000_s3077" textRotate="1"/>
    <customShpInfo spid="_x0000_s2155"/>
    <customShpInfo spid="_x0000_s2156"/>
    <customShpInfo spid="_x0000_s2050"/>
    <customShpInfo spid="_x0000_s2051"/>
    <customShpInfo spid="_x0000_s2052"/>
    <customShpInfo spid="_x0000_s2053"/>
    <customShpInfo spid="_x0000_s2054"/>
    <customShpInfo spid="_x0000_s2055"/>
    <customShpInfo spid="_x0000_s205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48D223-BFF1-4C2D-BDFB-D3990835C629}">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91</Pages>
  <Words>1608</Words>
  <Characters>1747</Characters>
  <Lines>239</Lines>
  <Paragraphs>67</Paragraphs>
  <TotalTime>63</TotalTime>
  <ScaleCrop>false</ScaleCrop>
  <LinksUpToDate>false</LinksUpToDate>
  <CharactersWithSpaces>1831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2021-07-12T07:56:00Z</dcterms:created>
  <dc:creator>lhj</dc:creator>
  <cp:lastModifiedBy>WPS_1684057384</cp:lastModifiedBy>
  <cp:lastPrinted>2026-05-28T02:27:00Z</cp:lastPrinted>
  <dcterms:modified xsi:type="dcterms:W3CDTF">2026-08-24T03:19:38Z</dcterms:modified>
  <dc:title>附件2</dc:title>
  <cp:revision>1977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1F733E33D3D342CCA3510DDE05D05B36</vt:lpwstr>
  </property>
  <property fmtid="{D5CDD505-2E9C-101B-9397-08002B2CF9AE}" pid="4" name="KSOTemplateDocerSaveRecord">
    <vt:lpwstr>eyJoZGlkIjoiMmIzYmQ5YmFlODdmMzNhODE3NGZmM2UwZDJkZjk1ZGMiLCJ1c2VySWQiOiIxNDkzNjk1NDI5In0=</vt:lpwstr>
  </property>
</Properties>
</file>