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E4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napToGrid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color w:val="000000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color w:val="000000"/>
          <w:kern w:val="0"/>
          <w:sz w:val="32"/>
          <w:szCs w:val="32"/>
          <w:highlight w:val="none"/>
          <w:lang w:val="en-US" w:eastAsia="zh-CN"/>
        </w:rPr>
        <w:t>1</w:t>
      </w:r>
    </w:p>
    <w:p w14:paraId="18F00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napToGrid/>
          <w:color w:val="00000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36"/>
          <w:szCs w:val="36"/>
          <w:highlight w:val="none"/>
          <w:lang w:eastAsia="zh-CN"/>
        </w:rPr>
        <w:t>年度岳阳市岳阳楼区经济研究中心</w:t>
      </w:r>
    </w:p>
    <w:p w14:paraId="25925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24"/>
          <w:szCs w:val="2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36"/>
          <w:szCs w:val="36"/>
          <w:highlight w:val="none"/>
          <w:lang w:eastAsia="zh-CN"/>
        </w:rPr>
        <w:t>整体支出绩效评价基础数据表</w:t>
      </w:r>
    </w:p>
    <w:tbl>
      <w:tblPr>
        <w:tblStyle w:val="7"/>
        <w:tblW w:w="99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052"/>
        <w:gridCol w:w="1041"/>
        <w:gridCol w:w="904"/>
        <w:gridCol w:w="1193"/>
        <w:gridCol w:w="1065"/>
        <w:gridCol w:w="1315"/>
      </w:tblGrid>
      <w:tr w14:paraId="0D37D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D2C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财政供养人员情况（人）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C09B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编制数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BCF2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年实际在职人数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E96F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控制率</w:t>
            </w:r>
          </w:p>
        </w:tc>
      </w:tr>
      <w:tr w14:paraId="069B7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2E59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9067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napToGrid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C2F1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snapToGrid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9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9406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100.00%</w:t>
            </w:r>
          </w:p>
        </w:tc>
      </w:tr>
      <w:tr w14:paraId="7354F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63BC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经费控制情况（万元）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6521D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61C35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年预算数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B4859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年决算数</w:t>
            </w:r>
          </w:p>
        </w:tc>
      </w:tr>
      <w:tr w14:paraId="2F920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A786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“三公”经费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57965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85A2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D8D79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</w:tr>
      <w:tr w14:paraId="1B55A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E8A5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 xml:space="preserve">   1、公务用车购置和维护经费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CFB99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B123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E1197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</w:tr>
      <w:tr w14:paraId="337B7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71D7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 xml:space="preserve">       其中：公车购置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7A5C7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6626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DC95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65FC2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9F9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 xml:space="preserve">             公车运行维护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C9B6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1F45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445EB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33FDD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4D01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 xml:space="preserve">   2、出国经费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8B17C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A0EB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F110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0C526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76CFC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 xml:space="preserve">   3、公务接待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26A98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7740D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B46D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</w:tr>
      <w:tr w14:paraId="46C37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64A0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项目支出：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CA345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13.54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E7F7E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13.00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06868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27.89</w:t>
            </w:r>
          </w:p>
        </w:tc>
      </w:tr>
      <w:tr w14:paraId="1ADC3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B615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1、</w:t>
            </w: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业务工作经费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F7C82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13.54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92202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13.00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5DBB4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27.89</w:t>
            </w:r>
          </w:p>
        </w:tc>
      </w:tr>
      <w:tr w14:paraId="0DFD6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AD15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napToGrid/>
                <w:color w:val="000000"/>
                <w:kern w:val="2"/>
                <w:sz w:val="20"/>
                <w:szCs w:val="20"/>
                <w:highlight w:val="none"/>
                <w:lang w:eastAsia="zh-CN"/>
              </w:rPr>
              <w:t>运行维护经费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C35A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FF81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2B3A1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1E3CB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295AE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3、省级专项资金（一个专项一行）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CE24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419DE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A356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3BD6B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2A60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公用经费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09E1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18.60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5DAA6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16.20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40EEF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18.32</w:t>
            </w:r>
          </w:p>
        </w:tc>
      </w:tr>
      <w:tr w14:paraId="42833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E545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 xml:space="preserve">    其中：办公经费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B4586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17.63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35391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16.2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1A85D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18.28</w:t>
            </w:r>
          </w:p>
        </w:tc>
      </w:tr>
      <w:tr w14:paraId="24F14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8E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 xml:space="preserve">          水费、电费、差旅费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28648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5FA7F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F5F61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</w:tr>
      <w:tr w14:paraId="39A92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E772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 xml:space="preserve">          会议费、培训费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FD53BA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A1C291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95BCD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</w:tr>
      <w:tr w14:paraId="698A0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A01B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政府采购金额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F2EF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40.85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D3299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16.12</w:t>
            </w: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0A36A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33.29</w:t>
            </w:r>
          </w:p>
        </w:tc>
      </w:tr>
      <w:tr w14:paraId="701C9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00E9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部门基本支出预算调整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3209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2D104C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B7233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335D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6A75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楼堂馆所控制情况</w:t>
            </w:r>
          </w:p>
          <w:p w14:paraId="27F70CC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（202</w:t>
            </w: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年完工项目）</w:t>
            </w: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C890A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批复规模</w:t>
            </w:r>
          </w:p>
          <w:p w14:paraId="457C80C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（㎡）</w:t>
            </w:r>
          </w:p>
        </w:tc>
        <w:tc>
          <w:tcPr>
            <w:tcW w:w="10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307F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实际规模（㎡）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EC8B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规模控制率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DECD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预算投资（万元）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C5A98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实际投资（万元）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5FD9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投资概算控制率</w:t>
            </w:r>
          </w:p>
        </w:tc>
      </w:tr>
      <w:tr w14:paraId="1CAE3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67415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7F2CD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F2476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4CBB1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19C44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3D03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3C83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</w:tr>
      <w:tr w14:paraId="218A7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4145F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厉行节约保障措施</w:t>
            </w:r>
          </w:p>
        </w:tc>
        <w:tc>
          <w:tcPr>
            <w:tcW w:w="65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2B002B">
            <w:pPr>
              <w:widowControl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从严控制“三公”经费，提倡节俭，倡导环保节能。</w:t>
            </w:r>
          </w:p>
        </w:tc>
      </w:tr>
    </w:tbl>
    <w:p w14:paraId="4B9AFC24">
      <w:pPr>
        <w:widowControl/>
        <w:kinsoku/>
        <w:autoSpaceDE/>
        <w:autoSpaceDN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napToGrid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napToGrid/>
          <w:color w:val="000000"/>
          <w:kern w:val="0"/>
          <w:sz w:val="22"/>
          <w:szCs w:val="24"/>
          <w:highlight w:val="none"/>
          <w:lang w:eastAsia="zh-CN"/>
        </w:rPr>
        <w:t>填表人：</w:t>
      </w:r>
      <w:r>
        <w:rPr>
          <w:rFonts w:hint="eastAsia" w:ascii="仿宋" w:hAnsi="仿宋" w:eastAsia="仿宋" w:cs="仿宋"/>
          <w:snapToGrid/>
          <w:color w:val="000000"/>
          <w:kern w:val="0"/>
          <w:sz w:val="22"/>
          <w:szCs w:val="24"/>
          <w:highlight w:val="non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napToGrid/>
          <w:color w:val="000000"/>
          <w:kern w:val="0"/>
          <w:sz w:val="22"/>
          <w:szCs w:val="24"/>
          <w:highlight w:val="none"/>
          <w:lang w:eastAsia="zh-CN"/>
        </w:rPr>
        <w:t xml:space="preserve"> 填报日期：</w:t>
      </w:r>
      <w:r>
        <w:rPr>
          <w:rFonts w:hint="eastAsia" w:ascii="仿宋" w:hAnsi="仿宋" w:eastAsia="仿宋" w:cs="仿宋"/>
          <w:snapToGrid/>
          <w:color w:val="000000"/>
          <w:kern w:val="0"/>
          <w:sz w:val="22"/>
          <w:szCs w:val="24"/>
          <w:highlight w:val="non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napToGrid/>
          <w:color w:val="000000"/>
          <w:kern w:val="0"/>
          <w:sz w:val="22"/>
          <w:szCs w:val="24"/>
          <w:highlight w:val="none"/>
          <w:lang w:eastAsia="zh-CN"/>
        </w:rPr>
        <w:t xml:space="preserve"> 联系电话： </w:t>
      </w:r>
      <w:r>
        <w:rPr>
          <w:rFonts w:hint="eastAsia" w:ascii="仿宋" w:hAnsi="仿宋" w:eastAsia="仿宋" w:cs="仿宋"/>
          <w:snapToGrid/>
          <w:color w:val="000000"/>
          <w:kern w:val="0"/>
          <w:sz w:val="22"/>
          <w:szCs w:val="24"/>
          <w:highlight w:val="non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napToGrid/>
          <w:color w:val="000000"/>
          <w:kern w:val="0"/>
          <w:sz w:val="22"/>
          <w:szCs w:val="24"/>
          <w:highlight w:val="none"/>
          <w:lang w:eastAsia="zh-CN"/>
        </w:rPr>
        <w:t>单位负责人签字：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2"/>
          <w:szCs w:val="24"/>
          <w:highlight w:val="none"/>
          <w:lang w:eastAsia="zh-CN"/>
        </w:rPr>
        <w:br w:type="page"/>
      </w:r>
      <w:r>
        <w:rPr>
          <w:rFonts w:hint="eastAsia" w:ascii="黑体" w:hAnsi="黑体" w:eastAsia="黑体" w:cs="黑体"/>
          <w:snapToGrid/>
          <w:color w:val="000000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color w:val="000000"/>
          <w:kern w:val="0"/>
          <w:sz w:val="32"/>
          <w:szCs w:val="32"/>
          <w:highlight w:val="none"/>
          <w:lang w:val="en-US" w:eastAsia="zh-CN"/>
        </w:rPr>
        <w:t>2</w:t>
      </w:r>
    </w:p>
    <w:p w14:paraId="4893D2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napToGrid/>
          <w:color w:val="00000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36"/>
          <w:szCs w:val="36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36"/>
          <w:szCs w:val="36"/>
          <w:highlight w:val="none"/>
          <w:lang w:eastAsia="zh-CN"/>
        </w:rPr>
        <w:t>年度岳阳市岳阳楼区经济研究中心</w:t>
      </w:r>
    </w:p>
    <w:p w14:paraId="4CD3F2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36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36"/>
          <w:szCs w:val="36"/>
          <w:highlight w:val="none"/>
          <w:lang w:eastAsia="zh-CN"/>
        </w:rPr>
        <w:t>整体支出绩效自评表</w:t>
      </w:r>
    </w:p>
    <w:tbl>
      <w:tblPr>
        <w:tblStyle w:val="7"/>
        <w:tblW w:w="1019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983"/>
        <w:gridCol w:w="1209"/>
        <w:gridCol w:w="1899"/>
        <w:gridCol w:w="1117"/>
        <w:gridCol w:w="1200"/>
        <w:gridCol w:w="625"/>
        <w:gridCol w:w="817"/>
        <w:gridCol w:w="1359"/>
      </w:tblGrid>
      <w:tr w14:paraId="61A1D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8CAF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名称</w:t>
            </w:r>
          </w:p>
        </w:tc>
        <w:tc>
          <w:tcPr>
            <w:tcW w:w="920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06C0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/>
              </w:rPr>
              <w:t>岳阳市岳阳楼区经济研究中心</w:t>
            </w:r>
          </w:p>
        </w:tc>
      </w:tr>
      <w:tr w14:paraId="2A7E2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98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B619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年度预</w:t>
            </w:r>
          </w:p>
          <w:p w14:paraId="33D8A45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算申请</w:t>
            </w:r>
          </w:p>
          <w:p w14:paraId="6A42C37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（万元）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12C8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F2C3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年初预算数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5B10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全年预算数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D3FA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全年执行数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3FFF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7295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执行率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6A48B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得分</w:t>
            </w:r>
          </w:p>
        </w:tc>
      </w:tr>
      <w:tr w14:paraId="4B307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984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3EDD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9A136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年度资金总额</w:t>
            </w: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24838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127.32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E38C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155.80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BEFD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152.27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61FB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5BB32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97.73%</w:t>
            </w:r>
          </w:p>
        </w:tc>
        <w:tc>
          <w:tcPr>
            <w:tcW w:w="1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C9DCE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9.77</w:t>
            </w:r>
          </w:p>
        </w:tc>
      </w:tr>
      <w:tr w14:paraId="670FF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201F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52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16EC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按收入性质分：</w:t>
            </w:r>
          </w:p>
        </w:tc>
        <w:tc>
          <w:tcPr>
            <w:tcW w:w="40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A663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按支出性质分：</w:t>
            </w:r>
          </w:p>
        </w:tc>
      </w:tr>
      <w:tr w14:paraId="0CC6C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0824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52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5665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 xml:space="preserve">  其中：  一般公共预算：</w:t>
            </w: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152.18</w:t>
            </w:r>
          </w:p>
        </w:tc>
        <w:tc>
          <w:tcPr>
            <w:tcW w:w="40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BA7E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其中：基本支出：</w:t>
            </w: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124.38</w:t>
            </w:r>
          </w:p>
        </w:tc>
      </w:tr>
      <w:tr w14:paraId="4470A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5F07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52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E36A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720" w:firstLineChars="4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政府性基金拨款：</w:t>
            </w: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40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1284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540" w:firstLineChars="3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项目支出：</w:t>
            </w: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27.89</w:t>
            </w:r>
          </w:p>
        </w:tc>
      </w:tr>
      <w:tr w14:paraId="5A1C0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6A32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52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ACF0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纳入专户管理的非税收入拨款：</w:t>
            </w: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  <w:tc>
          <w:tcPr>
            <w:tcW w:w="40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3FF28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0BD48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C591D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52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753B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ind w:firstLine="1260" w:firstLineChars="70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其他资金：</w:t>
            </w:r>
            <w:r>
              <w:rPr>
                <w:rFonts w:hint="eastAsia" w:ascii="仿宋" w:hAnsi="仿宋" w:eastAsia="仿宋" w:cs="仿宋"/>
                <w:snapToGrid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0.09</w:t>
            </w:r>
          </w:p>
        </w:tc>
        <w:tc>
          <w:tcPr>
            <w:tcW w:w="400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C5E1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42C54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017431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年度总体目标</w:t>
            </w:r>
          </w:p>
        </w:tc>
        <w:tc>
          <w:tcPr>
            <w:tcW w:w="52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03047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预期目标</w:t>
            </w:r>
          </w:p>
        </w:tc>
        <w:tc>
          <w:tcPr>
            <w:tcW w:w="40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CB03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实际完成情况　</w:t>
            </w:r>
          </w:p>
        </w:tc>
      </w:tr>
      <w:tr w14:paraId="7E701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F1BD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52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F97CFA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1、按照区人民政府的指示和确定的重点课题，开展调查研究。</w:t>
            </w:r>
          </w:p>
          <w:p w14:paraId="016B177A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2、起草《政府工作报告》和撰写区人民政府的重要文件、主要领导讲话等文稿。</w:t>
            </w:r>
          </w:p>
          <w:p w14:paraId="2A560604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ind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3、收集具有重要参考价值的政治、经济和社会发展等方面的信息，掌握全区政治和社会经济发展动向，及时向省、市报送政务信息。</w:t>
            </w:r>
          </w:p>
        </w:tc>
        <w:tc>
          <w:tcPr>
            <w:tcW w:w="40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7EA36">
            <w:pPr>
              <w:widowControl/>
              <w:numPr>
                <w:ilvl w:val="0"/>
                <w:numId w:val="0"/>
              </w:numPr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已完成</w:t>
            </w:r>
          </w:p>
        </w:tc>
      </w:tr>
      <w:tr w14:paraId="24A89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C16E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绩</w:t>
            </w:r>
          </w:p>
          <w:p w14:paraId="251BF1E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效</w:t>
            </w:r>
          </w:p>
          <w:p w14:paraId="74F3F6B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指</w:t>
            </w:r>
          </w:p>
          <w:p w14:paraId="10521AF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标</w:t>
            </w:r>
          </w:p>
          <w:p w14:paraId="4F899EB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25FC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一级指标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CD0B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二级指标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F5F9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三级指标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D617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年度指标值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AF34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实际完成值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C0FB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分值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82D9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得分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A02E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偏差原因分析及改进措施</w:t>
            </w:r>
          </w:p>
        </w:tc>
      </w:tr>
      <w:tr w14:paraId="47BEB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59C9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BF1B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产出指标</w:t>
            </w:r>
          </w:p>
          <w:p w14:paraId="4A4AAA6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  <w:p w14:paraId="46A94CF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4733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数量指标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F21A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向省、市报送政务信息235条左右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42F9E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2A93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C7D8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5FE9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80B2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2DDCF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94C1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44DB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5CBD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ECBC6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每季度完成对全区经济工作的形势分析，并编撰相关材料。每周汇总所收集的信息，及时向上报送。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9F8B9F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A7D6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A42B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AF76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3C4F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38161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5525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A574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0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D729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8627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认真起草《政府工作报告》等文字材料。及时完成领导临时指派的各项工作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A7057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C852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C66C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7ED1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8EBC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52E6D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2DE3F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8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D8753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64CC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质量指标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C21F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重点工作完成率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E24A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3D8A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708F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3811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A081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17233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64FE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7F43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78F8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时效指标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E592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资金到位率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B7F3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B036D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2250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B99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70B2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3ECA0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06C2A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978D4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C684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成本指标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F9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业务经费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3D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控制在预算资金以内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DA6A7">
            <w:pPr>
              <w:jc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控制在预算资金以内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B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B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77A67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0B838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16983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857E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效益指标</w:t>
            </w:r>
          </w:p>
          <w:p w14:paraId="440435E4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  <w:p w14:paraId="207E013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　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3E76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经济效益指标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391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确保能为人民政府的决策提供建议和意见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4A3CE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249B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297D8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B320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6E96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F487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F84D1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71D39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B83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社会效益指标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4C51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撰写生态环境、守护好一江碧水、长江；经济带高质量发展等方面的材料，为岳阳楼区生态环境提供参谋服务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06C0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CA52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8F310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98412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476C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AC5D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FBCD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B7327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C1C3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生态效益指标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96AD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F42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EFB7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不适用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EF0AC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AC509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2762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5A3E9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A149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886EA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577AB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可持续影响指标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0EAE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加强党风建设和组织协调反腐败工作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4831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DC98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有加强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FDF73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EBAD7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86862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</w:tr>
      <w:tr w14:paraId="17800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EAECC">
            <w:pPr>
              <w:widowControl w:val="0"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CFC30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满意度指标</w:t>
            </w:r>
          </w:p>
          <w:p w14:paraId="2AC65DA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E28ED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服务对象满意度指标</w:t>
            </w: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4B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区人民政府领导满意指数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A9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94426">
            <w:pPr>
              <w:jc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7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7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352BF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4D74D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3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FDBAE6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总分</w:t>
            </w:r>
          </w:p>
        </w:tc>
        <w:tc>
          <w:tcPr>
            <w:tcW w:w="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5B33E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100</w:t>
            </w: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48181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lang w:val="en-US" w:eastAsia="zh-CN"/>
              </w:rPr>
              <w:t>99.77</w:t>
            </w: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2F3D5">
            <w:pPr>
              <w:widowControl/>
              <w:kinsoku/>
              <w:autoSpaceDE/>
              <w:autoSpaceDN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　</w:t>
            </w:r>
          </w:p>
        </w:tc>
      </w:tr>
    </w:tbl>
    <w:p w14:paraId="52B9CA4D">
      <w:pPr>
        <w:spacing w:before="64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2"/>
          <w:szCs w:val="22"/>
          <w:highlight w:val="none"/>
          <w:lang w:eastAsia="zh-CN"/>
        </w:rPr>
        <w:t xml:space="preserve">填表人：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2"/>
          <w:szCs w:val="2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2"/>
          <w:szCs w:val="22"/>
          <w:highlight w:val="none"/>
          <w:lang w:eastAsia="zh-CN"/>
        </w:rPr>
        <w:t xml:space="preserve">    填报日期：       联系电话：   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2"/>
          <w:szCs w:val="22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2"/>
          <w:szCs w:val="22"/>
          <w:highlight w:val="none"/>
          <w:lang w:eastAsia="zh-CN"/>
        </w:rPr>
        <w:t>单位负责人签字：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2"/>
          <w:szCs w:val="22"/>
          <w:highlight w:val="none"/>
          <w:lang w:eastAsia="zh-CN"/>
        </w:rPr>
        <w:br w:type="page"/>
      </w:r>
    </w:p>
    <w:p w14:paraId="28324105">
      <w:pPr>
        <w:widowControl/>
        <w:kinsoku/>
        <w:autoSpaceDE/>
        <w:autoSpaceDN/>
        <w:adjustRightInd/>
        <w:snapToGrid/>
        <w:spacing w:after="0" w:afterLines="0" w:line="400" w:lineRule="exact"/>
        <w:jc w:val="left"/>
        <w:textAlignment w:val="auto"/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sz w:val="32"/>
          <w:szCs w:val="32"/>
          <w:highlight w:val="none"/>
          <w:lang w:val="en-US" w:eastAsia="zh-CN"/>
        </w:rPr>
        <w:t>附件3</w:t>
      </w:r>
    </w:p>
    <w:p w14:paraId="58D8C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9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0E7F5B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466A0DE3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2F42C4E2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51CC0A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5C04FDA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004F2F21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27E6D68D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3CFC48C2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707153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1D3B7C0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32A65E60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0DE7983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A83629F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7789D6F6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3631310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7FC953F9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2EFDB5B5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72E5D18F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635E2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7EB72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D0961A2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14F24978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12992762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17E19B63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7EFA91D8">
            <w:pPr>
              <w:spacing w:before="64" w:line="195" w:lineRule="auto"/>
              <w:ind w:left="33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025A7B43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34EDD813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5CDB84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B8F974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0CCCE23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5C0F650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F04F8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2CED765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6446FF0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02F72F1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5E8E7A2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2C3EAE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DDC00B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786D2C65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FD48FB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59524F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33329F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665E7B0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0A215B6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B47EAD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5F81E9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C9DCD5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7EACD0B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04A4C73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3F0206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D34FA0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755C6B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7F1660B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22CFFC9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496789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880D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52F31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4A090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61C0186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2093191A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BAEF2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EDB88F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86271D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26856AE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68785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BA2322D">
            <w:pPr>
              <w:pStyle w:val="1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36B9B03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7B6E8F69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0B590F1C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447C3C2F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234E8114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764A3CC2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18990C56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3E042398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3A46CC19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43B55C9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045AFF64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B312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7F12D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1458C438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C7167C1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72C93383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2F224CF">
            <w:pPr>
              <w:pStyle w:val="1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1EBC03C9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587A817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3B05BF27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19B55388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F149B7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384232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0DFF3E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AB6931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0C3C9B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523118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F41C5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F3B758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BF37D4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CBFE12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7E105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DB92C4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C6E7C2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921B8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5ABDBD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B64536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E4933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DADE41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FA83AE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1925A94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D955169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695C4E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890A71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C02DBA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D31BD0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924415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B24C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F8257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383B51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27110C36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6D3C1E80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C0DA63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D3828E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ABD396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262DA7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45AEF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5FADAE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4D340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EA916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1E449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E035A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259962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C0B9C7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B55CEB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EE272C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9CA2DB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F74C70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300C7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91AC3F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E60CE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3E0B9B3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239DEFF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A592A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A3F8AE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E73059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C6FF5A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C3DDEA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D0F1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88A0F1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E43BA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AE1E836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5D14A516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4BEC712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4172FE9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36A44A8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63F786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9FD46A0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BDD5ED8">
            <w:pPr>
              <w:pStyle w:val="1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E18E7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E8DFB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47CB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A74C1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87D136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8E57CE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72C3A2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05E4BB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821B95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E3F845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CB63A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873020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0F1AC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9362A0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19E138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8C7F51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94AD9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F41F7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9BCA0C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D796BC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A4D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8FA52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6646E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3831691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130DEE54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87E34A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7CC9C5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06E975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C4D81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20DB3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25BFB7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073AB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30A262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871D9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3A126A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24FBAF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2EAF1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2D43ED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71F517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FE4FB1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2A09AF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A9B4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81B359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1288133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57538E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D38FD3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7A5189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86E844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BB626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20A853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175D08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2783D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DF240E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349CB450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5AA22BD3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31FF022B">
            <w:pPr>
              <w:pStyle w:val="1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9A0CD0A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171412F4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609CB1F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19ED223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5D55640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C99589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90F7B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D5319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1F55CA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0EBFA8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8BE9D3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69FFA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0F7979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45EA24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D64F5D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4000DE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A037D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C18664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B81F3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F646FA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A71291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B7021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759CB5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AAD183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3CBE1E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0C17B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828B01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C2D040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9F4728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6F520F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752986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0FB91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53D0B7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C446B5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795F74F6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3CABB2EE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69A012D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5385C6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214C43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5381D3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C3EEEE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EF3C90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122906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AA629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05427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9D404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161464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480E51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A82E7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BAD4C3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63688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1F5F5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EF7214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BB10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D82A6D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519B59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156D53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D5A528E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380C32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71262C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F5A82C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9071E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625C1C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24F9C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A44D5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7BDC4B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C114243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3EC78FD5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A824EDC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458E74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DDB58D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DDB1D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A87487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71E99E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9D033B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116E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6F27C6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E97D9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77DA8F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A67070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37031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55A562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A524268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A7460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185076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94570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A38381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EE0AB8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5AF33B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FE6D4F0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FA4D6B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E779BB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C909AA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31C114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37E96F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76E3F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67EBF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A1878F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825844D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A2A718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7B3440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A1AD98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07A53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7EACEF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F5D3E2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DAAC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801E4E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1E6163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C8C9CE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B36EFC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C54864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7FC10D9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2D7B47C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2505A0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F0F78A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80278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7CDE58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CAE99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8601C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C8124E0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E1E1263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E4D2E77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D6BD4A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FD8C4D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2DA8EE5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E67C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C01A65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76BFDFB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050E9C86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3C8C1DCF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93E97D5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087F0963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3B3BBF72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169FC53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BA5652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77EFFE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37E36E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30DE0D6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8D310B1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29B1E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061B8C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F47850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378F22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01AB01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66B46F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370FA2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2FAB72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5A8C2FB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B7EE09D">
            <w:pPr>
              <w:pStyle w:val="1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32D63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230712F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702FF6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2BB4BC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DDC7926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1ACDA7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821A04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66B26C8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236E61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1C6E4E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45105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0532465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1B721C86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1DE05F52">
            <w:pPr>
              <w:pStyle w:val="1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0AD19740">
            <w:pPr>
              <w:pStyle w:val="10"/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76AFC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</w:p>
    <w:p w14:paraId="56208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920" w:firstLineChars="400"/>
        <w:jc w:val="left"/>
        <w:textAlignment w:val="auto"/>
        <w:rPr>
          <w:rFonts w:hint="default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  <w:t xml:space="preserve">填表人：       </w:t>
      </w:r>
      <w:r>
        <w:rPr>
          <w:rFonts w:hint="eastAsia" w:ascii="宋体" w:hAnsi="宋体" w:eastAsia="仿宋" w:cs="宋体"/>
          <w:color w:val="000000"/>
          <w:spacing w:val="0"/>
          <w:kern w:val="2"/>
          <w:position w:val="0"/>
          <w:sz w:val="23"/>
          <w:szCs w:val="23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  <w:t xml:space="preserve"> 联系电话：      </w:t>
      </w:r>
      <w:r>
        <w:rPr>
          <w:rFonts w:hint="eastAsia" w:ascii="宋体" w:hAnsi="宋体" w:eastAsia="仿宋" w:cs="宋体"/>
          <w:color w:val="000000"/>
          <w:spacing w:val="0"/>
          <w:kern w:val="2"/>
          <w:position w:val="0"/>
          <w:sz w:val="23"/>
          <w:szCs w:val="23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zh-CN" w:bidi="ar-SA"/>
        </w:rPr>
        <w:t xml:space="preserve">     </w:t>
      </w:r>
      <w:r>
        <w:rPr>
          <w:rFonts w:hint="default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zh-CN" w:bidi="ar-SA"/>
        </w:rPr>
        <w:t>单位负责人签字：</w:t>
      </w:r>
    </w:p>
    <w:p w14:paraId="7ACE9F9B">
      <w:pPr>
        <w:spacing w:before="61" w:line="224" w:lineRule="auto"/>
        <w:rPr>
          <w:rFonts w:ascii="黑体" w:hAnsi="黑体" w:eastAsia="黑体" w:cs="黑体"/>
          <w:b/>
          <w:bCs/>
          <w:spacing w:val="3"/>
          <w:sz w:val="30"/>
          <w:szCs w:val="30"/>
        </w:rPr>
      </w:pPr>
    </w:p>
    <w:p w14:paraId="1612B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napToGrid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color w:val="000000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napToGrid/>
          <w:color w:val="000000"/>
          <w:kern w:val="0"/>
          <w:sz w:val="32"/>
          <w:szCs w:val="32"/>
          <w:highlight w:val="none"/>
          <w:lang w:val="en-US" w:eastAsia="zh-CN"/>
        </w:rPr>
        <w:t>4</w:t>
      </w:r>
    </w:p>
    <w:p w14:paraId="6F63B6B0">
      <w:pPr>
        <w:spacing w:line="250" w:lineRule="auto"/>
        <w:rPr>
          <w:rFonts w:ascii="Arial"/>
          <w:sz w:val="21"/>
        </w:rPr>
      </w:pPr>
    </w:p>
    <w:p w14:paraId="06762B78">
      <w:pPr>
        <w:spacing w:line="250" w:lineRule="auto"/>
        <w:rPr>
          <w:rFonts w:ascii="Arial"/>
          <w:sz w:val="21"/>
        </w:rPr>
      </w:pPr>
    </w:p>
    <w:p w14:paraId="336E0BFA">
      <w:pPr>
        <w:spacing w:line="251" w:lineRule="auto"/>
        <w:rPr>
          <w:rFonts w:ascii="Arial"/>
          <w:sz w:val="21"/>
        </w:rPr>
      </w:pPr>
    </w:p>
    <w:p w14:paraId="50B7A3D2">
      <w:pPr>
        <w:spacing w:line="251" w:lineRule="auto"/>
        <w:rPr>
          <w:rFonts w:ascii="Arial"/>
          <w:sz w:val="21"/>
        </w:rPr>
      </w:pPr>
    </w:p>
    <w:p w14:paraId="7CC62927">
      <w:pPr>
        <w:spacing w:line="251" w:lineRule="auto"/>
        <w:rPr>
          <w:rFonts w:ascii="Arial"/>
          <w:sz w:val="21"/>
        </w:rPr>
      </w:pPr>
    </w:p>
    <w:p w14:paraId="16A0B4A6">
      <w:pPr>
        <w:spacing w:line="251" w:lineRule="auto"/>
        <w:rPr>
          <w:rFonts w:ascii="Arial"/>
          <w:sz w:val="21"/>
        </w:rPr>
      </w:pPr>
    </w:p>
    <w:p w14:paraId="34E7EF72">
      <w:pPr>
        <w:spacing w:line="251" w:lineRule="auto"/>
        <w:rPr>
          <w:rFonts w:ascii="Arial"/>
          <w:sz w:val="21"/>
        </w:rPr>
      </w:pPr>
    </w:p>
    <w:p w14:paraId="6CCE6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岳阳市岳阳楼区经济研究中心</w:t>
      </w:r>
    </w:p>
    <w:p w14:paraId="771F9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单位整体支出绩效自评报告</w:t>
      </w:r>
    </w:p>
    <w:p w14:paraId="32DDF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</w:p>
    <w:p w14:paraId="096C7271">
      <w:pPr>
        <w:spacing w:line="243" w:lineRule="auto"/>
        <w:rPr>
          <w:rFonts w:ascii="Arial"/>
          <w:sz w:val="21"/>
        </w:rPr>
      </w:pPr>
    </w:p>
    <w:p w14:paraId="512CF586">
      <w:pPr>
        <w:spacing w:line="243" w:lineRule="auto"/>
        <w:rPr>
          <w:rFonts w:ascii="Arial"/>
          <w:sz w:val="21"/>
        </w:rPr>
      </w:pPr>
    </w:p>
    <w:p w14:paraId="37C93EA1">
      <w:pPr>
        <w:spacing w:line="243" w:lineRule="auto"/>
        <w:rPr>
          <w:rFonts w:ascii="Arial"/>
          <w:sz w:val="21"/>
        </w:rPr>
      </w:pPr>
    </w:p>
    <w:p w14:paraId="1B1249D9">
      <w:pPr>
        <w:spacing w:line="243" w:lineRule="auto"/>
        <w:rPr>
          <w:rFonts w:ascii="Arial"/>
          <w:sz w:val="21"/>
        </w:rPr>
      </w:pPr>
    </w:p>
    <w:p w14:paraId="40A66C8F">
      <w:pPr>
        <w:spacing w:line="243" w:lineRule="auto"/>
        <w:rPr>
          <w:rFonts w:ascii="Arial"/>
          <w:sz w:val="21"/>
        </w:rPr>
      </w:pPr>
    </w:p>
    <w:p w14:paraId="6B7CD901">
      <w:pPr>
        <w:spacing w:line="243" w:lineRule="auto"/>
        <w:rPr>
          <w:rFonts w:ascii="Arial"/>
          <w:sz w:val="21"/>
        </w:rPr>
      </w:pPr>
    </w:p>
    <w:p w14:paraId="4426687D">
      <w:pPr>
        <w:spacing w:line="243" w:lineRule="auto"/>
        <w:rPr>
          <w:rFonts w:ascii="Arial"/>
          <w:sz w:val="21"/>
        </w:rPr>
      </w:pPr>
    </w:p>
    <w:p w14:paraId="797B0D3F">
      <w:pPr>
        <w:spacing w:line="243" w:lineRule="auto"/>
        <w:rPr>
          <w:rFonts w:ascii="Arial"/>
          <w:sz w:val="21"/>
        </w:rPr>
      </w:pPr>
    </w:p>
    <w:p w14:paraId="11B2DC83">
      <w:pPr>
        <w:spacing w:line="243" w:lineRule="auto"/>
        <w:rPr>
          <w:rFonts w:ascii="Arial"/>
          <w:sz w:val="21"/>
        </w:rPr>
      </w:pPr>
    </w:p>
    <w:p w14:paraId="32512BA4">
      <w:pPr>
        <w:spacing w:line="243" w:lineRule="auto"/>
        <w:rPr>
          <w:rFonts w:ascii="Arial"/>
          <w:sz w:val="21"/>
        </w:rPr>
      </w:pPr>
    </w:p>
    <w:p w14:paraId="559ACC06">
      <w:pPr>
        <w:spacing w:line="243" w:lineRule="auto"/>
        <w:rPr>
          <w:rFonts w:ascii="Arial"/>
          <w:sz w:val="21"/>
        </w:rPr>
      </w:pPr>
    </w:p>
    <w:p w14:paraId="10FA6C51">
      <w:pPr>
        <w:spacing w:line="243" w:lineRule="auto"/>
        <w:rPr>
          <w:rFonts w:ascii="Arial"/>
          <w:sz w:val="21"/>
        </w:rPr>
      </w:pPr>
    </w:p>
    <w:p w14:paraId="2BCCB2D5">
      <w:pPr>
        <w:spacing w:line="243" w:lineRule="auto"/>
        <w:rPr>
          <w:rFonts w:ascii="Arial"/>
          <w:sz w:val="21"/>
        </w:rPr>
      </w:pPr>
    </w:p>
    <w:p w14:paraId="37F39C2D">
      <w:pPr>
        <w:spacing w:line="243" w:lineRule="auto"/>
        <w:rPr>
          <w:rFonts w:ascii="Arial"/>
          <w:sz w:val="21"/>
        </w:rPr>
      </w:pPr>
    </w:p>
    <w:p w14:paraId="350B3D18">
      <w:pPr>
        <w:spacing w:line="243" w:lineRule="auto"/>
        <w:rPr>
          <w:rFonts w:ascii="Arial"/>
          <w:sz w:val="21"/>
        </w:rPr>
      </w:pPr>
    </w:p>
    <w:p w14:paraId="7C48050F">
      <w:pPr>
        <w:spacing w:line="243" w:lineRule="auto"/>
        <w:rPr>
          <w:rFonts w:ascii="Arial"/>
          <w:sz w:val="21"/>
        </w:rPr>
      </w:pPr>
    </w:p>
    <w:p w14:paraId="0FF2F4A3">
      <w:pPr>
        <w:spacing w:line="243" w:lineRule="auto"/>
        <w:rPr>
          <w:rFonts w:ascii="Arial"/>
          <w:sz w:val="21"/>
        </w:rPr>
      </w:pPr>
    </w:p>
    <w:p w14:paraId="194DC3D1">
      <w:pPr>
        <w:spacing w:line="243" w:lineRule="auto"/>
        <w:rPr>
          <w:rFonts w:ascii="Arial"/>
          <w:sz w:val="21"/>
        </w:rPr>
      </w:pPr>
    </w:p>
    <w:p w14:paraId="747E47BB">
      <w:pPr>
        <w:spacing w:line="243" w:lineRule="auto"/>
        <w:rPr>
          <w:rFonts w:ascii="Arial"/>
          <w:sz w:val="21"/>
        </w:rPr>
      </w:pPr>
    </w:p>
    <w:p w14:paraId="0308F3DD">
      <w:pPr>
        <w:spacing w:line="243" w:lineRule="auto"/>
        <w:rPr>
          <w:rFonts w:ascii="Arial"/>
          <w:sz w:val="21"/>
        </w:rPr>
      </w:pPr>
    </w:p>
    <w:p w14:paraId="7FD5415B">
      <w:pPr>
        <w:spacing w:line="243" w:lineRule="auto"/>
        <w:rPr>
          <w:rFonts w:ascii="Arial"/>
          <w:sz w:val="21"/>
        </w:rPr>
      </w:pPr>
    </w:p>
    <w:p w14:paraId="5C434B26">
      <w:pPr>
        <w:spacing w:line="243" w:lineRule="auto"/>
        <w:rPr>
          <w:rFonts w:ascii="Arial"/>
          <w:sz w:val="21"/>
        </w:rPr>
      </w:pPr>
    </w:p>
    <w:p w14:paraId="4F7577D0">
      <w:pPr>
        <w:spacing w:line="243" w:lineRule="auto"/>
        <w:rPr>
          <w:rFonts w:ascii="Arial"/>
          <w:sz w:val="21"/>
        </w:rPr>
      </w:pPr>
    </w:p>
    <w:p w14:paraId="51E50635">
      <w:pPr>
        <w:spacing w:line="243" w:lineRule="auto"/>
        <w:rPr>
          <w:rFonts w:ascii="Arial"/>
          <w:sz w:val="21"/>
        </w:rPr>
      </w:pPr>
    </w:p>
    <w:p w14:paraId="723EF991">
      <w:pPr>
        <w:spacing w:line="243" w:lineRule="auto"/>
        <w:rPr>
          <w:rFonts w:ascii="Arial"/>
          <w:sz w:val="21"/>
        </w:rPr>
      </w:pPr>
    </w:p>
    <w:p w14:paraId="011F36A0">
      <w:pPr>
        <w:spacing w:line="244" w:lineRule="auto"/>
        <w:rPr>
          <w:rFonts w:ascii="Arial"/>
          <w:sz w:val="21"/>
        </w:rPr>
      </w:pPr>
    </w:p>
    <w:p w14:paraId="0D9D7632">
      <w:pPr>
        <w:spacing w:line="244" w:lineRule="auto"/>
        <w:rPr>
          <w:rFonts w:ascii="Arial"/>
          <w:sz w:val="21"/>
        </w:rPr>
      </w:pPr>
    </w:p>
    <w:p w14:paraId="29A47AD7">
      <w:pPr>
        <w:pStyle w:val="3"/>
        <w:spacing w:before="100" w:line="221" w:lineRule="auto"/>
        <w:jc w:val="center"/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u w:val="single" w:color="auto"/>
        </w:rPr>
        <w:t xml:space="preserve"> </w:t>
      </w:r>
      <w:r>
        <w:rPr>
          <w:rFonts w:hint="eastAsia"/>
          <w:u w:val="single" w:color="auto"/>
        </w:rPr>
        <w:t>岳阳市岳阳楼区经济研究中心</w:t>
      </w:r>
    </w:p>
    <w:p w14:paraId="4F5235B6">
      <w:pPr>
        <w:spacing w:before="228" w:line="222" w:lineRule="auto"/>
        <w:ind w:left="3179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30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3EFC3785">
      <w:pPr>
        <w:spacing w:line="335" w:lineRule="auto"/>
        <w:rPr>
          <w:rFonts w:ascii="Arial"/>
          <w:sz w:val="21"/>
        </w:rPr>
      </w:pPr>
    </w:p>
    <w:p w14:paraId="113B0DB9">
      <w:pPr>
        <w:pStyle w:val="3"/>
        <w:spacing w:before="102" w:line="224" w:lineRule="auto"/>
        <w:ind w:left="3216"/>
      </w:pPr>
      <w:r>
        <w:rPr>
          <w:spacing w:val="8"/>
        </w:rPr>
        <w:t>（此页为封面）</w:t>
      </w:r>
    </w:p>
    <w:p w14:paraId="016A755C">
      <w:pPr>
        <w:spacing w:line="224" w:lineRule="auto"/>
        <w:sectPr>
          <w:footerReference r:id="rId3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08896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年度岳阳市岳阳楼区经济研究中心</w:t>
      </w:r>
    </w:p>
    <w:p w14:paraId="3176D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单位整体支出绩效自评报告</w:t>
      </w:r>
    </w:p>
    <w:p w14:paraId="1C2D7969">
      <w:pPr>
        <w:spacing w:line="283" w:lineRule="auto"/>
        <w:rPr>
          <w:rFonts w:ascii="Arial"/>
          <w:sz w:val="21"/>
        </w:rPr>
      </w:pPr>
    </w:p>
    <w:p w14:paraId="1F7F3ED1">
      <w:pPr>
        <w:pStyle w:val="2"/>
      </w:pPr>
    </w:p>
    <w:p w14:paraId="709F116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hint="eastAsia" w:ascii="黑体" w:hAnsi="黑体" w:eastAsia="黑体" w:cs="黑体"/>
          <w:spacing w:val="5"/>
          <w:sz w:val="31"/>
          <w:szCs w:val="31"/>
          <w:lang w:val="en-US" w:eastAsia="zh-CN"/>
        </w:rPr>
        <w:t>一、</w:t>
      </w: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2DDE1EB5">
      <w:pPr>
        <w:pStyle w:val="4"/>
        <w:numPr>
          <w:ilvl w:val="0"/>
          <w:numId w:val="0"/>
        </w:numPr>
        <w:ind w:firstLine="600" w:firstLineChars="200"/>
        <w:rPr>
          <w:rFonts w:hint="eastAsia" w:hAnsi="微软雅黑" w:cs="仿宋_GB2312"/>
          <w:color w:val="000000"/>
          <w:sz w:val="30"/>
          <w:szCs w:val="30"/>
          <w:lang w:val="en-US" w:eastAsia="zh-CN"/>
        </w:rPr>
      </w:pPr>
      <w:r>
        <w:rPr>
          <w:rFonts w:hint="eastAsia" w:hAnsi="微软雅黑" w:cs="仿宋_GB2312"/>
          <w:color w:val="000000"/>
          <w:sz w:val="30"/>
          <w:szCs w:val="30"/>
          <w:lang w:val="en-US" w:eastAsia="zh-CN"/>
        </w:rPr>
        <w:t>岳阳市岳阳楼区经济研究中心是由</w:t>
      </w:r>
      <w:r>
        <w:rPr>
          <w:rFonts w:hint="eastAsia" w:hAnsi="微软雅黑" w:cs="仿宋_GB2312"/>
          <w:color w:val="000000"/>
          <w:sz w:val="30"/>
          <w:szCs w:val="30"/>
          <w:lang w:eastAsia="zh-CN"/>
        </w:rPr>
        <w:t>区委、区政府</w:t>
      </w:r>
      <w:r>
        <w:rPr>
          <w:rFonts w:hint="eastAsia" w:ascii="仿宋_GB2312" w:hAnsi="微软雅黑" w:eastAsia="仿宋_GB2312" w:cs="仿宋_GB2312"/>
          <w:color w:val="000000"/>
          <w:sz w:val="30"/>
          <w:szCs w:val="30"/>
        </w:rPr>
        <w:t>批准成立的正科级公益一类事业单位，归口区政府办管理。主要职责负责围绕全区经济社会发展大局和具体工作部署，按照区人民政府的指示和确定的重点课题，开展调查研究，为区人民政府决策提供意见和建议，并组织、协调</w:t>
      </w:r>
      <w:r>
        <w:rPr>
          <w:rFonts w:hint="eastAsia" w:hAnsi="微软雅黑" w:cs="仿宋_GB2312"/>
          <w:color w:val="000000"/>
          <w:sz w:val="30"/>
          <w:szCs w:val="30"/>
          <w:lang w:eastAsia="zh-CN"/>
        </w:rPr>
        <w:t>、指导</w:t>
      </w:r>
      <w:r>
        <w:rPr>
          <w:rFonts w:hint="eastAsia" w:ascii="仿宋_GB2312" w:hAnsi="微软雅黑" w:eastAsia="仿宋_GB2312" w:cs="仿宋_GB2312"/>
          <w:color w:val="000000"/>
          <w:sz w:val="30"/>
          <w:szCs w:val="30"/>
        </w:rPr>
        <w:t>全区的调研工作。组织撰写区人民政府的重要文件、文稿，研究起草区人民政府有关政策、规定。收集和提供具有重要参考价值的政治、经济和社会发展等方面的信息，编发有关刊物。掌握全区政治和社会经济发展动向，及时向省、市报送政务信息。承办区委、区人民政府交办的其他事项。</w:t>
      </w:r>
      <w:r>
        <w:rPr>
          <w:rFonts w:hint="eastAsia" w:hAnsi="微软雅黑" w:cs="仿宋_GB2312"/>
          <w:color w:val="000000"/>
          <w:sz w:val="30"/>
          <w:szCs w:val="30"/>
          <w:lang w:val="en-US" w:eastAsia="zh-CN"/>
        </w:rPr>
        <w:t xml:space="preserve">    </w:t>
      </w:r>
    </w:p>
    <w:p w14:paraId="10C1054C">
      <w:pPr>
        <w:pStyle w:val="4"/>
        <w:numPr>
          <w:ilvl w:val="0"/>
          <w:numId w:val="0"/>
        </w:numPr>
        <w:ind w:firstLine="640" w:firstLineChars="200"/>
        <w:rPr>
          <w:rFonts w:ascii="黑体" w:hAnsi="黑体" w:eastAsia="黑体" w:cs="黑体"/>
          <w:spacing w:val="-2"/>
          <w:sz w:val="31"/>
          <w:szCs w:val="31"/>
        </w:rPr>
      </w:pPr>
      <w:r>
        <w:rPr>
          <w:rFonts w:hint="eastAsia" w:ascii="黑体" w:hAnsi="黑体" w:eastAsia="黑体" w:cs="黑体"/>
          <w:spacing w:val="5"/>
          <w:kern w:val="2"/>
          <w:sz w:val="31"/>
          <w:szCs w:val="31"/>
          <w:lang w:val="en-US" w:eastAsia="zh-CN" w:bidi="ar-SA"/>
        </w:rPr>
        <w:t>二、一般公</w:t>
      </w:r>
      <w:r>
        <w:rPr>
          <w:rFonts w:ascii="黑体" w:hAnsi="黑体" w:eastAsia="黑体" w:cs="黑体"/>
          <w:spacing w:val="-2"/>
          <w:sz w:val="31"/>
          <w:szCs w:val="31"/>
        </w:rPr>
        <w:t>共预算支出情况</w:t>
      </w:r>
    </w:p>
    <w:p w14:paraId="140B3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6" w:firstLineChars="200"/>
        <w:textAlignment w:val="auto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5B7AA361">
      <w:pPr>
        <w:pStyle w:val="4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年基本支出</w:t>
      </w:r>
      <w:r>
        <w:rPr>
          <w:rFonts w:hint="eastAsia" w:ascii="仿宋_GB2312" w:hAnsi="微软雅黑" w:eastAsia="仿宋_GB2312" w:cs="仿宋_GB2312"/>
          <w:color w:val="000000"/>
          <w:sz w:val="30"/>
          <w:szCs w:val="30"/>
        </w:rPr>
        <w:t>年初预算数为114.33万元，实际支出数为</w:t>
      </w:r>
      <w:r>
        <w:rPr>
          <w:rFonts w:hint="eastAsia" w:ascii="仿宋_GB2312" w:hAnsi="微软雅黑" w:eastAsia="仿宋_GB2312" w:cs="仿宋_GB2312"/>
          <w:color w:val="000000"/>
          <w:sz w:val="30"/>
          <w:szCs w:val="30"/>
          <w:lang w:val="en-US" w:eastAsia="zh-CN"/>
        </w:rPr>
        <w:t>124.38</w:t>
      </w:r>
      <w:r>
        <w:rPr>
          <w:rFonts w:hint="eastAsia" w:ascii="仿宋_GB2312" w:hAnsi="微软雅黑" w:eastAsia="仿宋_GB2312" w:cs="仿宋_GB2312"/>
          <w:color w:val="000000"/>
          <w:sz w:val="30"/>
          <w:szCs w:val="30"/>
        </w:rPr>
        <w:t>万元。其中：人员经费</w:t>
      </w:r>
      <w:r>
        <w:rPr>
          <w:rFonts w:hint="eastAsia" w:ascii="仿宋_GB2312" w:hAnsi="微软雅黑" w:eastAsia="仿宋_GB2312" w:cs="仿宋_GB2312"/>
          <w:color w:val="000000"/>
          <w:sz w:val="30"/>
          <w:szCs w:val="30"/>
          <w:lang w:val="en-US" w:eastAsia="zh-CN"/>
        </w:rPr>
        <w:t>106.0</w:t>
      </w:r>
      <w:r>
        <w:rPr>
          <w:rFonts w:hint="eastAsia" w:hAnsi="微软雅黑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微软雅黑" w:eastAsia="仿宋_GB2312" w:cs="仿宋_GB2312"/>
          <w:color w:val="000000"/>
          <w:sz w:val="30"/>
          <w:szCs w:val="30"/>
        </w:rPr>
        <w:t>万元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，主要包括：基本工资、奖金、绩效工资、机关事业单位基本养老保险缴费、</w:t>
      </w:r>
      <w:r>
        <w:rPr>
          <w:rFonts w:hint="eastAsia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职业年金、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职工基本医疗保险缴费、其他社会保障缴费、住房公积金、其他工资福利支出；公用经费</w:t>
      </w:r>
      <w:r>
        <w:rPr>
          <w:rFonts w:hint="eastAsia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18.32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万元，主要包括：办公费、印刷费</w:t>
      </w:r>
      <w:r>
        <w:rPr>
          <w:rFonts w:hint="eastAsia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培训费、</w:t>
      </w:r>
      <w:r>
        <w:rPr>
          <w:rFonts w:hint="eastAsia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工会经费、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其他商品和服务支出。</w:t>
      </w:r>
    </w:p>
    <w:p w14:paraId="4B99C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6" w:firstLineChars="200"/>
        <w:textAlignment w:val="auto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9"/>
          <w:sz w:val="31"/>
          <w:szCs w:val="31"/>
        </w:rPr>
        <w:t>（二）项目支出情况</w:t>
      </w:r>
    </w:p>
    <w:p w14:paraId="12CCE94F">
      <w:pPr>
        <w:ind w:firstLine="640" w:firstLineChars="200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年项目支出年初预算数为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13.00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万元，实际支出数为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27.89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</w:t>
      </w:r>
      <w:r>
        <w:rPr>
          <w:rFonts w:hint="eastAsia"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仿宋" w:hAnsi="仿宋" w:eastAsia="仿宋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，主要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用于宣传资料印刷等方面。</w:t>
      </w:r>
    </w:p>
    <w:p w14:paraId="19D357F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52" w:firstLineChars="20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三、</w:t>
      </w:r>
      <w:r>
        <w:rPr>
          <w:rFonts w:ascii="黑体" w:hAnsi="黑体" w:eastAsia="黑体" w:cs="黑体"/>
          <w:spacing w:val="8"/>
          <w:sz w:val="31"/>
          <w:szCs w:val="31"/>
        </w:rPr>
        <w:t>政府性基金预算支出情况</w:t>
      </w:r>
    </w:p>
    <w:p w14:paraId="57A1B7AB">
      <w:pPr>
        <w:ind w:left="420" w:leftChars="200" w:firstLine="320" w:firstLineChars="100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年度本单位无政府性基金安排的支出。</w:t>
      </w:r>
    </w:p>
    <w:p w14:paraId="512C161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8" w:firstLineChars="200"/>
        <w:textAlignment w:val="auto"/>
        <w:rPr>
          <w:rFonts w:ascii="黑体" w:hAnsi="黑体" w:eastAsia="黑体" w:cs="黑体"/>
          <w:spacing w:val="7"/>
          <w:position w:val="21"/>
          <w:sz w:val="31"/>
          <w:szCs w:val="31"/>
        </w:rPr>
      </w:pPr>
      <w:r>
        <w:rPr>
          <w:rFonts w:hint="eastAsia" w:ascii="黑体" w:hAnsi="黑体" w:eastAsia="黑体" w:cs="黑体"/>
          <w:spacing w:val="7"/>
          <w:position w:val="21"/>
          <w:sz w:val="31"/>
          <w:szCs w:val="31"/>
          <w:lang w:val="en-US" w:eastAsia="zh-CN"/>
        </w:rPr>
        <w:t>四、</w:t>
      </w: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国有资本经营预算支出情况</w:t>
      </w:r>
    </w:p>
    <w:p w14:paraId="4E0E4A39">
      <w:pPr>
        <w:pStyle w:val="4"/>
        <w:numPr>
          <w:ilvl w:val="0"/>
          <w:numId w:val="0"/>
        </w:numPr>
        <w:ind w:leftChars="0" w:firstLine="640" w:firstLineChars="200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hAnsi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年度本单位无国有资本经营预算支出。</w:t>
      </w:r>
    </w:p>
    <w:p w14:paraId="44274BE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52" w:firstLineChars="20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五、</w:t>
      </w:r>
      <w:r>
        <w:rPr>
          <w:rFonts w:ascii="黑体" w:hAnsi="黑体" w:eastAsia="黑体" w:cs="黑体"/>
          <w:spacing w:val="8"/>
          <w:sz w:val="31"/>
          <w:szCs w:val="31"/>
        </w:rPr>
        <w:t>社会保险基金预算支出情况</w:t>
      </w:r>
    </w:p>
    <w:p w14:paraId="1E572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年度本单位无社会保险基金预算支出。</w:t>
      </w:r>
    </w:p>
    <w:p w14:paraId="0D2C417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52" w:firstLineChars="20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六、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1EAA7935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本单位各项资金其主要用途是确保单位的正常运转，促进各项工作任务顺利完成。在人员经费支出、公共支出严格执行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区委、区政府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的各项制度；在项目经费的使用上，在保证各项任务顺利完成的同时，严格落实厉行节约的原则；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“三公”经费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的使用严格控制在预算申报的范围内，“四本预算”支出的绩效目标基本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15F9F05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按照区人民政府的指示和确定的重点课题，开展调查研究。二是起草《政府工作报告》和撰写区人民政府的重要文件、主要领导讲话等文稿。三是收集具有重要参考价值的政治、经济和社会发展等方面的信息，掌握全区政治和社会经济发展动向，及时向省、市报送政务信息。</w:t>
      </w:r>
    </w:p>
    <w:p w14:paraId="5377118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56" w:firstLineChars="20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val="en-US" w:eastAsia="zh-CN"/>
        </w:rPr>
        <w:t>七、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55D4BB25">
      <w:pPr>
        <w:ind w:firstLine="640" w:firstLineChars="200"/>
        <w:jc w:val="left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主要存在问题是年初预算不严谨，导致实际支出数多于预算申报数。</w:t>
      </w:r>
    </w:p>
    <w:p w14:paraId="3B73AA6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52" w:firstLineChars="200"/>
        <w:textAlignment w:val="auto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八、</w:t>
      </w:r>
      <w:r>
        <w:rPr>
          <w:rFonts w:ascii="黑体" w:hAnsi="黑体" w:eastAsia="黑体" w:cs="黑体"/>
          <w:spacing w:val="8"/>
          <w:sz w:val="31"/>
          <w:szCs w:val="31"/>
        </w:rPr>
        <w:t>下一步改进措施</w:t>
      </w:r>
    </w:p>
    <w:p w14:paraId="44D702EB">
      <w:pPr>
        <w:pStyle w:val="4"/>
        <w:numPr>
          <w:ilvl w:val="0"/>
          <w:numId w:val="0"/>
        </w:numPr>
        <w:ind w:leftChars="0" w:firstLine="640" w:firstLineChars="200"/>
        <w:rPr>
          <w:rFonts w:hint="default" w:eastAsia="仿宋_GB2312"/>
          <w:lang w:val="en-US" w:eastAsia="zh-CN"/>
        </w:rPr>
      </w:pPr>
      <w:r>
        <w:rPr>
          <w:rFonts w:hint="eastAsia" w:ascii="仿宋" w:hAnsi="仿宋" w:eastAsia="仿宋" w:cs="黑体"/>
          <w:color w:val="000000"/>
          <w:kern w:val="0"/>
          <w:sz w:val="32"/>
          <w:szCs w:val="32"/>
          <w:highlight w:val="none"/>
        </w:rPr>
        <w:t>加强预算编制及预算绩效管理的学习、培训，进一步提高预算管理能力，增强绩效管理意识，压实“谁用钱，谁负责”的绩效管理责任。</w:t>
      </w:r>
    </w:p>
    <w:p w14:paraId="2DC03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6" w:firstLineChars="200"/>
        <w:textAlignment w:val="auto"/>
        <w:rPr>
          <w:rFonts w:ascii="黑体" w:hAnsi="黑体" w:eastAsia="黑体" w:cs="黑体"/>
          <w:spacing w:val="8"/>
          <w:position w:val="21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0845C765">
      <w:pPr>
        <w:pStyle w:val="4"/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度重视此项绩效自评工作，积极落实主体责任，切实加强组织领导，按照绩效评价相关制度规定，明确具体责任人，认真开展自评，撰写了此份绩效评价报告，确保绩效自评工作顺利实施，并将按照要求进行信息公开，对存在的问题积极整改。</w:t>
      </w:r>
    </w:p>
    <w:p w14:paraId="1F1FE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8" w:firstLineChars="200"/>
        <w:textAlignment w:val="auto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3"/>
          <w:sz w:val="31"/>
          <w:szCs w:val="31"/>
        </w:rPr>
        <w:t>十、其他需要说明的情况</w:t>
      </w:r>
    </w:p>
    <w:p w14:paraId="39FD0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ascii="Arial"/>
          <w:sz w:val="21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8B125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7996B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FF149F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FF149F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jMzZlNjlmNjJiNzYzMTY3ZDIyYjQzYjdkMGQ2NDE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71455"/>
    <w:rsid w:val="04094307"/>
    <w:rsid w:val="041208E4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997328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1151E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43007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A08E8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38F9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0B5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276F64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A56461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E151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761450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64E40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EF7803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662315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B032A3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56216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317B4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6D38EF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73A9D"/>
    <w:rsid w:val="5E480DBB"/>
    <w:rsid w:val="5E4B0589"/>
    <w:rsid w:val="5E532C32"/>
    <w:rsid w:val="5E6B78B9"/>
    <w:rsid w:val="5E72530D"/>
    <w:rsid w:val="5E7B3471"/>
    <w:rsid w:val="5E811840"/>
    <w:rsid w:val="5E9A2E0C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0C2B0D"/>
    <w:rsid w:val="711337D0"/>
    <w:rsid w:val="71143E0B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25DF3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D7D65B9E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Body Text Indent 2"/>
    <w:basedOn w:val="1"/>
    <w:qFormat/>
    <w:uiPriority w:val="0"/>
    <w:pPr>
      <w:ind w:firstLine="588" w:firstLineChars="200"/>
    </w:pPr>
    <w:rPr>
      <w:rFonts w:ascii="仿宋_GB2312" w:hAnsi="Times New Roman" w:eastAsia="仿宋_GB2312"/>
      <w:sz w:val="32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00ef1508-25e1-4490-b4ed-c79fd370ba4d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1CCE8A58</paraID>
      <start>3</start>
      <end>5</end>
      <status>unmodified</status>
      <modifiedWord/>
      <trackRevisions>false</trackRevisions>
    </reviewItem>
    <reviewItem>
      <errorID>2b259e2d-1753-4c01-866f-781219a66a22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2DB4D010</paraID>
      <start>3</start>
      <end>5</end>
      <status>unmodified</status>
      <modifiedWord/>
      <trackRevisions>false</trackRevisions>
    </reviewItem>
    <reviewItem>
      <errorID>35ebe52b-2ac6-466e-826e-0aa786d057b5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5B476CFC</paraID>
      <start>3</start>
      <end>5</end>
      <status>unmodified</status>
      <modifiedWord/>
      <trackRevisions>false</trackRevisions>
    </reviewItem>
    <reviewItem>
      <errorID>08958a27-ed0d-4083-ba0e-70f473bf93af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797B615E</paraID>
      <start>0</start>
      <end>2</end>
      <status>unmodified</status>
      <modifiedWord/>
      <trackRevisions>false</trackRevisions>
    </reviewItem>
    <reviewItem>
      <errorID>4df87872-3392-4fb1-ba9d-4b8595cd5a57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6A9AD15D</paraID>
      <start>0</start>
      <end>2</end>
      <status>unmodified</status>
      <modifiedWord/>
      <trackRevisions>false</trackRevisions>
    </reviewItem>
    <reviewItem>
      <errorID>ad0a2550-0251-4ba0-bf2a-c06dc698e933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90295AE</paraID>
      <start>0</start>
      <end>2</end>
      <status>unmodified</status>
      <modifiedWord/>
      <trackRevisions>false</trackRevisions>
    </reviewItem>
    <reviewItem>
      <errorID>b9a78e42-6f83-4800-a3bf-d19b0a98b0d8</errorID>
      <errorWord>生态环境</errorWord>
      <group>L1_Political</group>
      <groupName>政治性问题</groupName>
      <ability>L2_Keyword</ability>
      <abilityName>固定表述</abilityName>
      <candidateList>
        <item>生态环境保护</item>
      </candidateList>
      <explain>此处内容疑似含有固定表述相关错误，建议核查。</explain>
      <paraID>4454C513</paraID>
      <start>2</start>
      <end>6</end>
      <status>unmodified</status>
      <modifiedWord/>
      <trackRevisions>false</trackRevisions>
    </reviewItem>
    <reviewItem>
      <errorID>d204159b-7be3-4129-8ad9-87721ca39703</errorID>
      <errorWord>；</errorWord>
      <group>L1_Punc</group>
      <groupName>标点问题</groupName>
      <ability>L2_Punc_CN</ability>
      <abilityName>标点符号问题</abilityName>
      <candidateList>
        <item/>
      </candidateList>
      <explain/>
      <paraID>4454C513</paraID>
      <start>17</start>
      <end>18</end>
      <status>unmodified</status>
      <modifiedWord/>
      <trackRevisions>false</trackRevisions>
    </reviewItem>
    <reviewItem>
      <errorID>22cd762d-dfa5-4f13-852d-bc7794ab39ff</errorID>
      <errorWord>生态环境</errorWord>
      <group>L1_Political</group>
      <groupName>政治性问题</groupName>
      <ability>L2_Keyword</ability>
      <abilityName>固定表述</abilityName>
      <candidateList>
        <item>生态环境保护</item>
      </candidateList>
      <explain>此处内容疑似含有固定表述相关错误，建议核查。</explain>
      <paraID>4454C513</paraID>
      <start>38</start>
      <end>42</end>
      <status>unmodified</status>
      <modifiedWord/>
      <trackRevisions>false</trackRevisions>
    </reviewItem>
    <reviewItem>
      <errorID>3c567ee6-60d6-4543-8381-5a47458d9476</errorID>
      <errorWord>岳阳市岳阳楼区政府经济研究中心</errorWord>
      <group>L1_Other</group>
      <groupName>其他问题</groupName>
      <ability>L2_Consistency</ability>
      <abilityName>一致性检查</abilityName>
      <candidateList>
        <item>岳阳市岳阳楼区经济研究中心</item>
      </candidateList>
      <explain>实体一致性错误，全文单位名称统一为岳阳市岳阳楼区经济研究中心，此处表述不一致</explain>
      <paraID>64BD3F68</paraID>
      <start>0</start>
      <end>13</end>
      <status>modified</status>
      <modifiedWord>岳阳市岳阳楼区经济研究中心</modifiedWord>
      <trackRevisions>false</trackRevisions>
    </reviewItem>
    <reviewItem>
      <errorID>1f56206c-9ed1-4b3d-9559-de9eaee13b54</errorID>
      <errorWord>由</errorWord>
      <group>L1_Word</group>
      <groupName>字词问题</groupName>
      <ability>L2_Typo</ability>
      <abilityName>字词错误</abilityName>
      <candidateList>
        <item>是由</item>
      </candidateList>
      <explain/>
      <paraID>64BD3F68</paraID>
      <start>13</start>
      <end>15</end>
      <status>modified</status>
      <modifiedWord>是由</modifiedWord>
      <trackRevisions>false</trackRevisions>
    </reviewItem>
    <reviewItem>
      <errorID>3b422427-479f-4693-bbe6-647224e32966</errorID>
      <errorWord>负责</errorWord>
      <group>L1_Word</group>
      <groupName>字词问题</groupName>
      <ability>L2_Typo</ability>
      <abilityName>字词错误</abilityName>
      <candidateList>
        <item>是</item>
      </candidateList>
      <explain/>
      <paraID>64BD3F68</paraID>
      <start>51</start>
      <end>53</end>
      <status>unmodified</status>
      <modifiedWord/>
      <trackRevisions>false</trackRevisions>
    </reviewItem>
    <reviewItem>
      <errorID>fcaf961f-8f8a-4968-91a9-d9d1ff62e49c</errorID>
      <errorWord>资金其</errorWord>
      <group>L1_Word</group>
      <groupName>字词问题</groupName>
      <ability>L2_Typo</ability>
      <abilityName>字词错误</abilityName>
      <candidateList>
        <item>资金</item>
      </candidateList>
      <explain/>
      <paraID>1EAA7935</paraID>
      <start>5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d2728f-970a-46c1-8254-ca60dbaf9d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2523</Words>
  <Characters>2820</Characters>
  <Lines>0</Lines>
  <Paragraphs>0</Paragraphs>
  <TotalTime>1</TotalTime>
  <ScaleCrop>false</ScaleCrop>
  <LinksUpToDate>false</LinksUpToDate>
  <CharactersWithSpaces>2954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2024-04-21T00:44:00Z</dcterms:created>
  <dc:creator>新一天</dc:creator>
  <cp:lastModifiedBy>阿朵</cp:lastModifiedBy>
  <cp:lastPrinted>2025-09-17T08:36:00Z</cp:lastPrinted>
  <dcterms:modified xsi:type="dcterms:W3CDTF">2026-08-13T06:38:31Z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38D509D31E094394B22D2DAE07A88DA1_13</vt:lpwstr>
  </property>
  <property fmtid="{D5CDD505-2E9C-101B-9397-08002B2CF9AE}" pid="4" name="KSOTemplateDocerSaveRecord">
    <vt:lpwstr>eyJoZGlkIjoiYjdlODU2YzIzYTNiMDQ4ZmVjOTRlMTRjOGVlNjdjOGIiLCJ1c2VySWQiOiI2MDE2NTg1ODEifQ==</vt:lpwstr>
  </property>
</Properties>
</file>