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02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6A1B2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4D912DF3">
      <w:pPr>
        <w:spacing w:line="115" w:lineRule="exact"/>
        <w:rPr>
          <w:color w:val="000000"/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0A1F7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vAlign w:val="center"/>
          </w:tcPr>
          <w:p w14:paraId="3E81F80F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vAlign w:val="top"/>
          </w:tcPr>
          <w:p w14:paraId="205648FB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岳阳市市容环境卫生收费管理所</w:t>
            </w:r>
          </w:p>
        </w:tc>
      </w:tr>
      <w:tr w14:paraId="0A9D9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vAlign w:val="top"/>
          </w:tcPr>
          <w:p w14:paraId="233BF928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vAlign w:val="top"/>
          </w:tcPr>
          <w:p w14:paraId="7CAA36BA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vAlign w:val="top"/>
          </w:tcPr>
          <w:p w14:paraId="5BBA8E6F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vAlign w:val="top"/>
          </w:tcPr>
          <w:p w14:paraId="0113A1AA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0D0E4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5A6E28FA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top"/>
          </w:tcPr>
          <w:p w14:paraId="35A3AB9D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62</w:t>
            </w:r>
          </w:p>
        </w:tc>
        <w:tc>
          <w:tcPr>
            <w:tcW w:w="2325" w:type="dxa"/>
            <w:gridSpan w:val="2"/>
            <w:vAlign w:val="top"/>
          </w:tcPr>
          <w:p w14:paraId="77CB53E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39</w:t>
            </w:r>
          </w:p>
        </w:tc>
        <w:tc>
          <w:tcPr>
            <w:tcW w:w="1679" w:type="dxa"/>
            <w:gridSpan w:val="2"/>
            <w:vAlign w:val="top"/>
          </w:tcPr>
          <w:p w14:paraId="015F6DBD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62.90%</w:t>
            </w:r>
          </w:p>
        </w:tc>
      </w:tr>
      <w:tr w14:paraId="0E7E0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vAlign w:val="top"/>
          </w:tcPr>
          <w:p w14:paraId="52C58849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vAlign w:val="top"/>
          </w:tcPr>
          <w:p w14:paraId="1AE9E4BE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vAlign w:val="top"/>
          </w:tcPr>
          <w:p w14:paraId="74ABDEFE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vAlign w:val="top"/>
          </w:tcPr>
          <w:p w14:paraId="0EE357EA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394A7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504C5F9C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1E9ACDF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vAlign w:val="top"/>
          </w:tcPr>
          <w:p w14:paraId="2C35C53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79" w:type="dxa"/>
            <w:gridSpan w:val="2"/>
            <w:vAlign w:val="top"/>
          </w:tcPr>
          <w:p w14:paraId="69ED60CB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2.21</w:t>
            </w:r>
          </w:p>
        </w:tc>
      </w:tr>
      <w:tr w14:paraId="57A88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22A07235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742F8AD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vAlign w:val="top"/>
          </w:tcPr>
          <w:p w14:paraId="671A033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vAlign w:val="top"/>
          </w:tcPr>
          <w:p w14:paraId="791786C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624AF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4919A272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340E868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vAlign w:val="top"/>
          </w:tcPr>
          <w:p w14:paraId="0EA80CD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vAlign w:val="top"/>
          </w:tcPr>
          <w:p w14:paraId="634FF22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747DB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6258694E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68627AA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vAlign w:val="top"/>
          </w:tcPr>
          <w:p w14:paraId="342EA35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</w:t>
            </w:r>
          </w:p>
        </w:tc>
        <w:tc>
          <w:tcPr>
            <w:tcW w:w="1679" w:type="dxa"/>
            <w:gridSpan w:val="2"/>
            <w:vAlign w:val="top"/>
          </w:tcPr>
          <w:p w14:paraId="6095A32B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lang w:val="en-US" w:eastAsia="zh-CN"/>
              </w:rPr>
              <w:t>2.21</w:t>
            </w:r>
          </w:p>
        </w:tc>
      </w:tr>
      <w:tr w14:paraId="1E225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76C8E364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24457A2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vAlign w:val="top"/>
          </w:tcPr>
          <w:p w14:paraId="60276B0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vAlign w:val="top"/>
          </w:tcPr>
          <w:p w14:paraId="07B14C5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45E3C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55AFB461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30039C3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vAlign w:val="top"/>
          </w:tcPr>
          <w:p w14:paraId="2C901A7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vAlign w:val="top"/>
          </w:tcPr>
          <w:p w14:paraId="06D6E51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7F81E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2BCB6C0D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112F43F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微软雅黑" w:cs="宋体"/>
                <w:color w:val="auto"/>
                <w:sz w:val="21"/>
                <w:lang w:val="en-US" w:eastAsia="zh-CN"/>
              </w:rPr>
              <w:t>980.65</w:t>
            </w:r>
          </w:p>
        </w:tc>
        <w:tc>
          <w:tcPr>
            <w:tcW w:w="2325" w:type="dxa"/>
            <w:gridSpan w:val="2"/>
            <w:vAlign w:val="top"/>
          </w:tcPr>
          <w:p w14:paraId="1B58A6A9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宋体" w:hAnsi="宋体" w:eastAsia="微软雅黑" w:cs="宋体"/>
                <w:color w:val="auto"/>
                <w:sz w:val="21"/>
                <w:lang w:val="en-US" w:eastAsia="zh-CN"/>
              </w:rPr>
              <w:t>894</w:t>
            </w:r>
          </w:p>
        </w:tc>
        <w:tc>
          <w:tcPr>
            <w:tcW w:w="1679" w:type="dxa"/>
            <w:gridSpan w:val="2"/>
            <w:vAlign w:val="top"/>
          </w:tcPr>
          <w:p w14:paraId="1BC7F5A9">
            <w:pPr>
              <w:jc w:val="center"/>
              <w:rPr>
                <w:rFonts w:hint="eastAsia" w:ascii="宋体" w:hAnsi="宋体" w:eastAsia="微软雅黑" w:cs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宋体" w:hAnsi="宋体" w:eastAsia="微软雅黑" w:cs="宋体"/>
                <w:color w:val="auto"/>
                <w:sz w:val="21"/>
                <w:lang w:val="en-US" w:eastAsia="zh-CN"/>
              </w:rPr>
              <w:t>1053.08</w:t>
            </w:r>
          </w:p>
        </w:tc>
      </w:tr>
      <w:tr w14:paraId="30EC3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24C4E395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2CCCE0C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vAlign w:val="top"/>
          </w:tcPr>
          <w:p w14:paraId="44E18876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Align w:val="top"/>
          </w:tcPr>
          <w:p w14:paraId="68AB2F2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4C3C1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46BEA790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02932CA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vAlign w:val="top"/>
          </w:tcPr>
          <w:p w14:paraId="2907897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13A95C6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E7D8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29CACDF7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1574254D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vAlign w:val="top"/>
          </w:tcPr>
          <w:p w14:paraId="0860134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Align w:val="top"/>
          </w:tcPr>
          <w:p w14:paraId="3C071B2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22984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0EF806D2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4D900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68.88</w:t>
            </w:r>
          </w:p>
        </w:tc>
        <w:tc>
          <w:tcPr>
            <w:tcW w:w="2325" w:type="dxa"/>
            <w:gridSpan w:val="2"/>
            <w:vAlign w:val="center"/>
          </w:tcPr>
          <w:p w14:paraId="0218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82.8</w:t>
            </w:r>
          </w:p>
        </w:tc>
        <w:tc>
          <w:tcPr>
            <w:tcW w:w="1679" w:type="dxa"/>
            <w:gridSpan w:val="2"/>
            <w:vAlign w:val="center"/>
          </w:tcPr>
          <w:p w14:paraId="5CEF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80.38</w:t>
            </w:r>
          </w:p>
        </w:tc>
      </w:tr>
      <w:tr w14:paraId="79A33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58453DAB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8A7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64.39</w:t>
            </w:r>
          </w:p>
        </w:tc>
        <w:tc>
          <w:tcPr>
            <w:tcW w:w="2325" w:type="dxa"/>
            <w:gridSpan w:val="2"/>
            <w:vAlign w:val="center"/>
          </w:tcPr>
          <w:p w14:paraId="6ECBB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81.6</w:t>
            </w:r>
          </w:p>
        </w:tc>
        <w:tc>
          <w:tcPr>
            <w:tcW w:w="1679" w:type="dxa"/>
            <w:gridSpan w:val="2"/>
            <w:vAlign w:val="center"/>
          </w:tcPr>
          <w:p w14:paraId="2DBA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79.1</w:t>
            </w:r>
          </w:p>
        </w:tc>
      </w:tr>
      <w:tr w14:paraId="3BF27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75BABE37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4771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3.36</w:t>
            </w:r>
          </w:p>
        </w:tc>
        <w:tc>
          <w:tcPr>
            <w:tcW w:w="2325" w:type="dxa"/>
            <w:gridSpan w:val="2"/>
            <w:vAlign w:val="center"/>
          </w:tcPr>
          <w:p w14:paraId="30A7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9" w:type="dxa"/>
            <w:gridSpan w:val="2"/>
            <w:vAlign w:val="center"/>
          </w:tcPr>
          <w:p w14:paraId="0752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</w:t>
            </w:r>
          </w:p>
        </w:tc>
      </w:tr>
      <w:tr w14:paraId="1ACDA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709A48A2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01F6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</w:t>
            </w:r>
          </w:p>
        </w:tc>
        <w:tc>
          <w:tcPr>
            <w:tcW w:w="2325" w:type="dxa"/>
            <w:gridSpan w:val="2"/>
            <w:vAlign w:val="center"/>
          </w:tcPr>
          <w:p w14:paraId="4802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</w:t>
            </w:r>
          </w:p>
        </w:tc>
        <w:tc>
          <w:tcPr>
            <w:tcW w:w="1679" w:type="dxa"/>
            <w:gridSpan w:val="2"/>
            <w:vAlign w:val="center"/>
          </w:tcPr>
          <w:p w14:paraId="0E68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</w:t>
            </w:r>
          </w:p>
        </w:tc>
      </w:tr>
      <w:tr w14:paraId="20139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5B0CAA49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2F96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124.64</w:t>
            </w:r>
          </w:p>
        </w:tc>
        <w:tc>
          <w:tcPr>
            <w:tcW w:w="2325" w:type="dxa"/>
            <w:gridSpan w:val="2"/>
            <w:vAlign w:val="center"/>
          </w:tcPr>
          <w:p w14:paraId="7866C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348.80</w:t>
            </w:r>
          </w:p>
        </w:tc>
        <w:tc>
          <w:tcPr>
            <w:tcW w:w="1679" w:type="dxa"/>
            <w:gridSpan w:val="2"/>
            <w:vAlign w:val="center"/>
          </w:tcPr>
          <w:p w14:paraId="5B1D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177.62</w:t>
            </w:r>
          </w:p>
        </w:tc>
      </w:tr>
      <w:tr w14:paraId="3BD56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218C47D2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vAlign w:val="top"/>
          </w:tcPr>
          <w:p w14:paraId="56E7F544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vAlign w:val="top"/>
          </w:tcPr>
          <w:p w14:paraId="05A11423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1E7CEBF8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37448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Merge w:val="restart"/>
            <w:tcBorders>
              <w:bottom w:val="nil"/>
            </w:tcBorders>
            <w:vAlign w:val="center"/>
          </w:tcPr>
          <w:p w14:paraId="3DA27842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7CBDAC10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vAlign w:val="center"/>
          </w:tcPr>
          <w:p w14:paraId="12160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24DAE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vAlign w:val="center"/>
          </w:tcPr>
          <w:p w14:paraId="1000C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676F1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vAlign w:val="center"/>
          </w:tcPr>
          <w:p w14:paraId="0C873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vAlign w:val="center"/>
          </w:tcPr>
          <w:p w14:paraId="51BDF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61CF4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vAlign w:val="center"/>
          </w:tcPr>
          <w:p w14:paraId="131A6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0D698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2FBE7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vAlign w:val="center"/>
          </w:tcPr>
          <w:p w14:paraId="6138E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2D705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76D75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32F12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0C45CC54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vAlign w:val="top"/>
          </w:tcPr>
          <w:p w14:paraId="5F0C4AC4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vAlign w:val="top"/>
          </w:tcPr>
          <w:p w14:paraId="3A183B8B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vAlign w:val="top"/>
          </w:tcPr>
          <w:p w14:paraId="53D84DF2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85" w:type="dxa"/>
            <w:vAlign w:val="top"/>
          </w:tcPr>
          <w:p w14:paraId="5B576027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10" w:type="dxa"/>
            <w:vAlign w:val="top"/>
          </w:tcPr>
          <w:p w14:paraId="12DE8E50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vAlign w:val="top"/>
          </w:tcPr>
          <w:p w14:paraId="5AA8C5E8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50817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Align w:val="top"/>
          </w:tcPr>
          <w:p w14:paraId="05768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vAlign w:val="top"/>
          </w:tcPr>
          <w:p w14:paraId="047CA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7D976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178C5F7F">
      <w:pPr>
        <w:rPr>
          <w:rFonts w:ascii="黑体" w:hAnsi="黑体" w:eastAsia="黑体" w:cs="黑体"/>
          <w:spacing w:val="-4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br w:type="page"/>
      </w:r>
    </w:p>
    <w:p w14:paraId="392E7B1E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23506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年度预算单位整体支出绩效自评表</w:t>
      </w:r>
    </w:p>
    <w:p w14:paraId="15F0F057">
      <w:pPr>
        <w:spacing w:line="132" w:lineRule="exact"/>
      </w:pPr>
    </w:p>
    <w:tbl>
      <w:tblPr>
        <w:tblStyle w:val="10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7F1B0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vAlign w:val="top"/>
          </w:tcPr>
          <w:p w14:paraId="17C5C49F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86" w:type="dxa"/>
            <w:gridSpan w:val="6"/>
            <w:vAlign w:val="top"/>
          </w:tcPr>
          <w:p w14:paraId="327B26D1">
            <w:pPr>
              <w:pStyle w:val="11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岳阳市市容环境卫生收费管理所</w:t>
            </w:r>
          </w:p>
        </w:tc>
      </w:tr>
      <w:tr w14:paraId="783CE5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6DF636C1">
            <w:pPr>
              <w:pStyle w:val="11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782FEB94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2113" w:type="dxa"/>
            <w:gridSpan w:val="2"/>
            <w:vAlign w:val="top"/>
          </w:tcPr>
          <w:p w14:paraId="73686757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9" w:type="dxa"/>
            <w:vAlign w:val="top"/>
          </w:tcPr>
          <w:p w14:paraId="65F65574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10" w:type="dxa"/>
            <w:vAlign w:val="top"/>
          </w:tcPr>
          <w:p w14:paraId="008A1603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68" w:type="dxa"/>
            <w:vAlign w:val="top"/>
          </w:tcPr>
          <w:p w14:paraId="5490E143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16" w:type="dxa"/>
            <w:vAlign w:val="top"/>
          </w:tcPr>
          <w:p w14:paraId="0EB390A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4C330849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vAlign w:val="top"/>
          </w:tcPr>
          <w:p w14:paraId="74459F59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D871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1732895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113" w:type="dxa"/>
            <w:gridSpan w:val="2"/>
            <w:vAlign w:val="top"/>
          </w:tcPr>
          <w:p w14:paraId="7B3EDE6C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69" w:type="dxa"/>
            <w:vAlign w:val="center"/>
          </w:tcPr>
          <w:p w14:paraId="6834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1,687.88</w:t>
            </w:r>
          </w:p>
        </w:tc>
        <w:tc>
          <w:tcPr>
            <w:tcW w:w="1310" w:type="dxa"/>
            <w:vAlign w:val="center"/>
          </w:tcPr>
          <w:p w14:paraId="7C6F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1,861.60</w:t>
            </w:r>
          </w:p>
        </w:tc>
        <w:tc>
          <w:tcPr>
            <w:tcW w:w="1268" w:type="dxa"/>
            <w:vAlign w:val="center"/>
          </w:tcPr>
          <w:p w14:paraId="319A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1,815.73</w:t>
            </w:r>
          </w:p>
        </w:tc>
        <w:tc>
          <w:tcPr>
            <w:tcW w:w="716" w:type="dxa"/>
            <w:vAlign w:val="top"/>
          </w:tcPr>
          <w:p w14:paraId="196C6312">
            <w:pPr>
              <w:pStyle w:val="11"/>
              <w:spacing w:before="54" w:line="194" w:lineRule="auto"/>
              <w:ind w:left="27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z w:val="19"/>
                <w:szCs w:val="19"/>
              </w:rPr>
              <w:t>10</w:t>
            </w:r>
          </w:p>
        </w:tc>
        <w:tc>
          <w:tcPr>
            <w:tcW w:w="873" w:type="dxa"/>
            <w:vAlign w:val="center"/>
          </w:tcPr>
          <w:p w14:paraId="1E9B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97.54%</w:t>
            </w:r>
          </w:p>
        </w:tc>
        <w:tc>
          <w:tcPr>
            <w:tcW w:w="1450" w:type="dxa"/>
            <w:vAlign w:val="center"/>
          </w:tcPr>
          <w:p w14:paraId="3E33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9.75 </w:t>
            </w:r>
          </w:p>
        </w:tc>
      </w:tr>
      <w:tr w14:paraId="61E6AD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16E74D5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vAlign w:val="top"/>
          </w:tcPr>
          <w:p w14:paraId="243659BC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07" w:type="dxa"/>
            <w:gridSpan w:val="4"/>
            <w:vAlign w:val="top"/>
          </w:tcPr>
          <w:p w14:paraId="1D37BF5A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223D3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A2E980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vAlign w:val="top"/>
          </w:tcPr>
          <w:p w14:paraId="36DE222C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1811.82</w:t>
            </w:r>
          </w:p>
        </w:tc>
        <w:tc>
          <w:tcPr>
            <w:tcW w:w="4307" w:type="dxa"/>
            <w:gridSpan w:val="4"/>
            <w:vAlign w:val="top"/>
          </w:tcPr>
          <w:p w14:paraId="43AB78E9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762.65</w:t>
            </w:r>
          </w:p>
        </w:tc>
      </w:tr>
      <w:tr w14:paraId="35C1D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221B163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vAlign w:val="top"/>
          </w:tcPr>
          <w:p w14:paraId="7603F696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307" w:type="dxa"/>
            <w:gridSpan w:val="4"/>
            <w:vAlign w:val="top"/>
          </w:tcPr>
          <w:p w14:paraId="2839CAC4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1053.08</w:t>
            </w:r>
          </w:p>
        </w:tc>
      </w:tr>
      <w:tr w14:paraId="30660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46B6182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vAlign w:val="top"/>
          </w:tcPr>
          <w:p w14:paraId="11579EC5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307" w:type="dxa"/>
            <w:gridSpan w:val="4"/>
            <w:vAlign w:val="top"/>
          </w:tcPr>
          <w:p w14:paraId="79EF6E1B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5D96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36DE622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vAlign w:val="top"/>
          </w:tcPr>
          <w:p w14:paraId="76154E82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  <w:lang w:val="en-US" w:eastAsia="zh-CN"/>
              </w:rPr>
              <w:t>3.91</w:t>
            </w:r>
          </w:p>
        </w:tc>
        <w:tc>
          <w:tcPr>
            <w:tcW w:w="4307" w:type="dxa"/>
            <w:gridSpan w:val="4"/>
            <w:vAlign w:val="top"/>
          </w:tcPr>
          <w:p w14:paraId="183DB87C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A8D8C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2EB989C9">
            <w:pPr>
              <w:pStyle w:val="11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406DB7B0">
            <w:pPr>
              <w:pStyle w:val="11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2018DBDF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692" w:type="dxa"/>
            <w:gridSpan w:val="4"/>
            <w:vAlign w:val="top"/>
          </w:tcPr>
          <w:p w14:paraId="0A18D5EF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07" w:type="dxa"/>
            <w:gridSpan w:val="4"/>
            <w:vAlign w:val="top"/>
          </w:tcPr>
          <w:p w14:paraId="7E80A72C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14416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3A4B23A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vAlign w:val="center"/>
          </w:tcPr>
          <w:p w14:paraId="2D1D9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1、征收市中心城区生活垃圾处理费完成800万元；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2、负责管辖范围主干道两侧公共区域垃圾分类点及放置的钩臂桶、塑料密封桶的垃圾转运入站工作；负责委托转运的企事业单位、学校、医院、门店、小区等生活垃圾转运入站工作。</w:t>
            </w:r>
          </w:p>
        </w:tc>
        <w:tc>
          <w:tcPr>
            <w:tcW w:w="4307" w:type="dxa"/>
            <w:gridSpan w:val="4"/>
            <w:shd w:val="clear" w:color="auto" w:fill="FFFFFF"/>
            <w:vAlign w:val="center"/>
          </w:tcPr>
          <w:p w14:paraId="43B0D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1、征收市中心城区生活垃圾处理费截止2024年12月31日完成877万元；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2、负责管辖范围主干道两侧公共区域垃圾分类点及放置的钩臂桶、塑料密封桶的垃圾转运入站工作；负责委托转运的企事业单位、学校、医院、门店、小区等生活垃圾转运入站工作。</w:t>
            </w:r>
          </w:p>
        </w:tc>
      </w:tr>
      <w:tr w14:paraId="739E4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left w:val="single" w:color="auto" w:sz="4" w:space="0"/>
              <w:bottom w:val="nil"/>
            </w:tcBorders>
            <w:textDirection w:val="tbRlV"/>
            <w:vAlign w:val="top"/>
          </w:tcPr>
          <w:p w14:paraId="045B31A7">
            <w:pPr>
              <w:pStyle w:val="11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5D8DFB8D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tcBorders>
              <w:bottom w:val="single" w:color="auto" w:sz="4" w:space="0"/>
            </w:tcBorders>
            <w:vAlign w:val="top"/>
          </w:tcPr>
          <w:p w14:paraId="0151892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34" w:type="dxa"/>
            <w:tcBorders>
              <w:bottom w:val="single" w:color="auto" w:sz="4" w:space="0"/>
            </w:tcBorders>
            <w:vAlign w:val="top"/>
          </w:tcPr>
          <w:p w14:paraId="3D4BC138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69" w:type="dxa"/>
            <w:vAlign w:val="top"/>
          </w:tcPr>
          <w:p w14:paraId="51EC1223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10" w:type="dxa"/>
            <w:vAlign w:val="top"/>
          </w:tcPr>
          <w:p w14:paraId="056D2C2D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68" w:type="dxa"/>
            <w:vAlign w:val="top"/>
          </w:tcPr>
          <w:p w14:paraId="4713D6B0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6" w:type="dxa"/>
            <w:vAlign w:val="top"/>
          </w:tcPr>
          <w:p w14:paraId="480B6A4D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5F50CEE5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vAlign w:val="top"/>
          </w:tcPr>
          <w:p w14:paraId="17FFD1FB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33783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795F7D1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5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6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26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73B0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城镇生活垃圾处理费非税收入指标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3722A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800万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65662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877万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885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A55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75A5B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超额完成城镇垃圾处理费非税收入77万元。</w:t>
            </w:r>
          </w:p>
        </w:tc>
      </w:tr>
      <w:tr w14:paraId="206B3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28A3231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97CFB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CF19B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0E28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设备维修次数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2F33E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12次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02BAD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12次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EE3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0F6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2195EC4E">
            <w:pPr>
              <w:jc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59B0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432A968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A1CA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52736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572B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塑料密封桶购置只数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62AB6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360只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2DCE0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161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E02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3C4BF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南湖新区范围环卫收费与垃圾转运入站工作自2024年1月1日起，由我所移交至南湖新区城管事务中心。2024年计划采购的塑料密封桶，与区机关事务中心、区财政局对接减少至200只。</w:t>
            </w:r>
          </w:p>
        </w:tc>
      </w:tr>
      <w:tr w14:paraId="15D0D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6A8441E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FA87B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723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53B8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压缩式生产用车维修次数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1E8A3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12次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0F42F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12次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9C1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5EB5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65EB6068">
            <w:pPr>
              <w:jc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7CA8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5014982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51000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5F58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3509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其他生产用车维修次数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6480A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12次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4E03C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12次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BF7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9FA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5103F5C1">
            <w:pPr>
              <w:jc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00F7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5BB70F1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BEEB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1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26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A013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垃圾转运率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408FA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6C069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66CE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6B23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3ED9FC12">
            <w:pPr>
              <w:jc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806BC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2360B14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C01E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19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269" w:type="dxa"/>
            <w:shd w:val="clear" w:color="auto" w:fill="FFFFFF"/>
            <w:vAlign w:val="center"/>
          </w:tcPr>
          <w:p w14:paraId="1C646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收费工作完成时间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2B163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2024年12月31日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62F88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2024年12月31日</w:t>
            </w:r>
          </w:p>
        </w:tc>
        <w:tc>
          <w:tcPr>
            <w:tcW w:w="716" w:type="dxa"/>
            <w:vAlign w:val="center"/>
          </w:tcPr>
          <w:p w14:paraId="3634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Align w:val="center"/>
          </w:tcPr>
          <w:p w14:paraId="5317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6E902DC1">
            <w:pPr>
              <w:jc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E5E0E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047C63C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7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E47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269" w:type="dxa"/>
            <w:shd w:val="clear" w:color="auto" w:fill="FFFFFF"/>
            <w:vAlign w:val="center"/>
          </w:tcPr>
          <w:p w14:paraId="4F7C9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非税收入指标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402A2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800万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015F7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877万</w:t>
            </w:r>
          </w:p>
        </w:tc>
        <w:tc>
          <w:tcPr>
            <w:tcW w:w="716" w:type="dxa"/>
            <w:vAlign w:val="center"/>
          </w:tcPr>
          <w:p w14:paraId="072E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Align w:val="center"/>
          </w:tcPr>
          <w:p w14:paraId="5A6C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77AB431F">
            <w:pPr>
              <w:jc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CA6B5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7774A9C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ABBB0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8A7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269" w:type="dxa"/>
            <w:shd w:val="clear" w:color="auto" w:fill="FFFFFF"/>
            <w:vAlign w:val="center"/>
          </w:tcPr>
          <w:p w14:paraId="7237F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给居民提供良好的生活环境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596F5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4D00B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716" w:type="dxa"/>
            <w:vAlign w:val="center"/>
          </w:tcPr>
          <w:p w14:paraId="75A0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Align w:val="center"/>
          </w:tcPr>
          <w:p w14:paraId="4E7A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6B3E30FF">
            <w:pPr>
              <w:jc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BE60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3D24493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B4A1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593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269" w:type="dxa"/>
            <w:shd w:val="clear" w:color="auto" w:fill="FFFFFF"/>
            <w:vAlign w:val="center"/>
          </w:tcPr>
          <w:p w14:paraId="160B7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美化城市环境，优化生态环境</w:t>
            </w:r>
          </w:p>
        </w:tc>
        <w:tc>
          <w:tcPr>
            <w:tcW w:w="1310" w:type="dxa"/>
            <w:shd w:val="clear" w:color="auto" w:fill="FFFFFF"/>
            <w:vAlign w:val="center"/>
          </w:tcPr>
          <w:p w14:paraId="1F745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1178D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716" w:type="dxa"/>
            <w:vAlign w:val="center"/>
          </w:tcPr>
          <w:p w14:paraId="065F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Align w:val="center"/>
          </w:tcPr>
          <w:p w14:paraId="338F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5F6BE03B">
            <w:pPr>
              <w:jc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FB22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80B9BB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00202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A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A05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深化全国文明城市、国家卫生城市建设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095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2F3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center"/>
          </w:tcPr>
          <w:p w14:paraId="29BB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Align w:val="center"/>
          </w:tcPr>
          <w:p w14:paraId="05B8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08B0ADE6">
            <w:pPr>
              <w:jc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CC1A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C26D7D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C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D4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113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社会公众满意度指标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A61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1FE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center"/>
          </w:tcPr>
          <w:p w14:paraId="7F78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Align w:val="center"/>
          </w:tcPr>
          <w:p w14:paraId="16570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0043BB8C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D9F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540482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84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6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F22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成本控制经费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851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成本控制在预算内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1C8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成本控制在预算内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center"/>
          </w:tcPr>
          <w:p w14:paraId="1DF26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Align w:val="center"/>
          </w:tcPr>
          <w:p w14:paraId="19B6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665C97F3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CF6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2BA60D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AB4AA5">
            <w:pPr>
              <w:jc w:val="center"/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595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减少环卫设施设备运行损耗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4B2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下降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0F9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下降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center"/>
          </w:tcPr>
          <w:p w14:paraId="6C2B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Align w:val="center"/>
          </w:tcPr>
          <w:p w14:paraId="11AB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3E4230D6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AE50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107531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4AC0A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9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95D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水电节约情况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8BA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下降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124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下降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center"/>
          </w:tcPr>
          <w:p w14:paraId="392E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Align w:val="center"/>
          </w:tcPr>
          <w:p w14:paraId="2A79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23F08F0F">
            <w:pPr>
              <w:jc w:val="center"/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5A2D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3792BB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top"/>
          </w:tcPr>
          <w:p w14:paraId="68590994">
            <w:pPr>
              <w:spacing w:before="75" w:line="195" w:lineRule="auto"/>
              <w:ind w:left="2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873" w:type="dxa"/>
            <w:vAlign w:val="top"/>
          </w:tcPr>
          <w:p w14:paraId="518B714C">
            <w:pPr>
              <w:spacing w:before="75" w:line="195" w:lineRule="auto"/>
              <w:ind w:left="23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98.75</w:t>
            </w:r>
          </w:p>
        </w:tc>
        <w:tc>
          <w:tcPr>
            <w:tcW w:w="1450" w:type="dxa"/>
            <w:vAlign w:val="top"/>
          </w:tcPr>
          <w:p w14:paraId="43C900D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</w:tbl>
    <w:p w14:paraId="1E76D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E0F6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32C9A55B">
      <w:pPr>
        <w:rPr>
          <w:rFonts w:ascii="黑体" w:hAnsi="黑体" w:eastAsia="黑体" w:cs="黑体"/>
          <w:spacing w:val="-4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br w:type="page"/>
      </w:r>
    </w:p>
    <w:p w14:paraId="2F43EDF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4B9BA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10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68FD4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vAlign w:val="top"/>
          </w:tcPr>
          <w:p w14:paraId="6F66C93C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vAlign w:val="top"/>
          </w:tcPr>
          <w:p w14:paraId="7404E6AE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52F7F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Align w:val="top"/>
          </w:tcPr>
          <w:p w14:paraId="7CD1C8F4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vAlign w:val="top"/>
          </w:tcPr>
          <w:p w14:paraId="754D6A6A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vAlign w:val="top"/>
          </w:tcPr>
          <w:p w14:paraId="0C0A1AAD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vAlign w:val="top"/>
          </w:tcPr>
          <w:p w14:paraId="57A6CFA9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42D0E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5B7FB2DE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4625C2AA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vAlign w:val="top"/>
          </w:tcPr>
          <w:p w14:paraId="7426469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B9FAC7D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vAlign w:val="top"/>
          </w:tcPr>
          <w:p w14:paraId="09916DD5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vAlign w:val="top"/>
          </w:tcPr>
          <w:p w14:paraId="4834B4E9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vAlign w:val="top"/>
          </w:tcPr>
          <w:p w14:paraId="7CB056A2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27D566C8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vAlign w:val="top"/>
          </w:tcPr>
          <w:p w14:paraId="34DB8009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3214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D22461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2F9D1D25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vAlign w:val="top"/>
          </w:tcPr>
          <w:p w14:paraId="174F79B8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vAlign w:val="top"/>
          </w:tcPr>
          <w:p w14:paraId="64C64E41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vAlign w:val="top"/>
          </w:tcPr>
          <w:p w14:paraId="1109660C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vAlign w:val="top"/>
          </w:tcPr>
          <w:p w14:paraId="6B92D034">
            <w:pPr>
              <w:spacing w:before="64" w:line="195" w:lineRule="auto"/>
              <w:ind w:left="331"/>
              <w:jc w:val="left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0FE9DF44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vAlign w:val="top"/>
          </w:tcPr>
          <w:p w14:paraId="5FC1BC99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58D21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6194CDD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7E5C73D6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vAlign w:val="top"/>
          </w:tcPr>
          <w:p w14:paraId="32255B7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538E43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25B4B54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49DB265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51077D8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4500C64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5E19D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69B86B1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7F1EEDEB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vAlign w:val="top"/>
          </w:tcPr>
          <w:p w14:paraId="7E267A3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3077D5A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3DFD1F1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5CECB7E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1D5E2BF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46A19D3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11E8F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7C9891C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43025BF5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vAlign w:val="top"/>
          </w:tcPr>
          <w:p w14:paraId="6EDF443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68C735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59E84E6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535A3B0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76731D4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2A08AFC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12DBB3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312BA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68BD0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02E6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vAlign w:val="top"/>
          </w:tcPr>
          <w:p w14:paraId="2C1439EF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vAlign w:val="top"/>
          </w:tcPr>
          <w:p w14:paraId="113E359F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27B1A1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1297027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vAlign w:val="top"/>
          </w:tcPr>
          <w:p w14:paraId="6C70FCC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vAlign w:val="top"/>
          </w:tcPr>
          <w:p w14:paraId="329B6C4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5390D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 w14:paraId="0DD1D3D1">
            <w:pPr>
              <w:pStyle w:val="11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B029F61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vAlign w:val="top"/>
          </w:tcPr>
          <w:p w14:paraId="5F4B4F93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vAlign w:val="top"/>
          </w:tcPr>
          <w:p w14:paraId="67A00BBF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vAlign w:val="top"/>
          </w:tcPr>
          <w:p w14:paraId="622A6DA9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vAlign w:val="top"/>
          </w:tcPr>
          <w:p w14:paraId="306C1BD5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620344C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vAlign w:val="top"/>
          </w:tcPr>
          <w:p w14:paraId="0DDC1A74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3D72F12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vAlign w:val="top"/>
          </w:tcPr>
          <w:p w14:paraId="6698BE23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776760B3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vAlign w:val="top"/>
          </w:tcPr>
          <w:p w14:paraId="4F36985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498F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7BA2C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6F4EE51B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FAB02FA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3331187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99AB698">
            <w:pPr>
              <w:pStyle w:val="11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06A70B04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5D90C19E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66F48AC4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49C7842F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3C7C9BF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75C089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8E3EAA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13C231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3296F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05E6FC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B3361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F228D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9C311A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494D59C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4D43C15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06ECE7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1D0DE7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213790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53889E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ABB866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22F4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A6A6A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16CC1AF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66CAE53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802C997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7E75AA5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645030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666814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D85F45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9361D7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8BA9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FE5FAA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4E01D96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2D18D1DF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577B00D5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62F614D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15FA47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E2CE13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430219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61BE3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693F1A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441B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21CEB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EF90ED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5C0B336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802785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924236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82B388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CEF89E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733544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447E07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B46D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B2ED6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150F18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75BBFA8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5CDCD69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3C953C2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EBE18A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EC568F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AE696D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496976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7462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95C92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406678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6A53183A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44198E21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6455B865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6B45046A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45EB6E4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0F70AE2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24F561F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ED84905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186F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A861A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2D7084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5CE4EC4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4029700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891C6D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893771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8B3A7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D3305E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390E2B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533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244F8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5BBE25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510F364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42D31E56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7CD0284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4A661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0BA27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E85018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52C05D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C33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3D5AF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72E374D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017902A5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244CC138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5FC6244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04333F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CE8751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E029AD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2E3080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636857E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E76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B4795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E4B845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729AD9D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6A64814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6FCF766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1E6E3D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0A1C72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5C95EAD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352B2B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4165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0B951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341F1C0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1475529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1428966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30B7614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DF5235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26E278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0A7CD05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A9C46F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433F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554A108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vAlign w:val="top"/>
          </w:tcPr>
          <w:p w14:paraId="7BB8B1D0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D82B1B0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2EC4E1F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4D930D7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2C9CD34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vAlign w:val="top"/>
          </w:tcPr>
          <w:p w14:paraId="36F6E798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2DFB6A0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85489E2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367D001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02BF28C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E51936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18AC37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BDB3F3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707EC0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7DCA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9A8A43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5C41D89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31903CB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60CAC7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4C906B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566F6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8311B1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1A15A1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9BEDEB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E68A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FD1380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3C07F7F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382BB13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5181A56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69F40AA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FDA03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D34002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0B45E7D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4CF774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82A0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5B9D08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2EF11BB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69CC07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63513D1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6727F54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81588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86403F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4D3848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EE25AE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E52153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4A53FC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DD735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5D3E38B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57A0080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271D7CE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30D9DE1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C7CC1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154D98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643B29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E3E374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298BE5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D3E4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2A61CC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29D785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41F2F90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7F9D438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727FAEE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9E16FE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CAD225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57CFFE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4D6234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85D32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A6C2EF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07E5EF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3762E338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0058CD70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404E6A8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06FAF5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BB3F7A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1AE38A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E3EE9C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7C02AF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605393D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BE1E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141E8F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AC9E69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59AFFE6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786C5AD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7F3C19E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F86A80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0AF543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01CD3D4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123029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C196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6851A4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C9AE5E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48B6E8A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37C886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5227FD0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75E82E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937872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999914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79CE606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960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4694D2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B2F7D2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vAlign w:val="top"/>
          </w:tcPr>
          <w:p w14:paraId="3924B3CF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4F9FDC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55E17F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E6E481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421CC1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3CDD4C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A3E2F8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0FAF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FE998A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top"/>
          </w:tcPr>
          <w:p w14:paraId="20948CC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044BB5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D51991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631BC4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60BCA4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7185F4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A776F6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9B14C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2D57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28CC96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24F6EAF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4E825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64C9D4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62B3704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635F08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658F491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2F9056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0C7A73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F6AE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D9299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48690DD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2710670B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716A5B4B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0FED9ED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E27B05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3DFFF252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vAlign w:val="top"/>
          </w:tcPr>
          <w:p w14:paraId="6D02BD9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7765864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F9BD8F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AC0663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564E007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3DCC28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278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3AB2A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BB41AD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274B82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1C15E2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F57B85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31CC48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90CA73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FE4CCC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B3F2B8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EE35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textDirection w:val="tbRlV"/>
            <w:vAlign w:val="top"/>
          </w:tcPr>
          <w:p w14:paraId="5454E40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64CCB6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026C49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01F79267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3A11E2D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42A17C9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269E6B3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2942594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5DB99E1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4A2E7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vAlign w:val="top"/>
          </w:tcPr>
          <w:p w14:paraId="127F23E4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vAlign w:val="top"/>
          </w:tcPr>
          <w:p w14:paraId="7451C466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022A5784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vAlign w:val="top"/>
          </w:tcPr>
          <w:p w14:paraId="74D6577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</w:tbl>
    <w:p w14:paraId="3C89C99A">
      <w:pPr>
        <w:spacing w:line="217" w:lineRule="auto"/>
        <w:rPr>
          <w:sz w:val="22"/>
          <w:szCs w:val="22"/>
        </w:rPr>
      </w:pPr>
    </w:p>
    <w:p w14:paraId="37B08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3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7E047795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57921A73">
      <w:pPr>
        <w:spacing w:line="250" w:lineRule="auto"/>
        <w:rPr>
          <w:rFonts w:ascii="Arial"/>
          <w:sz w:val="21"/>
        </w:rPr>
      </w:pPr>
    </w:p>
    <w:p w14:paraId="48B35739">
      <w:pPr>
        <w:spacing w:line="250" w:lineRule="auto"/>
        <w:rPr>
          <w:rFonts w:ascii="Arial"/>
          <w:sz w:val="21"/>
        </w:rPr>
      </w:pPr>
    </w:p>
    <w:p w14:paraId="582B4219">
      <w:pPr>
        <w:spacing w:line="250" w:lineRule="auto"/>
        <w:rPr>
          <w:rFonts w:ascii="Arial"/>
          <w:sz w:val="21"/>
        </w:rPr>
      </w:pPr>
    </w:p>
    <w:p w14:paraId="386AAC23">
      <w:pPr>
        <w:spacing w:line="250" w:lineRule="auto"/>
        <w:rPr>
          <w:rFonts w:ascii="Arial"/>
          <w:sz w:val="21"/>
        </w:rPr>
      </w:pPr>
    </w:p>
    <w:p w14:paraId="1F1511C7">
      <w:pPr>
        <w:spacing w:line="251" w:lineRule="auto"/>
        <w:rPr>
          <w:rFonts w:ascii="Arial"/>
          <w:sz w:val="21"/>
        </w:rPr>
      </w:pPr>
    </w:p>
    <w:p w14:paraId="115965DB">
      <w:pPr>
        <w:spacing w:line="251" w:lineRule="auto"/>
        <w:rPr>
          <w:rFonts w:ascii="Arial"/>
          <w:sz w:val="21"/>
        </w:rPr>
      </w:pPr>
    </w:p>
    <w:p w14:paraId="100A84CF">
      <w:pPr>
        <w:spacing w:line="251" w:lineRule="auto"/>
        <w:rPr>
          <w:rFonts w:ascii="Arial"/>
          <w:sz w:val="21"/>
        </w:rPr>
      </w:pPr>
    </w:p>
    <w:p w14:paraId="4D3571B6">
      <w:pPr>
        <w:spacing w:line="251" w:lineRule="auto"/>
        <w:rPr>
          <w:rFonts w:ascii="Arial"/>
          <w:sz w:val="21"/>
        </w:rPr>
      </w:pPr>
    </w:p>
    <w:p w14:paraId="5CD50FC6">
      <w:pPr>
        <w:spacing w:line="251" w:lineRule="auto"/>
        <w:rPr>
          <w:rFonts w:ascii="Arial"/>
          <w:sz w:val="21"/>
        </w:rPr>
      </w:pPr>
    </w:p>
    <w:p w14:paraId="0606B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华文中宋" w:hAnsi="华文中宋" w:eastAsia="华文中宋" w:cs="华文中宋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b w:val="0"/>
          <w:bCs w:val="0"/>
          <w:color w:val="000000"/>
          <w:spacing w:val="2"/>
          <w:sz w:val="42"/>
          <w:szCs w:val="42"/>
          <w:lang w:eastAsia="zh-CN"/>
        </w:rPr>
        <w:t>年度岳阳市市容环境卫生收费管理所</w:t>
      </w:r>
    </w:p>
    <w:p w14:paraId="025A2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color w:val="000000"/>
          <w:spacing w:val="2"/>
          <w:sz w:val="42"/>
          <w:szCs w:val="42"/>
          <w:lang w:eastAsia="zh-CN"/>
        </w:rPr>
        <w:t>整体支出绩效自评报告</w:t>
      </w:r>
    </w:p>
    <w:p w14:paraId="00EACAA2">
      <w:pPr>
        <w:spacing w:line="243" w:lineRule="auto"/>
        <w:rPr>
          <w:rFonts w:ascii="Arial"/>
          <w:sz w:val="21"/>
        </w:rPr>
      </w:pPr>
    </w:p>
    <w:p w14:paraId="5BCD7491">
      <w:pPr>
        <w:spacing w:line="243" w:lineRule="auto"/>
        <w:rPr>
          <w:rFonts w:ascii="Arial"/>
          <w:sz w:val="21"/>
        </w:rPr>
      </w:pPr>
    </w:p>
    <w:p w14:paraId="6E5554A2">
      <w:pPr>
        <w:spacing w:line="243" w:lineRule="auto"/>
        <w:rPr>
          <w:rFonts w:ascii="Arial"/>
          <w:sz w:val="21"/>
        </w:rPr>
      </w:pPr>
    </w:p>
    <w:p w14:paraId="0014DA9D">
      <w:pPr>
        <w:spacing w:line="243" w:lineRule="auto"/>
        <w:rPr>
          <w:rFonts w:ascii="Arial"/>
          <w:sz w:val="21"/>
        </w:rPr>
      </w:pPr>
    </w:p>
    <w:p w14:paraId="6DE18BAA">
      <w:pPr>
        <w:spacing w:line="243" w:lineRule="auto"/>
        <w:rPr>
          <w:rFonts w:ascii="Arial"/>
          <w:sz w:val="21"/>
        </w:rPr>
      </w:pPr>
    </w:p>
    <w:p w14:paraId="3E0483AC">
      <w:pPr>
        <w:spacing w:line="243" w:lineRule="auto"/>
        <w:rPr>
          <w:rFonts w:ascii="Arial"/>
          <w:sz w:val="21"/>
        </w:rPr>
      </w:pPr>
    </w:p>
    <w:p w14:paraId="7A2A18F6">
      <w:pPr>
        <w:spacing w:line="243" w:lineRule="auto"/>
        <w:rPr>
          <w:rFonts w:ascii="Arial"/>
          <w:sz w:val="21"/>
        </w:rPr>
      </w:pPr>
    </w:p>
    <w:p w14:paraId="38EF8766">
      <w:pPr>
        <w:spacing w:line="243" w:lineRule="auto"/>
        <w:rPr>
          <w:rFonts w:ascii="Arial"/>
          <w:sz w:val="21"/>
        </w:rPr>
      </w:pPr>
    </w:p>
    <w:p w14:paraId="401DC575">
      <w:pPr>
        <w:spacing w:line="243" w:lineRule="auto"/>
        <w:rPr>
          <w:rFonts w:ascii="Arial"/>
          <w:sz w:val="21"/>
        </w:rPr>
      </w:pPr>
    </w:p>
    <w:p w14:paraId="5AF91691">
      <w:pPr>
        <w:spacing w:line="243" w:lineRule="auto"/>
        <w:rPr>
          <w:rFonts w:ascii="Arial"/>
          <w:sz w:val="21"/>
        </w:rPr>
      </w:pPr>
    </w:p>
    <w:p w14:paraId="42A371F8">
      <w:pPr>
        <w:spacing w:line="243" w:lineRule="auto"/>
        <w:rPr>
          <w:rFonts w:ascii="Arial"/>
          <w:sz w:val="21"/>
        </w:rPr>
      </w:pPr>
    </w:p>
    <w:p w14:paraId="2E3E0414">
      <w:pPr>
        <w:spacing w:line="243" w:lineRule="auto"/>
        <w:rPr>
          <w:rFonts w:ascii="Arial"/>
          <w:sz w:val="21"/>
        </w:rPr>
      </w:pPr>
    </w:p>
    <w:p w14:paraId="56AE1D16">
      <w:pPr>
        <w:spacing w:line="243" w:lineRule="auto"/>
        <w:rPr>
          <w:rFonts w:ascii="Arial"/>
          <w:sz w:val="21"/>
        </w:rPr>
      </w:pPr>
    </w:p>
    <w:p w14:paraId="36D2C854">
      <w:pPr>
        <w:spacing w:line="243" w:lineRule="auto"/>
        <w:rPr>
          <w:rFonts w:ascii="Arial"/>
          <w:sz w:val="21"/>
        </w:rPr>
      </w:pPr>
    </w:p>
    <w:p w14:paraId="56CF0A5D">
      <w:pPr>
        <w:spacing w:line="243" w:lineRule="auto"/>
        <w:rPr>
          <w:rFonts w:ascii="Arial"/>
          <w:sz w:val="21"/>
        </w:rPr>
      </w:pPr>
    </w:p>
    <w:p w14:paraId="6C554337">
      <w:pPr>
        <w:spacing w:line="243" w:lineRule="auto"/>
        <w:rPr>
          <w:rFonts w:ascii="Arial"/>
          <w:sz w:val="21"/>
        </w:rPr>
      </w:pPr>
    </w:p>
    <w:p w14:paraId="2BFE7E4F">
      <w:pPr>
        <w:spacing w:line="243" w:lineRule="auto"/>
        <w:rPr>
          <w:rFonts w:ascii="Arial"/>
          <w:sz w:val="21"/>
        </w:rPr>
      </w:pPr>
    </w:p>
    <w:p w14:paraId="1073BC8D">
      <w:pPr>
        <w:spacing w:line="243" w:lineRule="auto"/>
        <w:rPr>
          <w:rFonts w:ascii="Arial"/>
          <w:sz w:val="21"/>
        </w:rPr>
      </w:pPr>
    </w:p>
    <w:p w14:paraId="18C4E609">
      <w:pPr>
        <w:spacing w:line="243" w:lineRule="auto"/>
        <w:rPr>
          <w:rFonts w:ascii="Arial"/>
          <w:sz w:val="21"/>
        </w:rPr>
      </w:pPr>
    </w:p>
    <w:p w14:paraId="0E712439">
      <w:pPr>
        <w:spacing w:line="243" w:lineRule="auto"/>
        <w:rPr>
          <w:rFonts w:ascii="Arial"/>
          <w:sz w:val="21"/>
        </w:rPr>
      </w:pPr>
    </w:p>
    <w:p w14:paraId="140B7B00">
      <w:pPr>
        <w:spacing w:line="243" w:lineRule="auto"/>
        <w:rPr>
          <w:rFonts w:ascii="Arial"/>
          <w:sz w:val="21"/>
        </w:rPr>
      </w:pPr>
    </w:p>
    <w:p w14:paraId="4B5BEC53">
      <w:pPr>
        <w:spacing w:line="243" w:lineRule="auto"/>
        <w:rPr>
          <w:rFonts w:ascii="Arial"/>
          <w:sz w:val="21"/>
        </w:rPr>
      </w:pPr>
    </w:p>
    <w:p w14:paraId="2FE87CCA">
      <w:pPr>
        <w:spacing w:line="243" w:lineRule="auto"/>
        <w:rPr>
          <w:rFonts w:ascii="Arial"/>
          <w:sz w:val="21"/>
        </w:rPr>
      </w:pPr>
    </w:p>
    <w:p w14:paraId="3862EE4B">
      <w:pPr>
        <w:spacing w:line="243" w:lineRule="auto"/>
        <w:rPr>
          <w:rFonts w:ascii="Arial"/>
          <w:sz w:val="21"/>
        </w:rPr>
      </w:pPr>
    </w:p>
    <w:p w14:paraId="781D9AA4">
      <w:pPr>
        <w:spacing w:line="243" w:lineRule="auto"/>
        <w:rPr>
          <w:rFonts w:ascii="Arial"/>
          <w:sz w:val="21"/>
        </w:rPr>
      </w:pPr>
    </w:p>
    <w:p w14:paraId="1C9C4BE8">
      <w:pPr>
        <w:spacing w:line="244" w:lineRule="auto"/>
        <w:rPr>
          <w:rFonts w:ascii="Arial"/>
          <w:sz w:val="21"/>
        </w:rPr>
      </w:pPr>
    </w:p>
    <w:p w14:paraId="265B5D11">
      <w:pPr>
        <w:spacing w:line="244" w:lineRule="auto"/>
        <w:rPr>
          <w:rFonts w:ascii="Arial"/>
          <w:sz w:val="21"/>
        </w:rPr>
      </w:pPr>
    </w:p>
    <w:p w14:paraId="6E80CA7D">
      <w:pPr>
        <w:pStyle w:val="4"/>
        <w:spacing w:before="100" w:line="221" w:lineRule="auto"/>
        <w:ind w:left="1902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  <w:r>
        <w:rPr>
          <w:u w:val="single" w:color="auto"/>
        </w:rPr>
        <w:t xml:space="preserve">         </w:t>
      </w:r>
    </w:p>
    <w:p w14:paraId="04CACA5E">
      <w:pPr>
        <w:spacing w:before="228" w:line="222" w:lineRule="auto"/>
        <w:ind w:left="3179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30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646CF4B8">
      <w:pPr>
        <w:spacing w:line="335" w:lineRule="auto"/>
        <w:rPr>
          <w:rFonts w:ascii="Arial"/>
          <w:sz w:val="21"/>
        </w:rPr>
      </w:pPr>
    </w:p>
    <w:p w14:paraId="2CA8BB10">
      <w:pPr>
        <w:pStyle w:val="4"/>
        <w:spacing w:before="102" w:line="224" w:lineRule="auto"/>
        <w:ind w:left="3216"/>
      </w:pPr>
      <w:r>
        <w:rPr>
          <w:spacing w:val="8"/>
        </w:rPr>
        <w:t>（此页为封面）</w:t>
      </w:r>
    </w:p>
    <w:p w14:paraId="6BECBE3D">
      <w:pPr>
        <w:spacing w:line="224" w:lineRule="auto"/>
        <w:sectPr>
          <w:footerReference r:id="rId4" w:type="default"/>
          <w:pgSz w:w="11900" w:h="16833"/>
          <w:pgMar w:top="1401" w:right="1583" w:bottom="1445" w:left="1618" w:header="0" w:footer="1170" w:gutter="0"/>
          <w:pgNumType w:fmt="numberInDash" w:start="1"/>
          <w:cols w:space="720" w:num="1"/>
        </w:sectPr>
      </w:pPr>
    </w:p>
    <w:p w14:paraId="5D968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pacing w:val="6"/>
          <w:sz w:val="44"/>
          <w:szCs w:val="44"/>
        </w:rPr>
        <w:t>202</w:t>
      </w:r>
      <w:r>
        <w:rPr>
          <w:rFonts w:hint="eastAsia" w:ascii="华文中宋" w:hAnsi="华文中宋" w:eastAsia="华文中宋" w:cs="华文中宋"/>
          <w:spacing w:val="6"/>
          <w:sz w:val="44"/>
          <w:szCs w:val="44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spacing w:val="6"/>
          <w:sz w:val="44"/>
          <w:szCs w:val="44"/>
        </w:rPr>
        <w:t>年度</w:t>
      </w:r>
      <w:r>
        <w:rPr>
          <w:rFonts w:hint="eastAsia" w:ascii="华文中宋" w:hAnsi="华文中宋" w:eastAsia="华文中宋" w:cs="华文中宋"/>
          <w:color w:val="000000"/>
          <w:spacing w:val="0"/>
          <w:position w:val="0"/>
          <w:sz w:val="44"/>
          <w:szCs w:val="44"/>
          <w:lang w:val="en-US" w:eastAsia="zh-CN"/>
        </w:rPr>
        <w:t>岳阳市市容环境卫生收费管理所</w:t>
      </w:r>
      <w:r>
        <w:rPr>
          <w:rFonts w:hint="eastAsia" w:ascii="华文中宋" w:hAnsi="华文中宋" w:eastAsia="华文中宋" w:cs="华文中宋"/>
          <w:spacing w:val="6"/>
          <w:sz w:val="44"/>
          <w:szCs w:val="44"/>
        </w:rPr>
        <w:t>整体支出</w:t>
      </w:r>
      <w:r>
        <w:rPr>
          <w:rFonts w:hint="eastAsia" w:ascii="华文中宋" w:hAnsi="华文中宋" w:eastAsia="华文中宋" w:cs="华文中宋"/>
          <w:spacing w:val="7"/>
          <w:sz w:val="44"/>
          <w:szCs w:val="44"/>
        </w:rPr>
        <w:t>绩效自评报告</w:t>
      </w:r>
    </w:p>
    <w:p w14:paraId="469940DC">
      <w:pPr>
        <w:spacing w:line="283" w:lineRule="auto"/>
        <w:rPr>
          <w:rFonts w:ascii="Arial"/>
          <w:sz w:val="21"/>
        </w:rPr>
      </w:pPr>
    </w:p>
    <w:p w14:paraId="18758D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26C010FB">
      <w:pPr>
        <w:widowControl/>
        <w:spacing w:line="600" w:lineRule="exact"/>
        <w:ind w:firstLine="643" w:firstLineChars="200"/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  <w:t>（一）职能职责</w:t>
      </w:r>
    </w:p>
    <w:p w14:paraId="2611D60D">
      <w:pPr>
        <w:widowControl/>
        <w:spacing w:line="600" w:lineRule="exact"/>
        <w:ind w:firstLine="640" w:firstLineChars="200"/>
        <w:rPr>
          <w:rFonts w:hint="eastAsia"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1、负责市中心城区生活垃圾处理费的征收与管理；</w:t>
      </w:r>
    </w:p>
    <w:p w14:paraId="10438733">
      <w:pPr>
        <w:widowControl/>
        <w:spacing w:line="600" w:lineRule="exact"/>
        <w:ind w:firstLine="640" w:firstLineChars="200"/>
        <w:rPr>
          <w:rFonts w:hint="eastAsia"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2、负责主干道两侧、公共区域垃圾屋、垃圾围及放置的钩臂桶、塑料密封桶的垃圾转运入站工作；</w:t>
      </w:r>
    </w:p>
    <w:p w14:paraId="39B5EF3A">
      <w:pPr>
        <w:widowControl/>
        <w:spacing w:line="600" w:lineRule="exact"/>
        <w:ind w:firstLine="640" w:firstLineChars="200"/>
        <w:rPr>
          <w:rFonts w:hint="eastAsia"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3、负责市中心城区委托垃圾转运的机关、企事业单位、学校、医院、宾馆、酒店、小区、门店等的垃圾转运入站工作；</w:t>
      </w:r>
    </w:p>
    <w:p w14:paraId="2CDEF045">
      <w:pPr>
        <w:widowControl/>
        <w:spacing w:line="600" w:lineRule="exact"/>
        <w:ind w:firstLine="640" w:firstLineChars="200"/>
        <w:rPr>
          <w:rFonts w:hint="default"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4、负责上级主管部门交办的其他工作。</w:t>
      </w:r>
      <w:r>
        <w:rPr>
          <w:rFonts w:hint="default" w:ascii="仿宋" w:hAnsi="仿宋" w:eastAsia="仿宋" w:cs="仿宋_GB2312"/>
          <w:kern w:val="0"/>
          <w:sz w:val="32"/>
          <w:szCs w:val="32"/>
        </w:rPr>
        <w:t xml:space="preserve"> </w:t>
      </w:r>
    </w:p>
    <w:p w14:paraId="52695B03">
      <w:pPr>
        <w:widowControl/>
        <w:spacing w:line="600" w:lineRule="exact"/>
        <w:ind w:firstLine="643" w:firstLineChars="200"/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  <w:t>（二）机构设置</w:t>
      </w:r>
    </w:p>
    <w:p w14:paraId="7F591D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640" w:firstLineChars="200"/>
        <w:jc w:val="left"/>
        <w:textAlignment w:val="auto"/>
        <w:rPr>
          <w:rFonts w:hint="eastAsia"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岳阳市市容环境卫生收费管理所属正科级全额事业单位，本部门内设人秘股、计财股、考评股、综合股4个股室，下设大费队、小费队、综合收费队3个收费队及转运一队、转运二队、车队3个市容卫生管理队。本部门现有职工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190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人，其中在编事业编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39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人，退休事业</w:t>
      </w:r>
      <w:r>
        <w:rPr>
          <w:rFonts w:hint="eastAsia" w:ascii="仿宋" w:hAnsi="仿宋" w:eastAsia="仿宋" w:cs="仿宋_GB2312"/>
          <w:kern w:val="0"/>
          <w:sz w:val="32"/>
          <w:szCs w:val="32"/>
          <w:lang w:eastAsia="zh-CN"/>
        </w:rPr>
        <w:t>人员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49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人，退休企业</w:t>
      </w:r>
      <w:r>
        <w:rPr>
          <w:rFonts w:hint="eastAsia" w:ascii="仿宋" w:hAnsi="仿宋" w:eastAsia="仿宋" w:cs="仿宋_GB2312"/>
          <w:kern w:val="0"/>
          <w:sz w:val="32"/>
          <w:szCs w:val="32"/>
          <w:lang w:eastAsia="zh-CN"/>
        </w:rPr>
        <w:t>人员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1人，</w:t>
      </w:r>
      <w:r>
        <w:rPr>
          <w:rFonts w:hint="eastAsia" w:ascii="仿宋" w:hAnsi="仿宋" w:eastAsia="仿宋" w:cs="仿宋_GB2312"/>
          <w:kern w:val="0"/>
          <w:sz w:val="32"/>
          <w:szCs w:val="32"/>
          <w:lang w:eastAsia="zh-CN"/>
        </w:rPr>
        <w:t>退休合同工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1人，企业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编5人、参企4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人，临聘人员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54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人。</w:t>
      </w:r>
    </w:p>
    <w:p w14:paraId="057C8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7C819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1FED4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</w:pP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2024年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我单位的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</w:rPr>
        <w:t>基本支出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/>
        </w:rPr>
        <w:t>数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为762.65万元，其中：人员经费682.27万元，主要包括：基本工资、津贴补贴、奖金、绩效工资、机关事业单位基本养老保险缴费、职业年金缴费、职工基本医疗保险缴费、其他社会保障缴费、住房公积金、退休费、其他对个人和家庭的补助；公用经费80.38万元，主要包括：办公费、印刷费、咨询费、手续费、水费、电费、邮电费、差旅费、维修（护）费、培训费、工会经费、其他商品和服务支出。</w:t>
      </w:r>
    </w:p>
    <w:p w14:paraId="66A838E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134C2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 w:ascii="仿宋" w:hAnsi="仿宋" w:eastAsia="仿宋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 xml:space="preserve"> 2024年我单位项目支出总数为1053.08万元，其中：一是编外用工人员经费628万元，主要用于企业编、参企、临聘人员的所有工资福利等人员经费方面；二是环卫清扫专用车辆运行与维护经费59.8万元，主要用于生产用车运行维护费等方面；三是业务工作经费189万元，主要用于32台自带车、停车场及设备维护费等方面；四是非税收入安排147.17万元，为委托水务集团征收城镇垃圾处理费并水部分手续费、塑料密封桶购置费等方面。五是非“三保”支出29.11万元，主要用于城镇独生子女父母奖励、龙威同志一次性抚恤金、追加退休人员生活补贴、区级个人先进奖励、环境卫生考评奖励等方面。</w:t>
      </w:r>
    </w:p>
    <w:p w14:paraId="0D0D71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三、政府性基金预算支出情况</w:t>
      </w:r>
    </w:p>
    <w:p w14:paraId="560B73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lang w:val="en-US" w:eastAsia="zh-CN"/>
        </w:rPr>
        <w:t>我单位2024年度无政府性基金预算。</w:t>
      </w:r>
    </w:p>
    <w:p w14:paraId="573383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四、国有资本经营预算支出情况</w:t>
      </w:r>
    </w:p>
    <w:p w14:paraId="046630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lang w:val="en-US" w:eastAsia="zh-CN"/>
        </w:rPr>
        <w:t>我单位2024年度无国有资本经营预算支出。</w:t>
      </w:r>
    </w:p>
    <w:p w14:paraId="573EAD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五、社会保险基金预算支出情况</w:t>
      </w:r>
    </w:p>
    <w:p w14:paraId="0F87434C">
      <w:pPr>
        <w:widowControl w:val="0"/>
        <w:numPr>
          <w:ilvl w:val="0"/>
          <w:numId w:val="0"/>
        </w:numPr>
        <w:spacing w:before="120" w:after="200" w:line="276" w:lineRule="auto"/>
        <w:ind w:leftChars="200" w:firstLine="320" w:firstLineChars="100"/>
        <w:jc w:val="both"/>
        <w:rPr>
          <w:rFonts w:hint="eastAsia" w:ascii="Arial" w:hAnsi="Arial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我单位2024年度无社会保险基金预算。</w:t>
      </w:r>
    </w:p>
    <w:p w14:paraId="30AF4BB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position w:val="0"/>
          <w:sz w:val="32"/>
          <w:szCs w:val="32"/>
          <w:lang w:val="en-US" w:eastAsia="zh-CN"/>
        </w:rPr>
        <w:t>部门整体支出绩效情况</w:t>
      </w:r>
    </w:p>
    <w:p w14:paraId="2D93F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认真贯彻落实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区委、区政府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各项工作要求与部署，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以“规范文明收费，优质高效服务”为目标，以提高生活垃圾处理费为基础，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牢固树立安全生产意识，勇担环卫收费与垃圾转运两项主职主责，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全面推进各项工作。</w:t>
      </w:r>
    </w:p>
    <w:p w14:paraId="469AB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（一）勇挑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主业，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全面推进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环卫收费工作</w:t>
      </w:r>
    </w:p>
    <w:p w14:paraId="6A22C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监管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对接并水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代征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生活垃圾处理费。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监管对接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水务集团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征市中心城区（含岳阳楼区、岳阳经济技术开发区、南湖新区、临港新区）居民住户生活垃圾处理费，核定范围、标准、方式。至2024年12月31日，收取并水代征居民住户生活垃圾处理费1806万元（不含市财政局、市税务局按代征总费用的10%划转200万元至南湖新区）。</w:t>
      </w:r>
    </w:p>
    <w:p w14:paraId="3DB78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二是调优方式征收未并水部分生活垃圾处理费。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克服实体经济下行、费源流失困难，我所主动作为，调优方式方法，上门收取机关、企事业单位、学校、医院、门店、小区及营运车辆等未并水部分生活垃圾处理费。至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12月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日，收取岳阳楼区范围内未并水部分生活垃圾处理费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877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（区政府确定全年目标任务800万元，超额完成77万元）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1863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（二）严格标准，持续提升环境卫生质量</w:t>
      </w:r>
    </w:p>
    <w:p w14:paraId="40A8D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落实区委、区政府城市管理、城市“六治”工作要求与部署，查问题、补短板、强弱项、促提升；对标对表全国文明城市、国家卫生城市标准，建立市容卫生长效管理机制，环境卫生管理坚持常态化、制度化、标准化、精细化，全面提升环境卫生质量。</w:t>
      </w:r>
    </w:p>
    <w:p w14:paraId="7BBCD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（三）重视安全，坚持安全生产常态化规范化</w:t>
      </w:r>
    </w:p>
    <w:p w14:paraId="17469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1、重视安全宣传教育。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每月定期召开安全例会，利用会议、宣传栏、宣传横幅、电子屏、工作微信、网络、作业场地等多种方式、多种场所开展不同形式安全宣传教育，加强对各工种人员、车辆、庭院、办公场所等安全教育及管理。</w:t>
      </w:r>
    </w:p>
    <w:p w14:paraId="63F72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2、定期排查安全隐患。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每月定期全面排查、每季度组织全体安全生产小组成员定期排查、现场安全教育与隐患排查。动员所有工作人员在日常工作和生活中排查、发现安全隐患，对于发现重大安全隐患的工作人员进行奖励。</w:t>
      </w:r>
    </w:p>
    <w:p w14:paraId="31024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3、即时处置安全隐患。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建立安全隐患处置长效机制，在车队制作安全宣传标语，警示时时注意安全，处处预防安全。安全隐患坚持全过程跟踪、全覆盖发现，限定时间、限定标准处置。</w:t>
      </w:r>
    </w:p>
    <w:p w14:paraId="20D30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4、加强安全教育培训。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制定了安全生产应急救援预案，定期组织行管人员、中层以上骨干、驾驶员学习安全交通法规、安全生产管理规定，常态化深入现场对作业人员进行安全教育，邀请相关专家对消防、安全生产应急救援等进行专业讲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组织全所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在职干部职工进行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安全生产应急救援演练，所支委会、所长办公会、所务会、迎检接待工作会、每月工作例会、每月安全生产例会，逢会必讲、逢会必抓安全。</w:t>
      </w:r>
    </w:p>
    <w:p w14:paraId="449E2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5、实施安全监管无缝隙。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积极构建安全生产齐抓共管机制，严格落实“一岗双责”，坚持实施安全监管无缝隙举措。</w:t>
      </w:r>
    </w:p>
    <w:p w14:paraId="183DF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（四）真抓实干，全面推进党建工作</w:t>
      </w:r>
    </w:p>
    <w:p w14:paraId="60307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 xml:space="preserve">1、加强党的思想建设，全面提升干群队伍素质 </w:t>
      </w:r>
    </w:p>
    <w:p w14:paraId="0C9E0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（1）打造学习型党组织。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支部书记引领学，班子成员、中层骨干认真学，一般党员积极学。以武装头脑、指导实践、推动工作为要求，深入学习习近平总书记系列重要讲话精神和治国理政新思想新战略，建立和完善党员学习长效机制，班子成员带头学习，采取集中培训、个人自学、专题研讨等形式，认真参与在线学习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（2）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instrText xml:space="preserve"> HYPERLINK "http://www.baidu.com/link?url=fJKL_Eo5hdGojfBzE-Nd_pGOlNDageqVSZOMxc6dlZY5sxE7iVu1fbIJrhYigxyp8EGQHbdZ0yEdjcBwq-0i7-xhaqVimfhWD7HHZOJlQ9i" \t "_blank" </w:instrTex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扎实推进“四亮”创建活动。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党旗飘扬战“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冰雪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”，树立党支部形象，成立抗击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冰雪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先锋队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用一抹抹“志愿红”，筑起暖心线，用实际行动“融化”冰雪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筑牢防线“守初心”，组织全体党员、中层骨干、青年理论学习小组20名干部职工到岳阳楼区廉政警示教育基地参观，坚定党员干部在未来工作中坚守廉洁自律、筑牢拒腐防变思想防线的决心。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组织生活有规矩，讲政治、讲原则，从严从细落实主题党日、“三会一课”、组织生活会、党员积分管理、民主评议党员等基本制度要求，遵守党的纪律规矩。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阵地建设强堡垒，加强党组织阵地建设，营造浓厚宣传氛围。</w:t>
      </w:r>
    </w:p>
    <w:p w14:paraId="30B89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加强党的组织建设，主动锤炼自我党性修养</w:t>
      </w:r>
    </w:p>
    <w:p w14:paraId="41939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（1）严格组织生活。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党组织架构与制度建设。党组织完成换届选举工作，严格按照选举程序，提前筹备、广泛宣传，确保换届过程平稳有序，选举产生新一届支委会成员4名；按照“三会一课”制度要求，班子成员积极参加组织生活会、开展谈心交心、主动查找问题、深入开展批评与自我批评；组织开展党员民主评议，对照党员标准，严格评议程序；认真听取党员思想汇报，检查党员工作、思想、学习情况，关心群众生活，努力为群众办实事、办好事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（2）强化党员管理。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严格按照党章党规要求，做好党员发展工作，规范党员管理，实行党员积分管理，考核结果与评先评优相结合。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（3）“一课一片一实践”助推组织生活提质增效。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通过组织制度化、场所多样化、形式多元化“示范讲”、“带头讲”、“轮流讲”党课，将党的理论嵌入到日常生活和实践中，使党员教育活动深入人心。</w:t>
      </w:r>
    </w:p>
    <w:p w14:paraId="40D8E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3、加强党的作风建设，自觉提高拒腐防变能力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 xml:space="preserve"> </w:t>
      </w:r>
    </w:p>
    <w:p w14:paraId="344AD441">
      <w:pPr>
        <w:pStyle w:val="3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（1）加强工作作风建设。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深入学习习近平总书记关于作风建设重要论述，坚持不懈开展作风教育，加强纪律检查监督，对发</w:t>
      </w:r>
      <w:r>
        <w:rPr>
          <w:rFonts w:hint="eastAsia" w:ascii="仿宋_GB2312" w:hAnsi="仿宋_GB2312" w:eastAsia="仿宋_GB2312" w:cs="仿宋_GB2312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违纪的问题严肃处理。</w:t>
      </w:r>
    </w:p>
    <w:p w14:paraId="2C3E49C1">
      <w:pPr>
        <w:pStyle w:val="3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（2）深化廉政勤政教育。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按照党风廉政建设责任要求，结合实际，制订内容详实的党风廉政教育工作计划，做到一级抓一级，一级对一级负责，形成齐抓共管、各负其责的工作格局。</w:t>
      </w:r>
    </w:p>
    <w:p w14:paraId="49BB6DE2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（3）规范财务管理。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严格执行上级各项财经管理规定制度，制定修订专项财务管理制度，加强财务内控管理。</w:t>
      </w:r>
    </w:p>
    <w:p w14:paraId="2AFE1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4、加强精神文明建设，呈现干群队伍蓬勃生机</w:t>
      </w:r>
    </w:p>
    <w:p w14:paraId="76808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（1）积极组织群团活动。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组织各类群团活动有利于增强职工的凝聚力、战斗力和集体荣誉感，有效地促进各项工作贯彻、落实和提升。</w:t>
      </w:r>
    </w:p>
    <w:p w14:paraId="2550C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（2）开展爱心慰问活动。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会在高温季节组织慰问坚守一线岗位职工4次，发放实用的防暑降温物质2次，对室外作业一线职工送清凉、送政策、送关爱；班子成员年终慰问在职和退休重大疾病、家庭困难职工11名，深入家庭解决实际困难，践行以人为本理念，呈现党组织的关怀和温暖。</w:t>
      </w:r>
    </w:p>
    <w:p w14:paraId="65A05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（3）组织全所干部职工体检。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组织全所工会会员、退休干部职工135名在湘岳医院进行体检；从关爱女性健康出发，定期组织妇检,为女职工购买“双癌”保险。</w:t>
      </w:r>
    </w:p>
    <w:p w14:paraId="215B7AE9">
      <w:pPr>
        <w:pStyle w:val="3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（4）加强意识形态工作，引导干部职工健康向上。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党支部把意识形态工作作为党的建设重要内容，明确党支部书记为意识形态工作第一责任人。</w:t>
      </w:r>
    </w:p>
    <w:p w14:paraId="44EE6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（五）存在的主要困难和问题</w:t>
      </w:r>
    </w:p>
    <w:p w14:paraId="75C20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1.在生活垃圾处理费收取上：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费源流失严重。巴陵石化公司厂区整体搬迁，费源减少60余万元；市国资委系统成立部分经济实体企业，实行行业、属地管理，费源流失10万余元；市中心医院主体搬迁至南湖新区，费源减少12万余元；②没有强制措施。岳阳楼区范围部分小街巷单位、门店存在物业、环卫工人私自接洽业务收费现象，没有强制措施制止；原城乡结合部道路两侧单位、门店多次上门协调，仍拒缴、少缴生活垃圾处理费，制约措施不力；③存在安全隐患。营运车辆收费对象为移动目标、弱势群体，强制拦车、追车极不安全，绝大部分车主是农民进城务工，收费文件很难解释，对缴纳生活垃圾处理费不理解、不支持；④未实行全城统一收费。南湖新区范围由南湖新区负责收取，岳阳楼区社会事务管理伸延至岳阳经济技术开发区、临港新区，但临港新区由临港环卫所负责收取，岳阳经济技术开发区由原经开区环卫所负责收取，仅收取了极少部分单位垃圾转运入站服务费，未收取单位、企业、小区、门店等生活垃圾处理费，且自2024年下半年以来，环卫收费一直处于停滞状态。</w:t>
      </w:r>
    </w:p>
    <w:p w14:paraId="7B1E5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2.在生活垃圾转运上：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非生活垃圾无倾倒场所。建筑、装修、装饰等非生活垃圾不能入站，无倾倒场所；②垃圾转运成本增加。市中心城区逐步推行生活垃圾分类，增加垃圾转运频次，转运成本增加；③垃圾转运车辆严重不足。单位管理的垃圾转运车辆仅16台，转运员自带垃圾运输车26台，密闭化措施不力，文明程度不高，急需采购垃圾转运车辆，逐步淘汰自带垃圾转运车辆；④租赁车辆存在重大安全隐患。机三轮、小四轮等转运员自带垃圾转运车，按现行保险额度，尽管督促驾驶员自行购买保险费300元/台，最大赔偿额度不足12万元，一旦发生重大安全事故，单位很难承担，存在重大安全隐患。</w:t>
      </w:r>
    </w:p>
    <w:p w14:paraId="7BA8C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（六）下一步改进措施</w:t>
      </w:r>
    </w:p>
    <w:p w14:paraId="165FD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1.以党建引领为抓手，全面推进各项工作。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贯彻学习党的二十届三中全会精神，贯彻落实区委、区政府各项工作要求与部署，强化党的政治建设、法治建设，加强党风廉政建设和作风建设，把意识形态工作作为党的建设的重要内容,纳入党建工作责任制,纳入领导班子、领导干部目标管理，定期分析研判意识形态领域形势,定期听取意识形态工作汇报，切实当好意识形态工作的领导者、推动者、执行者。落实全面从严治党要求，全力推行“一线工作法”，班子成员以身作则、率先垂范，以党建引领促进各项工作开展。</w:t>
      </w:r>
    </w:p>
    <w:p w14:paraId="1A4D1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2.以区委巡察为动力，全面规范管理模式。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区委第八轮巡察反馈的整改问题，我所将照单全收、全面整改。找准依据、规范措施，逐项逐条整改落实，并坚持做到标准不降低、问题不重复、措施不反弹。严格落实责任追究制，严格履行“一岗双责”，强化人员监督，强化主业落实。</w:t>
      </w:r>
    </w:p>
    <w:p w14:paraId="53C24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3.以规范管理为目标，全面增强工作效能。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区委、区政府及区直部门相关规定，进一步规范内部管理，制定完善各项内部管理规章制度，继续推行增收节支，基本形成制度管人、规范管事，实行常态化规范化管理，充分调动干部职工积极性，逐步增强工作效能。</w:t>
      </w:r>
    </w:p>
    <w:p w14:paraId="77E0B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4.以创新收费为主线，全面增加费源费额。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覆盖收取城市生活垃圾处理费，监管、对接市水务集团代征居民住户生活垃圾处理费，限定范围、标准；在岳阳楼区管辖范围内按路段全面排查收费盲点盲区，紧盯新建道路、新建小区、新建门店及新增培训场所、售楼部、网咖，克服懈怠思想，积极主动出击，联动街道办事处、社区，创新方式方法，全面增加费源费额。</w:t>
      </w:r>
    </w:p>
    <w:p w14:paraId="70EC4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5.以安全生产为基石，全面提高质量标准。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生活垃圾转运日产日清、密闭化运输，保持垃圾转运车辆、垃圾容器功能完好，做到规范作业、安全作业，不断提高环境卫生质量标准，巩固全国文明城市、国家卫生城市成果。牢固树立“安全就是效益，隐患就是事故”理念，安全生产常抓不懈，采用宣传栏、宣传横幅、工作微信、作业现场、专家讲座等多种形式开展安全生产教育宣传活动，定期不定期开展安全隐患排查，即时处置安全隐患。争取上级支持，分年度采购钩臂车、臂挂式自卸车，逐步淘汰租赁的机动三轮垃圾转运车，尽最大可能消除安全隐患。</w:t>
      </w:r>
    </w:p>
    <w:p w14:paraId="18E61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6.以培训教育为手段，全面提升队伍素质。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定期组织班子成员、中层骨干、行管人员学习、培训，从党的理论、法律法规、环卫行业质量标准与技术规范、工伤保险、安全生产、经济合同等分类别分批次学习培训；根据上级要求，按不同时间节点，组织党员分小组讨论、学习；聘请发改、财政、税务、法律、工伤等部门相关专业人员集中授课，组织全体环卫收费员集中培训；所支委会、所长办公会、所务会不定期组织学习政策性法律法规，学懂弄通区委、区政府、区纪委及区直相关管理规定，以学习促提高，以培训促发展，全面提升全所干部职工综合素质、干事本领，充分调动干部职工的思想纯洁性、工作积极性、行动自觉性。</w:t>
      </w:r>
    </w:p>
    <w:p w14:paraId="66334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79F05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十、</w:t>
      </w:r>
      <w:r>
        <w:rPr>
          <w:rFonts w:ascii="黑体" w:hAnsi="黑体" w:eastAsia="黑体" w:cs="黑体"/>
          <w:spacing w:val="-2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418F3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Arial"/>
          <w:sz w:val="21"/>
        </w:rPr>
      </w:pPr>
    </w:p>
    <w:p w14:paraId="0A1960B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</w:pPr>
      <w:r>
        <w:rPr>
          <w:spacing w:val="6"/>
        </w:rPr>
        <w:t>附件：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372C9DB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、</w:t>
      </w:r>
      <w:r>
        <w:rPr>
          <w:rFonts w:hint="eastAsia"/>
          <w:spacing w:val="8"/>
          <w:lang w:eastAsia="zh-CN"/>
        </w:rPr>
        <w:t>单位</w:t>
      </w:r>
      <w:r>
        <w:rPr>
          <w:spacing w:val="8"/>
        </w:rPr>
        <w:t>整体支出绩效自评表</w:t>
      </w:r>
    </w:p>
    <w:p w14:paraId="6C404E2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9"/>
          <w:position w:val="21"/>
        </w:rPr>
        <w:t>3</w:t>
      </w:r>
      <w:r>
        <w:rPr>
          <w:spacing w:val="9"/>
          <w:position w:val="21"/>
        </w:rPr>
        <w:t>、项目支出绩效自评表（每个一级项目一张</w:t>
      </w:r>
      <w:r>
        <w:rPr>
          <w:spacing w:val="8"/>
          <w:position w:val="21"/>
        </w:rPr>
        <w:t>表）</w:t>
      </w:r>
    </w:p>
    <w:p w14:paraId="53789BE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7"/>
        </w:rPr>
        <w:t>4</w:t>
      </w:r>
      <w:r>
        <w:rPr>
          <w:spacing w:val="7"/>
        </w:rPr>
        <w:t>、政府性基金预算支出情况表</w:t>
      </w:r>
    </w:p>
    <w:p w14:paraId="3E86D86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</w:pPr>
      <w:r>
        <w:rPr>
          <w:rFonts w:ascii="Times New Roman" w:hAnsi="Times New Roman" w:eastAsia="Times New Roman" w:cs="Times New Roman"/>
          <w:spacing w:val="7"/>
          <w:position w:val="21"/>
        </w:rPr>
        <w:t>5</w:t>
      </w:r>
      <w:r>
        <w:rPr>
          <w:spacing w:val="7"/>
          <w:position w:val="21"/>
        </w:rPr>
        <w:t>、国有资本经营预算支出情况表</w:t>
      </w:r>
    </w:p>
    <w:p w14:paraId="60B5639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/>
          <w:spacing w:val="7"/>
          <w:lang w:val="en-US" w:eastAsia="zh-CN"/>
        </w:rPr>
      </w:pPr>
      <w:r>
        <w:rPr>
          <w:rFonts w:ascii="Times New Roman" w:hAnsi="Times New Roman" w:eastAsia="Times New Roman" w:cs="Times New Roman"/>
          <w:spacing w:val="7"/>
        </w:rPr>
        <w:t>6</w:t>
      </w:r>
      <w:r>
        <w:rPr>
          <w:spacing w:val="7"/>
        </w:rPr>
        <w:t>、社会保险基金预算支出情况</w:t>
      </w:r>
      <w:r>
        <w:rPr>
          <w:rFonts w:hint="eastAsia"/>
          <w:spacing w:val="7"/>
          <w:lang w:val="en-US" w:eastAsia="zh-CN"/>
        </w:rPr>
        <w:t xml:space="preserve"> </w:t>
      </w:r>
    </w:p>
    <w:p w14:paraId="4618892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/>
          <w:spacing w:val="7"/>
          <w:lang w:val="en-US" w:eastAsia="zh-CN"/>
        </w:rPr>
      </w:pPr>
    </w:p>
    <w:p w14:paraId="22C844B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/>
          <w:spacing w:val="7"/>
          <w:lang w:val="en-US" w:eastAsia="zh-CN"/>
        </w:rPr>
      </w:pPr>
    </w:p>
    <w:p w14:paraId="1271C00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spacing w:val="7"/>
        </w:rPr>
      </w:pPr>
    </w:p>
    <w:p w14:paraId="3C85339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right"/>
        <w:textAlignment w:val="auto"/>
        <w:rPr>
          <w:rFonts w:hint="eastAsia"/>
          <w:spacing w:val="7"/>
          <w:lang w:val="en-US" w:eastAsia="zh-CN"/>
        </w:rPr>
      </w:pPr>
      <w:r>
        <w:rPr>
          <w:rFonts w:hint="eastAsia"/>
          <w:spacing w:val="7"/>
          <w:lang w:val="en-US" w:eastAsia="zh-CN"/>
        </w:rPr>
        <w:t>岳阳市市容环境卫生收费管理所</w:t>
      </w:r>
    </w:p>
    <w:p w14:paraId="20A320D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center"/>
        <w:textAlignment w:val="auto"/>
        <w:rPr>
          <w:rFonts w:hint="default"/>
          <w:spacing w:val="7"/>
          <w:lang w:val="en-US" w:eastAsia="zh-CN"/>
        </w:rPr>
      </w:pPr>
      <w:r>
        <w:rPr>
          <w:rFonts w:hint="eastAsia"/>
          <w:spacing w:val="7"/>
          <w:lang w:val="en-US" w:eastAsia="zh-CN"/>
        </w:rPr>
        <w:t xml:space="preserve">             2025年7月30日</w:t>
      </w:r>
    </w:p>
    <w:p w14:paraId="292B963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84" w:firstLineChars="300"/>
        <w:jc w:val="left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</w:p>
    <w:sectPr>
      <w:footerReference r:id="rId5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6286270-180B-4220-9C90-82B6B52D7C8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D400CE8-399A-4803-A7ED-7FA4B3954F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B14B83BF-64BE-4FEF-836A-0AD3F7D44DA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29FB52A-066B-4529-959C-43F4F69E85A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A086D477-903C-4BF7-A4A0-549AB6FF31B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CB0D0196-4003-4EDA-B11F-1778614FCDA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7" w:fontKey="{02D59108-0B22-4766-94FF-BC35841E0DC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636E9447-3DB9-445D-80CC-C8D56636963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9" w:fontKey="{D8DB1FF6-C2AA-4419-A3BC-15DB149006E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0" w:fontKey="{753BDD28-8A43-4821-9F24-0E9DB89FF6F2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1EF86">
    <w:pPr>
      <w:pStyle w:val="4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5F25F5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5F25F5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2233C">
    <w:pPr>
      <w:pStyle w:val="4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DE5B2E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DE5B2E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775F2">
    <w:pPr>
      <w:pStyle w:val="4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0AB557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0AB557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43F6"/>
    <w:multiLevelType w:val="singleLevel"/>
    <w:tmpl w:val="8A4343F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A112D30"/>
    <w:multiLevelType w:val="singleLevel"/>
    <w:tmpl w:val="0A112D30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19F568F"/>
    <w:multiLevelType w:val="singleLevel"/>
    <w:tmpl w:val="119F568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MmJlYzJhMzIwMmQ1NjY3N2FiZmZhNTZiNzgxM2YifQ=="/>
  </w:docVars>
  <w:rsids>
    <w:rsidRoot w:val="76284CE1"/>
    <w:rsid w:val="000A3765"/>
    <w:rsid w:val="001D7282"/>
    <w:rsid w:val="0039081D"/>
    <w:rsid w:val="0049022E"/>
    <w:rsid w:val="00557E90"/>
    <w:rsid w:val="005E6ECB"/>
    <w:rsid w:val="00665E2F"/>
    <w:rsid w:val="006B5224"/>
    <w:rsid w:val="00744EA1"/>
    <w:rsid w:val="009419CA"/>
    <w:rsid w:val="00955854"/>
    <w:rsid w:val="009C7330"/>
    <w:rsid w:val="009F4C1B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6F283F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B957BE"/>
    <w:rsid w:val="02C1651C"/>
    <w:rsid w:val="02C80088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15C9F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9760D"/>
    <w:rsid w:val="043A4600"/>
    <w:rsid w:val="043B5C60"/>
    <w:rsid w:val="044F0706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BC6527"/>
    <w:rsid w:val="06C13B3D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DE7496"/>
    <w:rsid w:val="07E11DA2"/>
    <w:rsid w:val="07E40515"/>
    <w:rsid w:val="07EE6091"/>
    <w:rsid w:val="07EF1F7B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0B72F2"/>
    <w:rsid w:val="092D1C9E"/>
    <w:rsid w:val="09377E5E"/>
    <w:rsid w:val="09383E9F"/>
    <w:rsid w:val="0939426E"/>
    <w:rsid w:val="093F4975"/>
    <w:rsid w:val="09504F8C"/>
    <w:rsid w:val="095D034D"/>
    <w:rsid w:val="09616470"/>
    <w:rsid w:val="09684744"/>
    <w:rsid w:val="096C76C1"/>
    <w:rsid w:val="096F66FB"/>
    <w:rsid w:val="09835AC1"/>
    <w:rsid w:val="09906B28"/>
    <w:rsid w:val="09912E95"/>
    <w:rsid w:val="09931095"/>
    <w:rsid w:val="099C1A23"/>
    <w:rsid w:val="09A948AF"/>
    <w:rsid w:val="09AC2A76"/>
    <w:rsid w:val="09B04837"/>
    <w:rsid w:val="09C00408"/>
    <w:rsid w:val="09C95891"/>
    <w:rsid w:val="09CC42F5"/>
    <w:rsid w:val="09CF2A1E"/>
    <w:rsid w:val="09D05E45"/>
    <w:rsid w:val="09D8005F"/>
    <w:rsid w:val="09DC0AEC"/>
    <w:rsid w:val="09EB635B"/>
    <w:rsid w:val="09F2166E"/>
    <w:rsid w:val="09FD61A8"/>
    <w:rsid w:val="0A002E0D"/>
    <w:rsid w:val="0A0D0FD1"/>
    <w:rsid w:val="0A1044B8"/>
    <w:rsid w:val="0A140987"/>
    <w:rsid w:val="0A241A5C"/>
    <w:rsid w:val="0A2E3566"/>
    <w:rsid w:val="0A320A98"/>
    <w:rsid w:val="0A3229D0"/>
    <w:rsid w:val="0A393280"/>
    <w:rsid w:val="0A446F05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51080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505490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AF58B9"/>
    <w:rsid w:val="0EB05323"/>
    <w:rsid w:val="0EB73157"/>
    <w:rsid w:val="0EBE40CB"/>
    <w:rsid w:val="0EBE4E06"/>
    <w:rsid w:val="0EC36A56"/>
    <w:rsid w:val="0EC62499"/>
    <w:rsid w:val="0ECE4E6F"/>
    <w:rsid w:val="0ED86777"/>
    <w:rsid w:val="0EDA5C56"/>
    <w:rsid w:val="0EE57112"/>
    <w:rsid w:val="0EF14F58"/>
    <w:rsid w:val="0EFE4287"/>
    <w:rsid w:val="0F0A7BB7"/>
    <w:rsid w:val="0F0D525E"/>
    <w:rsid w:val="0F2A2A37"/>
    <w:rsid w:val="0F2E6C95"/>
    <w:rsid w:val="0F31382A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A73F0"/>
    <w:rsid w:val="10C8346E"/>
    <w:rsid w:val="10EA0134"/>
    <w:rsid w:val="10EF4366"/>
    <w:rsid w:val="10F1501F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BF5B71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220C4"/>
    <w:rsid w:val="13094CA6"/>
    <w:rsid w:val="130B7832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942891"/>
    <w:rsid w:val="14A04833"/>
    <w:rsid w:val="14B12779"/>
    <w:rsid w:val="14B37576"/>
    <w:rsid w:val="14BD7ADB"/>
    <w:rsid w:val="14C5688E"/>
    <w:rsid w:val="14DB1415"/>
    <w:rsid w:val="14E83CF0"/>
    <w:rsid w:val="14F4219E"/>
    <w:rsid w:val="14F72E20"/>
    <w:rsid w:val="150135C1"/>
    <w:rsid w:val="15127C5A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9E79F7"/>
    <w:rsid w:val="16AB3FBF"/>
    <w:rsid w:val="16AC1654"/>
    <w:rsid w:val="16B12C6E"/>
    <w:rsid w:val="16BF0789"/>
    <w:rsid w:val="16CC2AB0"/>
    <w:rsid w:val="16CD5BA2"/>
    <w:rsid w:val="16CE195E"/>
    <w:rsid w:val="16D42F73"/>
    <w:rsid w:val="16DA34D2"/>
    <w:rsid w:val="16DA4E41"/>
    <w:rsid w:val="16ED6FC0"/>
    <w:rsid w:val="16F042AC"/>
    <w:rsid w:val="16F626B5"/>
    <w:rsid w:val="16FB005D"/>
    <w:rsid w:val="16FC4F3B"/>
    <w:rsid w:val="1706559C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E72CD8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A706B9"/>
    <w:rsid w:val="18B037F0"/>
    <w:rsid w:val="18B74DA0"/>
    <w:rsid w:val="18BD3DC4"/>
    <w:rsid w:val="18C149F3"/>
    <w:rsid w:val="18C30CAC"/>
    <w:rsid w:val="18C33745"/>
    <w:rsid w:val="18C66D91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3E726F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239FC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429A9"/>
    <w:rsid w:val="1ADA675E"/>
    <w:rsid w:val="1AE11CDA"/>
    <w:rsid w:val="1AF22AE0"/>
    <w:rsid w:val="1AF5395E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054A3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70C9E"/>
    <w:rsid w:val="1B884364"/>
    <w:rsid w:val="1B901B23"/>
    <w:rsid w:val="1BA15893"/>
    <w:rsid w:val="1BA912AB"/>
    <w:rsid w:val="1BB614A2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16575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746B04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C61A56"/>
    <w:rsid w:val="1CDA4D56"/>
    <w:rsid w:val="1CDD3551"/>
    <w:rsid w:val="1CF810AC"/>
    <w:rsid w:val="1D0B3755"/>
    <w:rsid w:val="1D0E35B2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AB29F9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60515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06C24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2645B9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61186"/>
    <w:rsid w:val="225D1D49"/>
    <w:rsid w:val="225D33C8"/>
    <w:rsid w:val="226239FE"/>
    <w:rsid w:val="22626562"/>
    <w:rsid w:val="226A76AE"/>
    <w:rsid w:val="226D4FDF"/>
    <w:rsid w:val="22733EB6"/>
    <w:rsid w:val="228D0920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27CC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66550"/>
    <w:rsid w:val="23DC6F4C"/>
    <w:rsid w:val="23DD2202"/>
    <w:rsid w:val="23FC0268"/>
    <w:rsid w:val="23FD05F9"/>
    <w:rsid w:val="240B4621"/>
    <w:rsid w:val="241035B6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563F4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270BB7"/>
    <w:rsid w:val="25315EDA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16979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05D7"/>
    <w:rsid w:val="26D96FF9"/>
    <w:rsid w:val="26E25DEA"/>
    <w:rsid w:val="26E34A7B"/>
    <w:rsid w:val="26E64D9A"/>
    <w:rsid w:val="26E825C8"/>
    <w:rsid w:val="26E9756C"/>
    <w:rsid w:val="26FA4570"/>
    <w:rsid w:val="271F0CE3"/>
    <w:rsid w:val="27217FF0"/>
    <w:rsid w:val="27242893"/>
    <w:rsid w:val="273612F4"/>
    <w:rsid w:val="27445146"/>
    <w:rsid w:val="274E2EE0"/>
    <w:rsid w:val="274F2647"/>
    <w:rsid w:val="27673AA1"/>
    <w:rsid w:val="27722B9A"/>
    <w:rsid w:val="27742391"/>
    <w:rsid w:val="277602F5"/>
    <w:rsid w:val="278038CA"/>
    <w:rsid w:val="27C172C6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96CF2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02F18"/>
    <w:rsid w:val="289539A5"/>
    <w:rsid w:val="289F019A"/>
    <w:rsid w:val="28BB307C"/>
    <w:rsid w:val="28CC6ED5"/>
    <w:rsid w:val="28D220AC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9A1E2C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61515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718AB"/>
    <w:rsid w:val="2BDF0CFB"/>
    <w:rsid w:val="2BE234F2"/>
    <w:rsid w:val="2BE33AA6"/>
    <w:rsid w:val="2BE40B44"/>
    <w:rsid w:val="2BE47802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9163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14CC9"/>
    <w:rsid w:val="2D324177"/>
    <w:rsid w:val="2D4E073F"/>
    <w:rsid w:val="2D510DD6"/>
    <w:rsid w:val="2D5A7835"/>
    <w:rsid w:val="2D6578A0"/>
    <w:rsid w:val="2D6B21D3"/>
    <w:rsid w:val="2D6D2389"/>
    <w:rsid w:val="2D7343C9"/>
    <w:rsid w:val="2D953FDA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B3A0F"/>
    <w:rsid w:val="301F1E0F"/>
    <w:rsid w:val="301F7B8B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153DD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102E48"/>
    <w:rsid w:val="312107CD"/>
    <w:rsid w:val="31210CA8"/>
    <w:rsid w:val="31215285"/>
    <w:rsid w:val="312D0344"/>
    <w:rsid w:val="31346C1B"/>
    <w:rsid w:val="3135421E"/>
    <w:rsid w:val="313806BA"/>
    <w:rsid w:val="31490108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BE0AF5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40715"/>
    <w:rsid w:val="321976B1"/>
    <w:rsid w:val="321D6876"/>
    <w:rsid w:val="321E38C7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9B3101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DB19BE"/>
    <w:rsid w:val="34E22DC0"/>
    <w:rsid w:val="350233D4"/>
    <w:rsid w:val="35195F01"/>
    <w:rsid w:val="35313A72"/>
    <w:rsid w:val="35412C38"/>
    <w:rsid w:val="35493C91"/>
    <w:rsid w:val="355754E9"/>
    <w:rsid w:val="355C0228"/>
    <w:rsid w:val="356A29C5"/>
    <w:rsid w:val="35770D21"/>
    <w:rsid w:val="357800DF"/>
    <w:rsid w:val="358527FB"/>
    <w:rsid w:val="358A766C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C12A64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887926"/>
    <w:rsid w:val="369510BC"/>
    <w:rsid w:val="36973632"/>
    <w:rsid w:val="36A30194"/>
    <w:rsid w:val="36D21A02"/>
    <w:rsid w:val="36E85056"/>
    <w:rsid w:val="3708411D"/>
    <w:rsid w:val="370B658B"/>
    <w:rsid w:val="370E0FEC"/>
    <w:rsid w:val="37104DEB"/>
    <w:rsid w:val="37166BDC"/>
    <w:rsid w:val="372C24A3"/>
    <w:rsid w:val="372D0977"/>
    <w:rsid w:val="372F66F4"/>
    <w:rsid w:val="37337382"/>
    <w:rsid w:val="37372007"/>
    <w:rsid w:val="374D0B4E"/>
    <w:rsid w:val="374D3C1C"/>
    <w:rsid w:val="374D5647"/>
    <w:rsid w:val="374F42A7"/>
    <w:rsid w:val="37506DBE"/>
    <w:rsid w:val="37515F68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719D8"/>
    <w:rsid w:val="38B85753"/>
    <w:rsid w:val="38C241DB"/>
    <w:rsid w:val="38C4326F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6508D"/>
    <w:rsid w:val="39E90E2B"/>
    <w:rsid w:val="39E94D86"/>
    <w:rsid w:val="39F1638E"/>
    <w:rsid w:val="39FB1B18"/>
    <w:rsid w:val="3A001C79"/>
    <w:rsid w:val="3A03692D"/>
    <w:rsid w:val="3A1513BA"/>
    <w:rsid w:val="3A232F1C"/>
    <w:rsid w:val="3A2E618D"/>
    <w:rsid w:val="3A3E52E7"/>
    <w:rsid w:val="3A4109A1"/>
    <w:rsid w:val="3A424466"/>
    <w:rsid w:val="3A604E19"/>
    <w:rsid w:val="3A742C8C"/>
    <w:rsid w:val="3A7B2702"/>
    <w:rsid w:val="3A841927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4694A"/>
    <w:rsid w:val="3AF713FA"/>
    <w:rsid w:val="3B08641D"/>
    <w:rsid w:val="3B0B1CA9"/>
    <w:rsid w:val="3B1B5EA6"/>
    <w:rsid w:val="3B1C7A19"/>
    <w:rsid w:val="3B2B5582"/>
    <w:rsid w:val="3B4234D4"/>
    <w:rsid w:val="3B5D3BE4"/>
    <w:rsid w:val="3B647C84"/>
    <w:rsid w:val="3B6E70E8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77F2C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2B707F"/>
    <w:rsid w:val="3D4A148F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E62BF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04F9A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C81FC2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04D49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7F6E9F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39622E"/>
    <w:rsid w:val="434B1F71"/>
    <w:rsid w:val="43651E79"/>
    <w:rsid w:val="4368794F"/>
    <w:rsid w:val="437518D1"/>
    <w:rsid w:val="438D1E49"/>
    <w:rsid w:val="43A80B76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565F9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5E29F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D75CFE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61319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1A0124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C2B8D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9D100D"/>
    <w:rsid w:val="48A00AFD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857BE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AC3789"/>
    <w:rsid w:val="4ABA5EA6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4B2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17066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B717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1A37F5"/>
    <w:rsid w:val="4E2B191A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43B94"/>
    <w:rsid w:val="4F0A1AF8"/>
    <w:rsid w:val="4F203D73"/>
    <w:rsid w:val="4F2072BE"/>
    <w:rsid w:val="4F27252E"/>
    <w:rsid w:val="4F2D457C"/>
    <w:rsid w:val="4F2D5E44"/>
    <w:rsid w:val="4F3034C5"/>
    <w:rsid w:val="4F323E26"/>
    <w:rsid w:val="4F366689"/>
    <w:rsid w:val="4F3913E8"/>
    <w:rsid w:val="4F3B5197"/>
    <w:rsid w:val="4F4A3DFE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97894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2B7460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7C2E"/>
    <w:rsid w:val="51890449"/>
    <w:rsid w:val="518E3CF1"/>
    <w:rsid w:val="51951DEF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B7F29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3A737D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B92A73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B0031A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4D7917"/>
    <w:rsid w:val="5556054C"/>
    <w:rsid w:val="557B1A25"/>
    <w:rsid w:val="55862A42"/>
    <w:rsid w:val="55990578"/>
    <w:rsid w:val="559A2858"/>
    <w:rsid w:val="55A56891"/>
    <w:rsid w:val="55AC66CB"/>
    <w:rsid w:val="55AC6D33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802A35"/>
    <w:rsid w:val="57815555"/>
    <w:rsid w:val="57882730"/>
    <w:rsid w:val="578C3658"/>
    <w:rsid w:val="57AD7E3A"/>
    <w:rsid w:val="57B1418D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24134"/>
    <w:rsid w:val="59035499"/>
    <w:rsid w:val="59182EE7"/>
    <w:rsid w:val="591D7A2A"/>
    <w:rsid w:val="5921212C"/>
    <w:rsid w:val="5935330C"/>
    <w:rsid w:val="59395687"/>
    <w:rsid w:val="593C253E"/>
    <w:rsid w:val="59407518"/>
    <w:rsid w:val="594934AD"/>
    <w:rsid w:val="59505C28"/>
    <w:rsid w:val="59591E8D"/>
    <w:rsid w:val="59652CA2"/>
    <w:rsid w:val="596F472F"/>
    <w:rsid w:val="5974345D"/>
    <w:rsid w:val="597534AA"/>
    <w:rsid w:val="59763334"/>
    <w:rsid w:val="598334E1"/>
    <w:rsid w:val="59927FEE"/>
    <w:rsid w:val="59951C91"/>
    <w:rsid w:val="59982867"/>
    <w:rsid w:val="59A11ED6"/>
    <w:rsid w:val="59AB0DFC"/>
    <w:rsid w:val="59C1557F"/>
    <w:rsid w:val="59C34B04"/>
    <w:rsid w:val="59C34F85"/>
    <w:rsid w:val="59C8615E"/>
    <w:rsid w:val="59D41CD5"/>
    <w:rsid w:val="59DD03FB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554C3D"/>
    <w:rsid w:val="5C6A79EB"/>
    <w:rsid w:val="5C912690"/>
    <w:rsid w:val="5C970365"/>
    <w:rsid w:val="5CA45389"/>
    <w:rsid w:val="5CB30BE8"/>
    <w:rsid w:val="5CC50DE0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0119E6"/>
    <w:rsid w:val="5D130D14"/>
    <w:rsid w:val="5D30024A"/>
    <w:rsid w:val="5D3F028D"/>
    <w:rsid w:val="5D464016"/>
    <w:rsid w:val="5D563089"/>
    <w:rsid w:val="5D566DF5"/>
    <w:rsid w:val="5D5736EC"/>
    <w:rsid w:val="5D592213"/>
    <w:rsid w:val="5D6677C8"/>
    <w:rsid w:val="5D7067ED"/>
    <w:rsid w:val="5D77660D"/>
    <w:rsid w:val="5D7A7C97"/>
    <w:rsid w:val="5D8A240A"/>
    <w:rsid w:val="5D8A4019"/>
    <w:rsid w:val="5D9907FA"/>
    <w:rsid w:val="5DC15F6D"/>
    <w:rsid w:val="5DC1666E"/>
    <w:rsid w:val="5DC7295C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C0AFA"/>
    <w:rsid w:val="600F19CA"/>
    <w:rsid w:val="602423C7"/>
    <w:rsid w:val="603F2394"/>
    <w:rsid w:val="604407B5"/>
    <w:rsid w:val="60487E62"/>
    <w:rsid w:val="605A5C34"/>
    <w:rsid w:val="60601863"/>
    <w:rsid w:val="60630B92"/>
    <w:rsid w:val="606E4C0D"/>
    <w:rsid w:val="60734E0E"/>
    <w:rsid w:val="60811477"/>
    <w:rsid w:val="60844109"/>
    <w:rsid w:val="6090580E"/>
    <w:rsid w:val="60935B47"/>
    <w:rsid w:val="60C57B44"/>
    <w:rsid w:val="60C76F62"/>
    <w:rsid w:val="60CE1254"/>
    <w:rsid w:val="60D321CB"/>
    <w:rsid w:val="60D4056B"/>
    <w:rsid w:val="60D467A9"/>
    <w:rsid w:val="60D61108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70C94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DE42A4"/>
    <w:rsid w:val="62F04E93"/>
    <w:rsid w:val="62F14EED"/>
    <w:rsid w:val="62F936F2"/>
    <w:rsid w:val="62FF3767"/>
    <w:rsid w:val="63074094"/>
    <w:rsid w:val="630930CF"/>
    <w:rsid w:val="631F1A5C"/>
    <w:rsid w:val="63256E52"/>
    <w:rsid w:val="632E2DF7"/>
    <w:rsid w:val="6337684E"/>
    <w:rsid w:val="63403C73"/>
    <w:rsid w:val="6351410B"/>
    <w:rsid w:val="635D4427"/>
    <w:rsid w:val="635F082F"/>
    <w:rsid w:val="63710CD7"/>
    <w:rsid w:val="637D427E"/>
    <w:rsid w:val="638E1826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ED47CD"/>
    <w:rsid w:val="63F105D2"/>
    <w:rsid w:val="63F4037D"/>
    <w:rsid w:val="63F56D28"/>
    <w:rsid w:val="64003000"/>
    <w:rsid w:val="64020FD8"/>
    <w:rsid w:val="640B49C1"/>
    <w:rsid w:val="64107D36"/>
    <w:rsid w:val="64156CD8"/>
    <w:rsid w:val="641C6E32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42353"/>
    <w:rsid w:val="650B22E3"/>
    <w:rsid w:val="650E3520"/>
    <w:rsid w:val="65112D34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CE6593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1C75BD"/>
    <w:rsid w:val="66372459"/>
    <w:rsid w:val="66407FD5"/>
    <w:rsid w:val="664A1F46"/>
    <w:rsid w:val="665346CA"/>
    <w:rsid w:val="66576847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B955E9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784CC7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C1211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234C5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45DEC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56789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C3191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584ABB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56FFD"/>
    <w:rsid w:val="6D0668D1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92D7B"/>
    <w:rsid w:val="6DAE5920"/>
    <w:rsid w:val="6DB664EE"/>
    <w:rsid w:val="6DC325DE"/>
    <w:rsid w:val="6DC64BAC"/>
    <w:rsid w:val="6DC91BE5"/>
    <w:rsid w:val="6DDA4BA3"/>
    <w:rsid w:val="6DF6015D"/>
    <w:rsid w:val="6E037AD7"/>
    <w:rsid w:val="6E056523"/>
    <w:rsid w:val="6E074EC9"/>
    <w:rsid w:val="6E097153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0676D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07CAA"/>
    <w:rsid w:val="70243856"/>
    <w:rsid w:val="70254AB1"/>
    <w:rsid w:val="702A055B"/>
    <w:rsid w:val="703F2471"/>
    <w:rsid w:val="704A4474"/>
    <w:rsid w:val="704A511A"/>
    <w:rsid w:val="704B4131"/>
    <w:rsid w:val="70531ED5"/>
    <w:rsid w:val="7055204A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3325D5"/>
    <w:rsid w:val="713C508E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3B526F"/>
    <w:rsid w:val="724266AF"/>
    <w:rsid w:val="724E6817"/>
    <w:rsid w:val="725012B5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13156"/>
    <w:rsid w:val="73861499"/>
    <w:rsid w:val="738B5B50"/>
    <w:rsid w:val="73AA53A0"/>
    <w:rsid w:val="73B04F6B"/>
    <w:rsid w:val="73D20D1A"/>
    <w:rsid w:val="73E168D2"/>
    <w:rsid w:val="73E873C4"/>
    <w:rsid w:val="73EA3DB3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82603"/>
    <w:rsid w:val="749D7B3F"/>
    <w:rsid w:val="74B22D8C"/>
    <w:rsid w:val="74C26B38"/>
    <w:rsid w:val="74C55FC1"/>
    <w:rsid w:val="74CC7EC1"/>
    <w:rsid w:val="74D06B63"/>
    <w:rsid w:val="74DA7552"/>
    <w:rsid w:val="74E41FDD"/>
    <w:rsid w:val="74ED0CEA"/>
    <w:rsid w:val="74EF6361"/>
    <w:rsid w:val="74F00D7B"/>
    <w:rsid w:val="74F17E67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1B11CB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1447C"/>
    <w:rsid w:val="77A06542"/>
    <w:rsid w:val="77A922C9"/>
    <w:rsid w:val="77AC049C"/>
    <w:rsid w:val="77B046F9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BD078C"/>
    <w:rsid w:val="78C107B1"/>
    <w:rsid w:val="78C21620"/>
    <w:rsid w:val="78CE2D76"/>
    <w:rsid w:val="78EE2375"/>
    <w:rsid w:val="78FA244C"/>
    <w:rsid w:val="78FE1B78"/>
    <w:rsid w:val="79024116"/>
    <w:rsid w:val="790445D0"/>
    <w:rsid w:val="790B5E4F"/>
    <w:rsid w:val="790D572F"/>
    <w:rsid w:val="7911339B"/>
    <w:rsid w:val="79233654"/>
    <w:rsid w:val="7926583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0B2C16"/>
    <w:rsid w:val="7A1053E1"/>
    <w:rsid w:val="7A17618B"/>
    <w:rsid w:val="7A177139"/>
    <w:rsid w:val="7A1E05C7"/>
    <w:rsid w:val="7A205516"/>
    <w:rsid w:val="7A2D5924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BF30969"/>
    <w:rsid w:val="7BFC5A6F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E33C7"/>
    <w:rsid w:val="7CDF4250"/>
    <w:rsid w:val="7D09113D"/>
    <w:rsid w:val="7D0B1257"/>
    <w:rsid w:val="7D157A0E"/>
    <w:rsid w:val="7D1658AD"/>
    <w:rsid w:val="7D1B2E27"/>
    <w:rsid w:val="7D1D4159"/>
    <w:rsid w:val="7D243099"/>
    <w:rsid w:val="7D44147C"/>
    <w:rsid w:val="7D4B3993"/>
    <w:rsid w:val="7D513B99"/>
    <w:rsid w:val="7D5E3A71"/>
    <w:rsid w:val="7D5F5E30"/>
    <w:rsid w:val="7D656BAD"/>
    <w:rsid w:val="7D680D06"/>
    <w:rsid w:val="7D6B45FB"/>
    <w:rsid w:val="7D6C208F"/>
    <w:rsid w:val="7D7D2D56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9586C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widowControl w:val="0"/>
      <w:spacing w:after="120" w:afterLines="0" w:line="480" w:lineRule="auto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6908</Words>
  <Characters>7270</Characters>
  <Lines>0</Lines>
  <Paragraphs>0</Paragraphs>
  <TotalTime>12</TotalTime>
  <ScaleCrop>false</ScaleCrop>
  <LinksUpToDate>false</LinksUpToDate>
  <CharactersWithSpaces>7354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阿朵</cp:lastModifiedBy>
  <dcterms:modified xsi:type="dcterms:W3CDTF">2026-08-21T02:45:55Z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4B5FDDC259FB49A4A0EBEC5A4BB60567_11</vt:lpwstr>
  </property>
  <property fmtid="{D5CDD505-2E9C-101B-9397-08002B2CF9AE}" pid="4" name="KSOTemplateDocerSaveRecord">
    <vt:lpwstr>eyJoZGlkIjoiZjFmZWIzNDg2MmIzZjExOTIzMmViNTBmYTMwYTk0ZWYiLCJ1c2VySWQiOiI2MDE2NTg1ODEifQ==</vt:lpwstr>
  </property>
</Properties>
</file>