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3845E">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1</w:t>
      </w:r>
    </w:p>
    <w:p w14:paraId="10296743">
      <w:pPr>
        <w:keepNext w:val="0"/>
        <w:keepLines w:val="0"/>
        <w:pageBreakBefore w:val="0"/>
        <w:widowControl w:val="0"/>
        <w:kinsoku/>
        <w:wordWrap/>
        <w:overflowPunct/>
        <w:topLinePunct w:val="0"/>
        <w:autoSpaceDE/>
        <w:autoSpaceDN/>
        <w:bidi w:val="0"/>
        <w:adjustRightInd/>
        <w:snapToGrid/>
        <w:spacing w:line="700" w:lineRule="exact"/>
        <w:ind w:firstLine="0" w:firstLineChars="0"/>
        <w:jc w:val="right"/>
        <w:textAlignment w:val="auto"/>
        <w:rPr>
          <w:rFonts w:hint="eastAsia" w:ascii="方正小标宋简体" w:hAnsi="方正小标宋简体" w:eastAsia="方正小标宋简体" w:cs="方正小标宋简体"/>
          <w:b w:val="0"/>
          <w:bCs w:val="0"/>
          <w:color w:val="000000" w:themeColor="text1"/>
          <w:spacing w:val="2"/>
          <w:sz w:val="44"/>
          <w:szCs w:val="44"/>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整体支出绩效评价基础数据表</w:t>
      </w:r>
    </w:p>
    <w:p w14:paraId="599676CF">
      <w:pPr>
        <w:spacing w:line="115" w:lineRule="exact"/>
        <w:rPr>
          <w:color w:val="000000" w:themeColor="text1"/>
          <w14:textFill>
            <w14:solidFill>
              <w14:schemeClr w14:val="tx1"/>
            </w14:solidFill>
          </w14:textFill>
        </w:rPr>
      </w:pPr>
    </w:p>
    <w:tbl>
      <w:tblPr>
        <w:tblStyle w:val="12"/>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85"/>
        <w:gridCol w:w="810"/>
        <w:gridCol w:w="869"/>
      </w:tblGrid>
      <w:tr w14:paraId="0D80C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noWrap w:val="0"/>
            <w:vAlign w:val="center"/>
          </w:tcPr>
          <w:p w14:paraId="52CD915E">
            <w:pPr>
              <w:spacing w:before="33" w:line="198" w:lineRule="auto"/>
              <w:ind w:right="118" w:rightChars="0"/>
              <w:jc w:val="cente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预算</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单位</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名称</w:t>
            </w:r>
          </w:p>
        </w:tc>
        <w:tc>
          <w:tcPr>
            <w:tcW w:w="5819" w:type="dxa"/>
            <w:gridSpan w:val="6"/>
            <w:noWrap w:val="0"/>
            <w:vAlign w:val="top"/>
          </w:tcPr>
          <w:p w14:paraId="44386EDF">
            <w:pPr>
              <w:spacing w:before="103" w:line="219" w:lineRule="auto"/>
              <w:ind w:left="708"/>
              <w:rPr>
                <w:rFonts w:hint="default" w:asciiTheme="majorEastAsia" w:hAnsiTheme="majorEastAsia" w:eastAsiaTheme="majorEastAsia" w:cstheme="majorEastAsia"/>
                <w:color w:val="000000" w:themeColor="text1"/>
                <w:spacing w:val="-2"/>
                <w:sz w:val="20"/>
                <w:szCs w:val="20"/>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岳阳市岳阳楼区岳阳楼街道办事处</w:t>
            </w:r>
          </w:p>
        </w:tc>
      </w:tr>
      <w:tr w14:paraId="079E8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noWrap w:val="0"/>
            <w:vAlign w:val="top"/>
          </w:tcPr>
          <w:p w14:paraId="7FCA1DB4">
            <w:pPr>
              <w:spacing w:before="262" w:line="219" w:lineRule="auto"/>
              <w:ind w:left="575"/>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财政供养人员情况(人)</w:t>
            </w:r>
          </w:p>
        </w:tc>
        <w:tc>
          <w:tcPr>
            <w:tcW w:w="1815" w:type="dxa"/>
            <w:gridSpan w:val="2"/>
            <w:noWrap w:val="0"/>
            <w:vAlign w:val="top"/>
          </w:tcPr>
          <w:p w14:paraId="43E9CB63">
            <w:pPr>
              <w:spacing w:before="10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编制数</w:t>
            </w:r>
          </w:p>
        </w:tc>
        <w:tc>
          <w:tcPr>
            <w:tcW w:w="2325" w:type="dxa"/>
            <w:gridSpan w:val="2"/>
            <w:noWrap w:val="0"/>
            <w:vAlign w:val="top"/>
          </w:tcPr>
          <w:p w14:paraId="31197AD3">
            <w:pPr>
              <w:spacing w:before="83"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1"/>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年实际在职人数</w:t>
            </w:r>
          </w:p>
        </w:tc>
        <w:tc>
          <w:tcPr>
            <w:tcW w:w="1679" w:type="dxa"/>
            <w:gridSpan w:val="2"/>
            <w:noWrap w:val="0"/>
            <w:vAlign w:val="top"/>
          </w:tcPr>
          <w:p w14:paraId="75A269F5">
            <w:pPr>
              <w:spacing w:before="103" w:line="219" w:lineRule="auto"/>
              <w:ind w:left="708"/>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控制率</w:t>
            </w:r>
          </w:p>
        </w:tc>
      </w:tr>
      <w:tr w14:paraId="7E391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7A79BE5E">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1815" w:type="dxa"/>
            <w:gridSpan w:val="2"/>
            <w:noWrap w:val="0"/>
            <w:vAlign w:val="top"/>
          </w:tcPr>
          <w:p w14:paraId="208F6410">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72</w:t>
            </w:r>
          </w:p>
        </w:tc>
        <w:tc>
          <w:tcPr>
            <w:tcW w:w="2325" w:type="dxa"/>
            <w:gridSpan w:val="2"/>
            <w:noWrap w:val="0"/>
            <w:vAlign w:val="top"/>
          </w:tcPr>
          <w:p w14:paraId="7AD72528">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72</w:t>
            </w:r>
          </w:p>
        </w:tc>
        <w:tc>
          <w:tcPr>
            <w:tcW w:w="1679" w:type="dxa"/>
            <w:gridSpan w:val="2"/>
            <w:noWrap w:val="0"/>
            <w:vAlign w:val="top"/>
          </w:tcPr>
          <w:p w14:paraId="286A3728">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100%</w:t>
            </w:r>
          </w:p>
        </w:tc>
      </w:tr>
      <w:tr w14:paraId="789493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noWrap w:val="0"/>
            <w:vAlign w:val="top"/>
          </w:tcPr>
          <w:p w14:paraId="15B4C058">
            <w:pPr>
              <w:spacing w:before="140" w:line="202" w:lineRule="auto"/>
              <w:ind w:left="6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4"/>
                <w:sz w:val="24"/>
                <w:szCs w:val="24"/>
                <w14:textFill>
                  <w14:solidFill>
                    <w14:schemeClr w14:val="tx1"/>
                  </w14:solidFill>
                </w14:textFill>
              </w:rPr>
              <w:t>经费控制情况(万元)</w:t>
            </w:r>
          </w:p>
        </w:tc>
        <w:tc>
          <w:tcPr>
            <w:tcW w:w="1815" w:type="dxa"/>
            <w:gridSpan w:val="2"/>
            <w:noWrap w:val="0"/>
            <w:vAlign w:val="top"/>
          </w:tcPr>
          <w:p w14:paraId="3E04A0B6">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3</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c>
          <w:tcPr>
            <w:tcW w:w="2325" w:type="dxa"/>
            <w:gridSpan w:val="2"/>
            <w:noWrap w:val="0"/>
            <w:vAlign w:val="top"/>
          </w:tcPr>
          <w:p w14:paraId="6608D12A">
            <w:pPr>
              <w:spacing w:before="119"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年预算数</w:t>
            </w:r>
          </w:p>
        </w:tc>
        <w:tc>
          <w:tcPr>
            <w:tcW w:w="1679" w:type="dxa"/>
            <w:gridSpan w:val="2"/>
            <w:noWrap w:val="0"/>
            <w:vAlign w:val="top"/>
          </w:tcPr>
          <w:p w14:paraId="5CD231AB">
            <w:pPr>
              <w:spacing w:before="119" w:line="219" w:lineRule="auto"/>
              <w:jc w:val="center"/>
              <w:rPr>
                <w:rFonts w:hint="eastAsia" w:asciiTheme="majorEastAsia" w:hAnsiTheme="majorEastAsia" w:eastAsiaTheme="majorEastAsia" w:cstheme="majorEastAsia"/>
                <w:b w:val="0"/>
                <w:bCs w:val="0"/>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202</w:t>
            </w: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年决算数</w:t>
            </w:r>
          </w:p>
        </w:tc>
      </w:tr>
      <w:tr w14:paraId="5F06D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5E1B1BFE">
            <w:pPr>
              <w:spacing w:before="141" w:line="202"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三公经费</w:t>
            </w:r>
          </w:p>
        </w:tc>
        <w:tc>
          <w:tcPr>
            <w:tcW w:w="1815" w:type="dxa"/>
            <w:gridSpan w:val="2"/>
            <w:noWrap w:val="0"/>
            <w:vAlign w:val="top"/>
          </w:tcPr>
          <w:p w14:paraId="1AACA6A5">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67433349">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c>
          <w:tcPr>
            <w:tcW w:w="1679" w:type="dxa"/>
            <w:gridSpan w:val="2"/>
            <w:noWrap w:val="0"/>
            <w:vAlign w:val="top"/>
          </w:tcPr>
          <w:p w14:paraId="208BA81E">
            <w:pPr>
              <w:jc w:val="center"/>
              <w:rPr>
                <w:rFonts w:hint="default" w:asciiTheme="majorEastAsia" w:hAnsiTheme="majorEastAsia" w:eastAsiaTheme="majorEastAsia" w:cstheme="majorEastAsia"/>
                <w:color w:val="000000" w:themeColor="text1"/>
                <w:sz w:val="24"/>
                <w:szCs w:val="24"/>
                <w:lang w:val="en-US" w:eastAsia="zh-CN"/>
                <w14:textFill>
                  <w14:solidFill>
                    <w14:schemeClr w14:val="tx1"/>
                  </w14:solidFill>
                </w14:textFill>
              </w:rPr>
            </w:pPr>
          </w:p>
        </w:tc>
      </w:tr>
      <w:tr w14:paraId="20EC6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10F61928">
            <w:pPr>
              <w:spacing w:before="149" w:line="193" w:lineRule="auto"/>
              <w:ind w:left="4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z w:val="24"/>
                <w:szCs w:val="24"/>
                <w14:textFill>
                  <w14:solidFill>
                    <w14:schemeClr w14:val="tx1"/>
                  </w14:solidFill>
                </w14:textFill>
              </w:rPr>
              <w:t>1、公务用车购置和维护经费</w:t>
            </w:r>
          </w:p>
        </w:tc>
        <w:tc>
          <w:tcPr>
            <w:tcW w:w="1815" w:type="dxa"/>
            <w:gridSpan w:val="2"/>
            <w:noWrap w:val="0"/>
            <w:vAlign w:val="top"/>
          </w:tcPr>
          <w:p w14:paraId="6D596B29">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4310898D">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c>
          <w:tcPr>
            <w:tcW w:w="1679" w:type="dxa"/>
            <w:gridSpan w:val="2"/>
            <w:noWrap w:val="0"/>
            <w:vAlign w:val="top"/>
          </w:tcPr>
          <w:p w14:paraId="5AA942A5">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r>
      <w:tr w14:paraId="62216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 w:hRule="atLeast"/>
        </w:trPr>
        <w:tc>
          <w:tcPr>
            <w:tcW w:w="3850" w:type="dxa"/>
            <w:noWrap w:val="0"/>
            <w:vAlign w:val="top"/>
          </w:tcPr>
          <w:p w14:paraId="665B5570">
            <w:pPr>
              <w:spacing w:before="81" w:line="219" w:lineRule="auto"/>
              <w:ind w:left="8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其中：公车购置</w:t>
            </w:r>
          </w:p>
        </w:tc>
        <w:tc>
          <w:tcPr>
            <w:tcW w:w="1815" w:type="dxa"/>
            <w:gridSpan w:val="2"/>
            <w:noWrap w:val="0"/>
            <w:vAlign w:val="top"/>
          </w:tcPr>
          <w:p w14:paraId="6157ED75">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1A891877">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c>
          <w:tcPr>
            <w:tcW w:w="1679" w:type="dxa"/>
            <w:gridSpan w:val="2"/>
            <w:noWrap w:val="0"/>
            <w:vAlign w:val="top"/>
          </w:tcPr>
          <w:p w14:paraId="512FC6E2">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r>
      <w:tr w14:paraId="7D921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726CD80C">
            <w:pPr>
              <w:spacing w:before="91" w:line="219" w:lineRule="auto"/>
              <w:ind w:left="14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公车运行维护</w:t>
            </w:r>
          </w:p>
        </w:tc>
        <w:tc>
          <w:tcPr>
            <w:tcW w:w="1815" w:type="dxa"/>
            <w:gridSpan w:val="2"/>
            <w:noWrap w:val="0"/>
            <w:vAlign w:val="top"/>
          </w:tcPr>
          <w:p w14:paraId="25683AC2">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7472CDCC">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c>
          <w:tcPr>
            <w:tcW w:w="1679" w:type="dxa"/>
            <w:gridSpan w:val="2"/>
            <w:noWrap w:val="0"/>
            <w:vAlign w:val="top"/>
          </w:tcPr>
          <w:p w14:paraId="0553D046">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r>
      <w:tr w14:paraId="2C4E8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2F00DDC9">
            <w:pPr>
              <w:spacing w:before="81" w:line="22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2、出国经费</w:t>
            </w:r>
          </w:p>
        </w:tc>
        <w:tc>
          <w:tcPr>
            <w:tcW w:w="1815" w:type="dxa"/>
            <w:gridSpan w:val="2"/>
            <w:noWrap w:val="0"/>
            <w:vAlign w:val="top"/>
          </w:tcPr>
          <w:p w14:paraId="5335C90F">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240357BE">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p>
        </w:tc>
        <w:tc>
          <w:tcPr>
            <w:tcW w:w="1679" w:type="dxa"/>
            <w:gridSpan w:val="2"/>
            <w:noWrap w:val="0"/>
            <w:vAlign w:val="top"/>
          </w:tcPr>
          <w:p w14:paraId="5E220DA0">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r>
      <w:tr w14:paraId="56AC5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B214B03">
            <w:pPr>
              <w:spacing w:before="82"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3、公务接待</w:t>
            </w:r>
          </w:p>
        </w:tc>
        <w:tc>
          <w:tcPr>
            <w:tcW w:w="1815" w:type="dxa"/>
            <w:gridSpan w:val="2"/>
            <w:noWrap w:val="0"/>
            <w:vAlign w:val="top"/>
          </w:tcPr>
          <w:p w14:paraId="538B0869">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2325" w:type="dxa"/>
            <w:gridSpan w:val="2"/>
            <w:noWrap w:val="0"/>
            <w:vAlign w:val="top"/>
          </w:tcPr>
          <w:p w14:paraId="13E38787">
            <w:pPr>
              <w:jc w:val="center"/>
              <w:rPr>
                <w:rFonts w:hint="eastAsia"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c>
          <w:tcPr>
            <w:tcW w:w="1679" w:type="dxa"/>
            <w:gridSpan w:val="2"/>
            <w:noWrap w:val="0"/>
            <w:vAlign w:val="top"/>
          </w:tcPr>
          <w:p w14:paraId="02383645">
            <w:pPr>
              <w:jc w:val="center"/>
              <w:rPr>
                <w:rFonts w:hint="default" w:asciiTheme="majorEastAsia" w:hAnsiTheme="majorEastAsia" w:eastAsiaTheme="majorEastAsia" w:cstheme="majorEastAsia"/>
                <w:color w:val="000000" w:themeColor="text1"/>
                <w:kern w:val="2"/>
                <w:sz w:val="24"/>
                <w:szCs w:val="24"/>
                <w:lang w:val="en-US" w:eastAsia="zh-CN" w:bidi="ar-SA"/>
                <w14:textFill>
                  <w14:solidFill>
                    <w14:schemeClr w14:val="tx1"/>
                  </w14:solidFill>
                </w14:textFill>
              </w:rPr>
            </w:pPr>
          </w:p>
        </w:tc>
      </w:tr>
      <w:tr w14:paraId="1D4947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4A217DB">
            <w:pPr>
              <w:spacing w:before="143" w:line="200" w:lineRule="auto"/>
              <w:ind w:left="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9"/>
                <w:sz w:val="24"/>
                <w:szCs w:val="24"/>
                <w14:textFill>
                  <w14:solidFill>
                    <w14:schemeClr w14:val="tx1"/>
                  </w14:solidFill>
                </w14:textFill>
              </w:rPr>
              <w:t>项目支出：</w:t>
            </w:r>
          </w:p>
        </w:tc>
        <w:tc>
          <w:tcPr>
            <w:tcW w:w="1815" w:type="dxa"/>
            <w:gridSpan w:val="2"/>
            <w:noWrap w:val="0"/>
            <w:vAlign w:val="top"/>
          </w:tcPr>
          <w:p w14:paraId="3B2B3864">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auto"/>
                <w:sz w:val="21"/>
                <w:highlight w:val="none"/>
                <w:lang w:val="en-US" w:eastAsia="zh-CN"/>
              </w:rPr>
              <w:t>2707.92</w:t>
            </w:r>
          </w:p>
        </w:tc>
        <w:tc>
          <w:tcPr>
            <w:tcW w:w="2325" w:type="dxa"/>
            <w:gridSpan w:val="2"/>
            <w:noWrap w:val="0"/>
            <w:vAlign w:val="top"/>
          </w:tcPr>
          <w:p w14:paraId="5FC5F799">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auto"/>
                <w:sz w:val="21"/>
                <w:highlight w:val="none"/>
                <w:lang w:val="en-US" w:eastAsia="zh-CN"/>
              </w:rPr>
              <w:t>524</w:t>
            </w:r>
          </w:p>
        </w:tc>
        <w:tc>
          <w:tcPr>
            <w:tcW w:w="1679" w:type="dxa"/>
            <w:gridSpan w:val="2"/>
            <w:noWrap w:val="0"/>
            <w:vAlign w:val="top"/>
          </w:tcPr>
          <w:p w14:paraId="0E71F2B5">
            <w:pPr>
              <w:jc w:val="center"/>
              <w:rPr>
                <w:rFonts w:hint="default" w:asciiTheme="majorEastAsia" w:hAnsiTheme="majorEastAsia" w:eastAsiaTheme="majorEastAsia" w:cstheme="majorEastAsia"/>
                <w:color w:val="000000" w:themeColor="text1"/>
                <w:sz w:val="21"/>
                <w:lang w:val="en-US"/>
                <w14:textFill>
                  <w14:solidFill>
                    <w14:schemeClr w14:val="tx1"/>
                  </w14:solidFill>
                </w14:textFill>
              </w:rPr>
            </w:pPr>
            <w:r>
              <w:rPr>
                <w:rFonts w:hint="eastAsia" w:asciiTheme="majorEastAsia" w:hAnsiTheme="majorEastAsia" w:eastAsiaTheme="majorEastAsia" w:cstheme="majorEastAsia"/>
                <w:color w:val="auto"/>
                <w:sz w:val="21"/>
                <w:highlight w:val="none"/>
                <w:lang w:val="en-US" w:eastAsia="zh-CN"/>
              </w:rPr>
              <w:t>1631.27</w:t>
            </w:r>
          </w:p>
        </w:tc>
      </w:tr>
      <w:tr w14:paraId="4E3E9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449EAD07">
            <w:pPr>
              <w:spacing w:before="133" w:line="20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1、业务工作经费</w:t>
            </w:r>
          </w:p>
        </w:tc>
        <w:tc>
          <w:tcPr>
            <w:tcW w:w="1815" w:type="dxa"/>
            <w:gridSpan w:val="2"/>
            <w:noWrap w:val="0"/>
            <w:vAlign w:val="top"/>
          </w:tcPr>
          <w:p w14:paraId="39BB72B9">
            <w:pPr>
              <w:jc w:val="center"/>
              <w:rPr>
                <w:rFonts w:hint="default"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sz w:val="21"/>
                <w:highlight w:val="none"/>
                <w:lang w:val="en-US" w:eastAsia="zh-CN"/>
              </w:rPr>
              <w:t>2706.26</w:t>
            </w:r>
          </w:p>
        </w:tc>
        <w:tc>
          <w:tcPr>
            <w:tcW w:w="2325" w:type="dxa"/>
            <w:gridSpan w:val="2"/>
            <w:noWrap w:val="0"/>
            <w:vAlign w:val="top"/>
          </w:tcPr>
          <w:p w14:paraId="46DBAA77">
            <w:pPr>
              <w:jc w:val="center"/>
              <w:rPr>
                <w:rFonts w:hint="default" w:asciiTheme="majorEastAsia" w:hAnsiTheme="majorEastAsia" w:eastAsiaTheme="majorEastAsia" w:cstheme="majorEastAsia"/>
                <w:color w:val="auto"/>
                <w:kern w:val="2"/>
                <w:sz w:val="21"/>
                <w:szCs w:val="24"/>
                <w:highlight w:val="none"/>
                <w:lang w:val="en-US" w:eastAsia="zh-CN" w:bidi="ar-SA"/>
              </w:rPr>
            </w:pPr>
            <w:r>
              <w:rPr>
                <w:rFonts w:hint="eastAsia" w:asciiTheme="majorEastAsia" w:hAnsiTheme="majorEastAsia" w:eastAsiaTheme="majorEastAsia" w:cstheme="majorEastAsia"/>
                <w:color w:val="auto"/>
                <w:sz w:val="21"/>
                <w:highlight w:val="none"/>
                <w:lang w:val="en-US" w:eastAsia="zh-CN"/>
              </w:rPr>
              <w:t>15</w:t>
            </w:r>
          </w:p>
        </w:tc>
        <w:tc>
          <w:tcPr>
            <w:tcW w:w="1679" w:type="dxa"/>
            <w:gridSpan w:val="2"/>
            <w:noWrap w:val="0"/>
            <w:vAlign w:val="top"/>
          </w:tcPr>
          <w:p w14:paraId="0CEF986D">
            <w:pPr>
              <w:jc w:val="center"/>
              <w:rPr>
                <w:rFonts w:hint="default" w:asciiTheme="majorEastAsia" w:hAnsiTheme="majorEastAsia" w:eastAsiaTheme="majorEastAsia" w:cstheme="majorEastAsia"/>
                <w:color w:val="auto"/>
                <w:kern w:val="2"/>
                <w:sz w:val="21"/>
                <w:szCs w:val="24"/>
                <w:highlight w:val="none"/>
                <w:lang w:val="en-US" w:eastAsia="zh-CN" w:bidi="ar-SA"/>
              </w:rPr>
            </w:pPr>
          </w:p>
        </w:tc>
      </w:tr>
      <w:tr w14:paraId="375D0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4A349AD5">
            <w:pPr>
              <w:spacing w:before="143" w:line="20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2、运行维护经费</w:t>
            </w:r>
          </w:p>
        </w:tc>
        <w:tc>
          <w:tcPr>
            <w:tcW w:w="1815" w:type="dxa"/>
            <w:gridSpan w:val="2"/>
            <w:noWrap w:val="0"/>
            <w:vAlign w:val="top"/>
          </w:tcPr>
          <w:p w14:paraId="3DDB3012">
            <w:pPr>
              <w:jc w:val="center"/>
              <w:rPr>
                <w:rFonts w:hint="default"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1.66</w:t>
            </w:r>
          </w:p>
        </w:tc>
        <w:tc>
          <w:tcPr>
            <w:tcW w:w="2325" w:type="dxa"/>
            <w:gridSpan w:val="2"/>
            <w:noWrap w:val="0"/>
            <w:vAlign w:val="top"/>
          </w:tcPr>
          <w:p w14:paraId="19F81079">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509</w:t>
            </w:r>
          </w:p>
        </w:tc>
        <w:tc>
          <w:tcPr>
            <w:tcW w:w="1679" w:type="dxa"/>
            <w:gridSpan w:val="2"/>
            <w:noWrap w:val="0"/>
            <w:vAlign w:val="top"/>
          </w:tcPr>
          <w:p w14:paraId="51FC35FA">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auto"/>
                <w:sz w:val="21"/>
                <w:highlight w:val="none"/>
                <w:lang w:val="en-US" w:eastAsia="zh-CN"/>
              </w:rPr>
              <w:t>1631.27</w:t>
            </w:r>
          </w:p>
        </w:tc>
      </w:tr>
      <w:tr w14:paraId="46EAF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0242381">
            <w:pPr>
              <w:spacing w:before="133" w:line="200" w:lineRule="auto"/>
              <w:ind w:left="384"/>
              <w:jc w:val="left"/>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4"/>
                <w:szCs w:val="24"/>
                <w:lang w:val="en-US" w:eastAsia="zh-CN"/>
                <w14:textFill>
                  <w14:solidFill>
                    <w14:schemeClr w14:val="tx1"/>
                  </w14:solidFill>
                </w14:textFill>
              </w:rPr>
              <w:t>3、特定目标类</w:t>
            </w:r>
          </w:p>
        </w:tc>
        <w:tc>
          <w:tcPr>
            <w:tcW w:w="1815" w:type="dxa"/>
            <w:gridSpan w:val="2"/>
            <w:noWrap w:val="0"/>
            <w:vAlign w:val="top"/>
          </w:tcPr>
          <w:p w14:paraId="1A74E969">
            <w:pPr>
              <w:jc w:val="center"/>
              <w:rPr>
                <w:rFonts w:hint="default"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5F434CAD">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c>
          <w:tcPr>
            <w:tcW w:w="1679" w:type="dxa"/>
            <w:gridSpan w:val="2"/>
            <w:noWrap w:val="0"/>
            <w:vAlign w:val="top"/>
          </w:tcPr>
          <w:p w14:paraId="5B425A7F">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r>
      <w:tr w14:paraId="050419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6EF77013">
            <w:pPr>
              <w:spacing w:before="133" w:line="200"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4</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w:t>
            </w:r>
            <w:r>
              <w:rPr>
                <w:rFonts w:hint="eastAsia" w:asciiTheme="majorEastAsia" w:hAnsiTheme="majorEastAsia" w:eastAsiaTheme="majorEastAsia" w:cstheme="majorEastAsia"/>
                <w:color w:val="000000" w:themeColor="text1"/>
                <w:spacing w:val="2"/>
                <w:sz w:val="24"/>
                <w:szCs w:val="24"/>
                <w:lang w:eastAsia="zh-CN"/>
                <w14:textFill>
                  <w14:solidFill>
                    <w14:schemeClr w14:val="tx1"/>
                  </w14:solidFill>
                </w14:textFill>
              </w:rPr>
              <w:t>区</w:t>
            </w:r>
            <w:r>
              <w:rPr>
                <w:rFonts w:hint="eastAsia" w:asciiTheme="majorEastAsia" w:hAnsiTheme="majorEastAsia" w:eastAsiaTheme="majorEastAsia" w:cstheme="majorEastAsia"/>
                <w:color w:val="000000" w:themeColor="text1"/>
                <w:spacing w:val="2"/>
                <w:sz w:val="24"/>
                <w:szCs w:val="24"/>
                <w14:textFill>
                  <w14:solidFill>
                    <w14:schemeClr w14:val="tx1"/>
                  </w14:solidFill>
                </w14:textFill>
              </w:rPr>
              <w:t>级专项资金</w:t>
            </w:r>
            <w:r>
              <w:rPr>
                <w:rFonts w:hint="eastAsia" w:asciiTheme="majorEastAsia" w:hAnsiTheme="majorEastAsia" w:eastAsiaTheme="majorEastAsia" w:cstheme="majorEastAsia"/>
                <w:color w:val="000000" w:themeColor="text1"/>
                <w:spacing w:val="2"/>
                <w:sz w:val="21"/>
                <w:szCs w:val="21"/>
                <w14:textFill>
                  <w14:solidFill>
                    <w14:schemeClr w14:val="tx1"/>
                  </w14:solidFill>
                </w14:textFill>
              </w:rPr>
              <w:t>(一个专项一行)</w:t>
            </w:r>
          </w:p>
        </w:tc>
        <w:tc>
          <w:tcPr>
            <w:tcW w:w="1815" w:type="dxa"/>
            <w:gridSpan w:val="2"/>
            <w:noWrap w:val="0"/>
            <w:vAlign w:val="top"/>
          </w:tcPr>
          <w:p w14:paraId="4F8ECE0C">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5593094D">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c>
          <w:tcPr>
            <w:tcW w:w="1679" w:type="dxa"/>
            <w:gridSpan w:val="2"/>
            <w:noWrap w:val="0"/>
            <w:vAlign w:val="top"/>
          </w:tcPr>
          <w:p w14:paraId="6A4B6E7F">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r>
      <w:tr w14:paraId="5A3A09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C33E9A5">
            <w:pPr>
              <w:spacing w:before="133" w:line="200" w:lineRule="auto"/>
              <w:ind w:left="384"/>
              <w:jc w:val="left"/>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lang w:val="en-US" w:eastAsia="zh-CN"/>
                <w14:textFill>
                  <w14:solidFill>
                    <w14:schemeClr w14:val="tx1"/>
                  </w14:solidFill>
                </w14:textFill>
              </w:rPr>
              <w:t>5、上级转移支付</w:t>
            </w:r>
            <w:r>
              <w:rPr>
                <w:rFonts w:hint="eastAsia" w:asciiTheme="majorEastAsia" w:hAnsiTheme="majorEastAsia" w:eastAsiaTheme="majorEastAsia" w:cstheme="majorEastAsia"/>
                <w:color w:val="000000" w:themeColor="text1"/>
                <w:spacing w:val="2"/>
                <w:sz w:val="21"/>
                <w:szCs w:val="21"/>
                <w14:textFill>
                  <w14:solidFill>
                    <w14:schemeClr w14:val="tx1"/>
                  </w14:solidFill>
                </w14:textFill>
              </w:rPr>
              <w:t>(一个专项一行</w:t>
            </w:r>
            <w:r>
              <w:rPr>
                <w:rFonts w:hint="eastAsia" w:asciiTheme="majorEastAsia" w:hAnsiTheme="majorEastAsia" w:eastAsiaTheme="majorEastAsia" w:cstheme="majorEastAsia"/>
                <w:color w:val="000000" w:themeColor="text1"/>
                <w:spacing w:val="2"/>
                <w:sz w:val="21"/>
                <w:szCs w:val="21"/>
                <w:lang w:eastAsia="zh-CN"/>
                <w14:textFill>
                  <w14:solidFill>
                    <w14:schemeClr w14:val="tx1"/>
                  </w14:solidFill>
                </w14:textFill>
              </w:rPr>
              <w:t>）</w:t>
            </w:r>
          </w:p>
        </w:tc>
        <w:tc>
          <w:tcPr>
            <w:tcW w:w="1815" w:type="dxa"/>
            <w:gridSpan w:val="2"/>
            <w:noWrap w:val="0"/>
            <w:vAlign w:val="top"/>
          </w:tcPr>
          <w:p w14:paraId="6E6CD200">
            <w:pPr>
              <w:jc w:val="center"/>
              <w:rPr>
                <w:rFonts w:hint="eastAsia"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p>
        </w:tc>
        <w:tc>
          <w:tcPr>
            <w:tcW w:w="2325" w:type="dxa"/>
            <w:gridSpan w:val="2"/>
            <w:noWrap w:val="0"/>
            <w:vAlign w:val="top"/>
          </w:tcPr>
          <w:p w14:paraId="6A0123C9">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c>
          <w:tcPr>
            <w:tcW w:w="1679" w:type="dxa"/>
            <w:gridSpan w:val="2"/>
            <w:noWrap w:val="0"/>
            <w:vAlign w:val="top"/>
          </w:tcPr>
          <w:p w14:paraId="0860129B">
            <w:pPr>
              <w:jc w:val="cente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pPr>
          </w:p>
        </w:tc>
      </w:tr>
      <w:tr w14:paraId="4DB85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0CDB8C93">
            <w:pPr>
              <w:spacing w:before="85" w:line="220" w:lineRule="auto"/>
              <w:ind w:left="9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公用经费</w:t>
            </w:r>
          </w:p>
        </w:tc>
        <w:tc>
          <w:tcPr>
            <w:tcW w:w="1815" w:type="dxa"/>
            <w:gridSpan w:val="2"/>
            <w:noWrap w:val="0"/>
            <w:vAlign w:val="top"/>
          </w:tcPr>
          <w:p w14:paraId="6AACCF2F">
            <w:pPr>
              <w:jc w:val="center"/>
              <w:rPr>
                <w:rFonts w:hint="default" w:asciiTheme="majorEastAsia" w:hAnsiTheme="majorEastAsia" w:eastAsiaTheme="majorEastAsia" w:cstheme="majorEastAsia"/>
                <w:color w:val="000000" w:themeColor="text1"/>
                <w:kern w:val="2"/>
                <w:sz w:val="21"/>
                <w:szCs w:val="24"/>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highlight w:val="none"/>
                <w:lang w:val="en-US" w:eastAsia="zh-CN"/>
                <w14:textFill>
                  <w14:solidFill>
                    <w14:schemeClr w14:val="tx1"/>
                  </w14:solidFill>
                </w14:textFill>
              </w:rPr>
              <w:t>176.16</w:t>
            </w:r>
          </w:p>
        </w:tc>
        <w:tc>
          <w:tcPr>
            <w:tcW w:w="2325" w:type="dxa"/>
            <w:gridSpan w:val="2"/>
            <w:noWrap w:val="0"/>
            <w:vAlign w:val="top"/>
          </w:tcPr>
          <w:p w14:paraId="6CD8558E">
            <w:pPr>
              <w:jc w:val="center"/>
              <w:rPr>
                <w:rFonts w:hint="default" w:asciiTheme="majorEastAsia" w:hAnsiTheme="majorEastAsia" w:eastAsiaTheme="majorEastAsia" w:cstheme="majorEastAsia"/>
                <w:color w:val="000000" w:themeColor="text1"/>
                <w:sz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highlight w:val="none"/>
                <w:lang w:val="en-US" w:eastAsia="zh-CN"/>
                <w14:textFill>
                  <w14:solidFill>
                    <w14:schemeClr w14:val="tx1"/>
                  </w14:solidFill>
                </w14:textFill>
              </w:rPr>
              <w:t>180</w:t>
            </w:r>
          </w:p>
        </w:tc>
        <w:tc>
          <w:tcPr>
            <w:tcW w:w="1679" w:type="dxa"/>
            <w:gridSpan w:val="2"/>
            <w:noWrap w:val="0"/>
            <w:vAlign w:val="top"/>
          </w:tcPr>
          <w:p w14:paraId="3FF22350">
            <w:pPr>
              <w:jc w:val="center"/>
              <w:rPr>
                <w:rFonts w:hint="default" w:asciiTheme="majorEastAsia" w:hAnsiTheme="majorEastAsia" w:eastAsiaTheme="majorEastAsia" w:cstheme="majorEastAsia"/>
                <w:color w:val="000000" w:themeColor="text1"/>
                <w:sz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highlight w:val="none"/>
                <w:lang w:val="en-US" w:eastAsia="zh-CN"/>
                <w14:textFill>
                  <w14:solidFill>
                    <w14:schemeClr w14:val="tx1"/>
                  </w14:solidFill>
                </w14:textFill>
              </w:rPr>
              <w:t>155.06</w:t>
            </w:r>
          </w:p>
        </w:tc>
      </w:tr>
      <w:tr w14:paraId="0D49D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126D8D53">
            <w:pPr>
              <w:spacing w:before="85" w:line="219" w:lineRule="auto"/>
              <w:ind w:left="38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其中：办公经费</w:t>
            </w:r>
          </w:p>
        </w:tc>
        <w:tc>
          <w:tcPr>
            <w:tcW w:w="1815" w:type="dxa"/>
            <w:gridSpan w:val="2"/>
            <w:noWrap w:val="0"/>
            <w:vAlign w:val="top"/>
          </w:tcPr>
          <w:p w14:paraId="721AA195">
            <w:pPr>
              <w:jc w:val="center"/>
              <w:rPr>
                <w:rFonts w:hint="default"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17.51</w:t>
            </w:r>
          </w:p>
        </w:tc>
        <w:tc>
          <w:tcPr>
            <w:tcW w:w="2325" w:type="dxa"/>
            <w:gridSpan w:val="2"/>
            <w:noWrap w:val="0"/>
            <w:vAlign w:val="top"/>
          </w:tcPr>
          <w:p w14:paraId="6B4D17BB">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20</w:t>
            </w:r>
          </w:p>
        </w:tc>
        <w:tc>
          <w:tcPr>
            <w:tcW w:w="1679" w:type="dxa"/>
            <w:gridSpan w:val="2"/>
            <w:noWrap w:val="0"/>
            <w:vAlign w:val="top"/>
          </w:tcPr>
          <w:p w14:paraId="573A32FA">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16.48</w:t>
            </w:r>
          </w:p>
        </w:tc>
      </w:tr>
      <w:tr w14:paraId="6D0E6D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DBF1ABE">
            <w:pPr>
              <w:spacing w:before="135" w:line="198" w:lineRule="auto"/>
              <w:ind w:left="1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水费、电费、差旅费</w:t>
            </w:r>
          </w:p>
        </w:tc>
        <w:tc>
          <w:tcPr>
            <w:tcW w:w="1815" w:type="dxa"/>
            <w:gridSpan w:val="2"/>
            <w:noWrap w:val="0"/>
            <w:vAlign w:val="top"/>
          </w:tcPr>
          <w:p w14:paraId="62455BD2">
            <w:pPr>
              <w:jc w:val="center"/>
              <w:rPr>
                <w:rFonts w:hint="default" w:asciiTheme="majorEastAsia" w:hAnsiTheme="majorEastAsia" w:eastAsiaTheme="majorEastAsia" w:cstheme="majorEastAsia"/>
                <w:color w:val="000000" w:themeColor="text1"/>
                <w:kern w:val="2"/>
                <w:sz w:val="21"/>
                <w:szCs w:val="24"/>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6.6</w:t>
            </w:r>
          </w:p>
        </w:tc>
        <w:tc>
          <w:tcPr>
            <w:tcW w:w="2325" w:type="dxa"/>
            <w:gridSpan w:val="2"/>
            <w:noWrap w:val="0"/>
            <w:vAlign w:val="top"/>
          </w:tcPr>
          <w:p w14:paraId="1E4519AB">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7.2</w:t>
            </w:r>
          </w:p>
        </w:tc>
        <w:tc>
          <w:tcPr>
            <w:tcW w:w="1679" w:type="dxa"/>
            <w:gridSpan w:val="2"/>
            <w:noWrap w:val="0"/>
            <w:vAlign w:val="top"/>
          </w:tcPr>
          <w:p w14:paraId="2C2E9B25">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7</w:t>
            </w:r>
          </w:p>
        </w:tc>
      </w:tr>
      <w:tr w14:paraId="63EFB6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B451893">
            <w:pPr>
              <w:spacing w:before="144" w:line="198" w:lineRule="auto"/>
              <w:ind w:left="112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会议费、培训费</w:t>
            </w:r>
          </w:p>
        </w:tc>
        <w:tc>
          <w:tcPr>
            <w:tcW w:w="1815" w:type="dxa"/>
            <w:gridSpan w:val="2"/>
            <w:noWrap w:val="0"/>
            <w:vAlign w:val="top"/>
          </w:tcPr>
          <w:p w14:paraId="7DB49C53">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0.3</w:t>
            </w:r>
          </w:p>
        </w:tc>
        <w:tc>
          <w:tcPr>
            <w:tcW w:w="2325" w:type="dxa"/>
            <w:gridSpan w:val="2"/>
            <w:noWrap w:val="0"/>
            <w:vAlign w:val="top"/>
          </w:tcPr>
          <w:p w14:paraId="0170FD7E">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2.8</w:t>
            </w:r>
          </w:p>
        </w:tc>
        <w:tc>
          <w:tcPr>
            <w:tcW w:w="1679" w:type="dxa"/>
            <w:gridSpan w:val="2"/>
            <w:noWrap w:val="0"/>
            <w:vAlign w:val="top"/>
          </w:tcPr>
          <w:p w14:paraId="0D126599">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p>
        </w:tc>
      </w:tr>
      <w:tr w14:paraId="0B73C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13423BAA">
            <w:pPr>
              <w:spacing w:before="145" w:line="189" w:lineRule="auto"/>
              <w:ind w:left="10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政府采购金额</w:t>
            </w:r>
          </w:p>
        </w:tc>
        <w:tc>
          <w:tcPr>
            <w:tcW w:w="1815" w:type="dxa"/>
            <w:gridSpan w:val="2"/>
            <w:noWrap w:val="0"/>
            <w:vAlign w:val="top"/>
          </w:tcPr>
          <w:p w14:paraId="646FADE4">
            <w:pPr>
              <w:jc w:val="center"/>
              <w:rPr>
                <w:rFonts w:hint="default" w:asciiTheme="majorEastAsia" w:hAnsiTheme="majorEastAsia" w:eastAsiaTheme="majorEastAsia" w:cstheme="majorEastAsia"/>
                <w:color w:val="000000" w:themeColor="text1"/>
                <w:sz w:val="21"/>
                <w:highlight w:val="yellow"/>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14:textFill>
                  <w14:solidFill>
                    <w14:schemeClr w14:val="tx1"/>
                  </w14:solidFill>
                </w14:textFill>
              </w:rPr>
              <w:t>512</w:t>
            </w:r>
            <w:r>
              <w:rPr>
                <w:rFonts w:hint="eastAsia" w:asciiTheme="majorEastAsia" w:hAnsiTheme="majorEastAsia" w:eastAsiaTheme="majorEastAsia" w:cstheme="majorEastAsia"/>
                <w:color w:val="000000" w:themeColor="text1"/>
                <w:sz w:val="21"/>
                <w:lang w:val="en-US" w:eastAsia="zh-CN"/>
                <w14:textFill>
                  <w14:solidFill>
                    <w14:schemeClr w14:val="tx1"/>
                  </w14:solidFill>
                </w14:textFill>
              </w:rPr>
              <w:t>.38</w:t>
            </w:r>
          </w:p>
        </w:tc>
        <w:tc>
          <w:tcPr>
            <w:tcW w:w="2325" w:type="dxa"/>
            <w:gridSpan w:val="2"/>
            <w:noWrap w:val="0"/>
            <w:vAlign w:val="top"/>
          </w:tcPr>
          <w:p w14:paraId="14D934A6">
            <w:pPr>
              <w:jc w:val="center"/>
              <w:rPr>
                <w:rFonts w:hint="default" w:asciiTheme="majorEastAsia" w:hAnsiTheme="majorEastAsia" w:eastAsiaTheme="majorEastAsia" w:cstheme="majorEastAsia"/>
                <w:color w:val="000000" w:themeColor="text1"/>
                <w:sz w:val="21"/>
                <w:highlight w:val="yellow"/>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highlight w:val="none"/>
                <w:lang w:val="en-US" w:eastAsia="zh-CN"/>
                <w14:textFill>
                  <w14:solidFill>
                    <w14:schemeClr w14:val="tx1"/>
                  </w14:solidFill>
                </w14:textFill>
              </w:rPr>
              <w:t>329</w:t>
            </w:r>
          </w:p>
        </w:tc>
        <w:tc>
          <w:tcPr>
            <w:tcW w:w="1679" w:type="dxa"/>
            <w:gridSpan w:val="2"/>
            <w:noWrap w:val="0"/>
            <w:vAlign w:val="top"/>
          </w:tcPr>
          <w:p w14:paraId="48EDA008">
            <w:pPr>
              <w:jc w:val="center"/>
              <w:rPr>
                <w:rFonts w:hint="default" w:asciiTheme="majorEastAsia" w:hAnsiTheme="majorEastAsia" w:eastAsiaTheme="majorEastAsia" w:cstheme="majorEastAsia"/>
                <w:color w:val="000000" w:themeColor="text1"/>
                <w:sz w:val="21"/>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 w:val="21"/>
                <w14:textFill>
                  <w14:solidFill>
                    <w14:schemeClr w14:val="tx1"/>
                  </w14:solidFill>
                </w14:textFill>
              </w:rPr>
              <w:t>529.6</w:t>
            </w:r>
          </w:p>
        </w:tc>
      </w:tr>
      <w:tr w14:paraId="3653C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F990F2D">
            <w:pPr>
              <w:spacing w:before="145" w:line="198" w:lineRule="auto"/>
              <w:ind w:left="114"/>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部门基本支出预算调整</w:t>
            </w:r>
          </w:p>
        </w:tc>
        <w:tc>
          <w:tcPr>
            <w:tcW w:w="1815" w:type="dxa"/>
            <w:gridSpan w:val="2"/>
            <w:noWrap w:val="0"/>
            <w:vAlign w:val="top"/>
          </w:tcPr>
          <w:p w14:paraId="3A96D294">
            <w:pPr>
              <w:jc w:val="cente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2325" w:type="dxa"/>
            <w:gridSpan w:val="2"/>
            <w:noWrap w:val="0"/>
            <w:vAlign w:val="top"/>
          </w:tcPr>
          <w:p w14:paraId="6280E36F">
            <w:pPr>
              <w:jc w:val="cente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679" w:type="dxa"/>
            <w:gridSpan w:val="2"/>
            <w:noWrap w:val="0"/>
            <w:vAlign w:val="top"/>
          </w:tcPr>
          <w:p w14:paraId="4BB3934A">
            <w:pPr>
              <w:jc w:val="center"/>
              <w:rPr>
                <w:rFonts w:hint="eastAsia" w:asciiTheme="majorEastAsia" w:hAnsiTheme="majorEastAsia" w:eastAsiaTheme="majorEastAsia" w:cstheme="majorEastAsia"/>
                <w:color w:val="000000" w:themeColor="text1"/>
                <w:sz w:val="21"/>
                <w14:textFill>
                  <w14:solidFill>
                    <w14:schemeClr w14:val="tx1"/>
                  </w14:solidFill>
                </w14:textFill>
              </w:rPr>
            </w:pPr>
          </w:p>
        </w:tc>
      </w:tr>
      <w:tr w14:paraId="54A4A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1E2C917C">
            <w:pPr>
              <w:spacing w:before="65" w:line="390" w:lineRule="exact"/>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position w:val="14"/>
                <w:sz w:val="24"/>
                <w:szCs w:val="24"/>
                <w14:textFill>
                  <w14:solidFill>
                    <w14:schemeClr w14:val="tx1"/>
                  </w14:solidFill>
                </w14:textFill>
              </w:rPr>
              <w:t>楼堂馆所控制情况</w:t>
            </w:r>
          </w:p>
          <w:p w14:paraId="78E3A57C">
            <w:pPr>
              <w:spacing w:line="219" w:lineRule="auto"/>
              <w:jc w:val="center"/>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3"/>
                <w:sz w:val="24"/>
                <w:szCs w:val="24"/>
                <w14:textFill>
                  <w14:solidFill>
                    <w14:schemeClr w14:val="tx1"/>
                  </w14:solidFill>
                </w14:textFill>
              </w:rPr>
              <w:t>(2022年完工项目)</w:t>
            </w:r>
          </w:p>
        </w:tc>
        <w:tc>
          <w:tcPr>
            <w:tcW w:w="825" w:type="dxa"/>
            <w:noWrap w:val="0"/>
            <w:vAlign w:val="center"/>
          </w:tcPr>
          <w:p w14:paraId="166946A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批复规模</w:t>
            </w:r>
          </w:p>
          <w:p w14:paraId="42AA5B04">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(m²)</w:t>
            </w:r>
          </w:p>
        </w:tc>
        <w:tc>
          <w:tcPr>
            <w:tcW w:w="990" w:type="dxa"/>
            <w:noWrap w:val="0"/>
            <w:vAlign w:val="center"/>
          </w:tcPr>
          <w:p w14:paraId="63DA25F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实际规</w:t>
            </w:r>
          </w:p>
          <w:p w14:paraId="06C5641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模(m²)</w:t>
            </w:r>
          </w:p>
        </w:tc>
        <w:tc>
          <w:tcPr>
            <w:tcW w:w="1140" w:type="dxa"/>
            <w:noWrap w:val="0"/>
            <w:vAlign w:val="center"/>
          </w:tcPr>
          <w:p w14:paraId="291BD49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规模控制率</w:t>
            </w:r>
          </w:p>
        </w:tc>
        <w:tc>
          <w:tcPr>
            <w:tcW w:w="1185" w:type="dxa"/>
            <w:noWrap w:val="0"/>
            <w:vAlign w:val="center"/>
          </w:tcPr>
          <w:p w14:paraId="1703611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预算投资</w:t>
            </w:r>
          </w:p>
          <w:p w14:paraId="14E6B5AB">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10" w:type="dxa"/>
            <w:noWrap w:val="0"/>
            <w:vAlign w:val="center"/>
          </w:tcPr>
          <w:p w14:paraId="7C192C8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实际</w:t>
            </w:r>
          </w:p>
          <w:p w14:paraId="312BEFC5">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w:t>
            </w:r>
          </w:p>
          <w:p w14:paraId="2C75211A">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(万元)</w:t>
            </w:r>
          </w:p>
        </w:tc>
        <w:tc>
          <w:tcPr>
            <w:tcW w:w="869" w:type="dxa"/>
            <w:noWrap w:val="0"/>
            <w:vAlign w:val="center"/>
          </w:tcPr>
          <w:p w14:paraId="3E1D095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投资概</w:t>
            </w:r>
          </w:p>
          <w:p w14:paraId="52D6B5E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算控制</w:t>
            </w:r>
          </w:p>
          <w:p w14:paraId="03383209">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0"/>
                <w:szCs w:val="20"/>
                <w14:textFill>
                  <w14:solidFill>
                    <w14:schemeClr w14:val="tx1"/>
                  </w14:solidFill>
                </w14:textFill>
              </w:rPr>
              <w:t>率</w:t>
            </w:r>
          </w:p>
        </w:tc>
      </w:tr>
      <w:tr w14:paraId="57127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BC86867">
            <w:pPr>
              <w:jc w:val="left"/>
              <w:rPr>
                <w:rFonts w:hint="eastAsia" w:asciiTheme="majorEastAsia" w:hAnsiTheme="majorEastAsia" w:eastAsiaTheme="majorEastAsia" w:cstheme="majorEastAsia"/>
                <w:color w:val="000000" w:themeColor="text1"/>
                <w:sz w:val="24"/>
                <w:szCs w:val="24"/>
                <w14:textFill>
                  <w14:solidFill>
                    <w14:schemeClr w14:val="tx1"/>
                  </w14:solidFill>
                </w14:textFill>
              </w:rPr>
            </w:pPr>
          </w:p>
        </w:tc>
        <w:tc>
          <w:tcPr>
            <w:tcW w:w="825" w:type="dxa"/>
            <w:noWrap w:val="0"/>
            <w:vAlign w:val="top"/>
          </w:tcPr>
          <w:p w14:paraId="39A15A76">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990" w:type="dxa"/>
            <w:noWrap w:val="0"/>
            <w:vAlign w:val="top"/>
          </w:tcPr>
          <w:p w14:paraId="77EAE38D">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40" w:type="dxa"/>
            <w:noWrap w:val="0"/>
            <w:vAlign w:val="top"/>
          </w:tcPr>
          <w:p w14:paraId="4D2C09D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1185" w:type="dxa"/>
            <w:noWrap w:val="0"/>
            <w:vAlign w:val="top"/>
          </w:tcPr>
          <w:p w14:paraId="35019145">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10" w:type="dxa"/>
            <w:noWrap w:val="0"/>
            <w:vAlign w:val="top"/>
          </w:tcPr>
          <w:p w14:paraId="61A52263">
            <w:pPr>
              <w:rPr>
                <w:rFonts w:hint="eastAsia" w:asciiTheme="majorEastAsia" w:hAnsiTheme="majorEastAsia" w:eastAsiaTheme="majorEastAsia" w:cstheme="majorEastAsia"/>
                <w:color w:val="000000" w:themeColor="text1"/>
                <w:sz w:val="21"/>
                <w14:textFill>
                  <w14:solidFill>
                    <w14:schemeClr w14:val="tx1"/>
                  </w14:solidFill>
                </w14:textFill>
              </w:rPr>
            </w:pPr>
          </w:p>
        </w:tc>
        <w:tc>
          <w:tcPr>
            <w:tcW w:w="869" w:type="dxa"/>
            <w:noWrap w:val="0"/>
            <w:vAlign w:val="top"/>
          </w:tcPr>
          <w:p w14:paraId="1DFF702B">
            <w:pPr>
              <w:rPr>
                <w:rFonts w:hint="eastAsia" w:asciiTheme="majorEastAsia" w:hAnsiTheme="majorEastAsia" w:eastAsiaTheme="majorEastAsia" w:cstheme="majorEastAsia"/>
                <w:color w:val="000000" w:themeColor="text1"/>
                <w:sz w:val="21"/>
                <w14:textFill>
                  <w14:solidFill>
                    <w14:schemeClr w14:val="tx1"/>
                  </w14:solidFill>
                </w14:textFill>
              </w:rPr>
            </w:pPr>
          </w:p>
        </w:tc>
      </w:tr>
      <w:tr w14:paraId="37E85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17688C4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4"/>
                <w:szCs w:val="24"/>
                <w14:textFill>
                  <w14:solidFill>
                    <w14:schemeClr w14:val="tx1"/>
                  </w14:solidFill>
                </w14:textFill>
              </w:rPr>
            </w:pPr>
            <w:r>
              <w:rPr>
                <w:rFonts w:hint="eastAsia" w:asciiTheme="majorEastAsia" w:hAnsiTheme="majorEastAsia" w:eastAsiaTheme="majorEastAsia" w:cstheme="majorEastAsia"/>
                <w:color w:val="000000" w:themeColor="text1"/>
                <w:spacing w:val="1"/>
                <w:sz w:val="24"/>
                <w:szCs w:val="24"/>
                <w14:textFill>
                  <w14:solidFill>
                    <w14:schemeClr w14:val="tx1"/>
                  </w14:solidFill>
                </w14:textFill>
              </w:rPr>
              <w:t>厉行节约保障措施</w:t>
            </w:r>
          </w:p>
        </w:tc>
        <w:tc>
          <w:tcPr>
            <w:tcW w:w="5819" w:type="dxa"/>
            <w:gridSpan w:val="6"/>
            <w:noWrap w:val="0"/>
            <w:vAlign w:val="top"/>
          </w:tcPr>
          <w:p w14:paraId="5BBD1C06">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Theme="majorEastAsia" w:hAnsiTheme="majorEastAsia" w:eastAsiaTheme="majorEastAsia" w:cstheme="majorEastAsia"/>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14:textFill>
                  <w14:solidFill>
                    <w14:schemeClr w14:val="tx1"/>
                  </w14:solidFill>
                </w14:textFill>
              </w:rPr>
              <w:t>一是严格控制一般性支出，降低行政运行成本，提高公用经费使用效率；二是严控楼堂馆所建设；三是推进节能减排。</w:t>
            </w:r>
          </w:p>
        </w:tc>
      </w:tr>
    </w:tbl>
    <w:p w14:paraId="1B4F62E8">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heme="majorEastAsia" w:hAnsiTheme="majorEastAsia" w:eastAsiaTheme="majorEastAsia" w:cstheme="majorEastAsia"/>
          <w:color w:val="000000" w:themeColor="text1"/>
          <w:spacing w:val="0"/>
          <w:position w:val="0"/>
          <w:sz w:val="23"/>
          <w:szCs w:val="23"/>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pacing w:val="0"/>
          <w:position w:val="0"/>
          <w:sz w:val="22"/>
          <w:szCs w:val="22"/>
          <w14:textFill>
            <w14:solidFill>
              <w14:schemeClr w14:val="tx1"/>
            </w14:solidFill>
          </w14:textFill>
        </w:rPr>
        <w:t>填表人：</w:t>
      </w:r>
      <w:r>
        <w:rPr>
          <w:rFonts w:hint="eastAsia" w:asciiTheme="majorEastAsia" w:hAnsiTheme="majorEastAsia" w:eastAsiaTheme="majorEastAsia" w:cstheme="majorEastAsia"/>
          <w:color w:val="000000" w:themeColor="text1"/>
          <w:spacing w:val="0"/>
          <w:position w:val="0"/>
          <w:sz w:val="22"/>
          <w:szCs w:val="22"/>
          <w:lang w:val="en-US" w:eastAsia="zh-CN"/>
          <w14:textFill>
            <w14:solidFill>
              <w14:schemeClr w14:val="tx1"/>
            </w14:solidFill>
          </w14:textFill>
        </w:rPr>
        <w:t>湛宙</w:t>
      </w:r>
      <w:r>
        <w:rPr>
          <w:rFonts w:hint="eastAsia" w:asciiTheme="majorEastAsia" w:hAnsiTheme="majorEastAsia" w:eastAsiaTheme="majorEastAsia" w:cstheme="majorEastAsia"/>
          <w:color w:val="000000" w:themeColor="text1"/>
          <w:spacing w:val="0"/>
          <w:position w:val="0"/>
          <w:sz w:val="22"/>
          <w:szCs w:val="22"/>
          <w14:textFill>
            <w14:solidFill>
              <w14:schemeClr w14:val="tx1"/>
            </w14:solidFill>
          </w14:textFill>
        </w:rPr>
        <w:t xml:space="preserve">  联系电话：</w:t>
      </w:r>
      <w:r>
        <w:rPr>
          <w:rFonts w:hint="eastAsia" w:asciiTheme="majorEastAsia" w:hAnsiTheme="majorEastAsia" w:eastAsiaTheme="majorEastAsia" w:cstheme="majorEastAsia"/>
          <w:color w:val="000000" w:themeColor="text1"/>
          <w:spacing w:val="0"/>
          <w:position w:val="0"/>
          <w:sz w:val="22"/>
          <w:szCs w:val="22"/>
          <w:lang w:val="en-US" w:eastAsia="zh-CN"/>
          <w14:textFill>
            <w14:solidFill>
              <w14:schemeClr w14:val="tx1"/>
            </w14:solidFill>
          </w14:textFill>
        </w:rPr>
        <w:t xml:space="preserve">13975040329 </w:t>
      </w:r>
      <w:r>
        <w:rPr>
          <w:rFonts w:hint="eastAsia" w:asciiTheme="majorEastAsia" w:hAnsiTheme="majorEastAsia" w:eastAsiaTheme="majorEastAsia" w:cstheme="majorEastAsia"/>
          <w:color w:val="000000" w:themeColor="text1"/>
          <w:spacing w:val="0"/>
          <w:position w:val="0"/>
          <w:sz w:val="22"/>
          <w:szCs w:val="22"/>
          <w14:textFill>
            <w14:solidFill>
              <w14:schemeClr w14:val="tx1"/>
            </w14:solidFill>
          </w14:textFill>
        </w:rPr>
        <w:t xml:space="preserve"> 单位负责人签字：</w:t>
      </w:r>
      <w:r>
        <w:rPr>
          <w:rFonts w:hint="eastAsia" w:asciiTheme="majorEastAsia" w:hAnsiTheme="majorEastAsia" w:eastAsiaTheme="majorEastAsia" w:cstheme="majorEastAsia"/>
          <w:color w:val="000000" w:themeColor="text1"/>
          <w:spacing w:val="0"/>
          <w:position w:val="0"/>
          <w:sz w:val="22"/>
          <w:szCs w:val="22"/>
          <w:lang w:val="en-US" w:eastAsia="zh-CN"/>
          <w14:textFill>
            <w14:solidFill>
              <w14:schemeClr w14:val="tx1"/>
            </w14:solidFill>
          </w14:textFill>
        </w:rPr>
        <w:t xml:space="preserve">张璇 </w:t>
      </w:r>
      <w:r>
        <w:rPr>
          <w:rFonts w:hint="eastAsia" w:asciiTheme="majorEastAsia" w:hAnsiTheme="majorEastAsia" w:eastAsiaTheme="majorEastAsia" w:cstheme="majorEastAsia"/>
          <w:color w:val="000000" w:themeColor="text1"/>
          <w:spacing w:val="0"/>
          <w:position w:val="0"/>
          <w:sz w:val="22"/>
          <w:szCs w:val="22"/>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2"/>
          <w:szCs w:val="22"/>
          <w:lang w:val="en-US" w:eastAsia="zh-CN"/>
          <w14:textFill>
            <w14:solidFill>
              <w14:schemeClr w14:val="tx1"/>
            </w14:solidFill>
          </w14:textFill>
        </w:rPr>
        <w:t>2025年7月2日</w:t>
      </w:r>
    </w:p>
    <w:p w14:paraId="6FA793B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eastAsia="zh-CN"/>
          <w14:textFill>
            <w14:solidFill>
              <w14:schemeClr w14:val="tx1"/>
            </w14:solidFill>
          </w14:textFill>
        </w:rPr>
      </w:pPr>
    </w:p>
    <w:p w14:paraId="4824E1F5">
      <w:pPr>
        <w:pStyle w:val="2"/>
        <w:rPr>
          <w:rFonts w:hint="eastAsia"/>
          <w:lang w:eastAsia="zh-CN"/>
        </w:rPr>
      </w:pPr>
    </w:p>
    <w:p w14:paraId="4A4B280A">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eastAsia" w:ascii="黑体" w:hAnsi="黑体" w:eastAsia="黑体" w:cs="黑体"/>
          <w:b w:val="0"/>
          <w:bCs w:val="0"/>
          <w:color w:val="000000" w:themeColor="text1"/>
          <w:spacing w:val="10"/>
          <w:sz w:val="32"/>
          <w:szCs w:val="32"/>
          <w:lang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2</w:t>
      </w:r>
    </w:p>
    <w:p w14:paraId="732D1BF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 xml:space="preserve">  </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t>4</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2"/>
          <w:szCs w:val="42"/>
          <w:lang w:eastAsia="zh-CN"/>
          <w14:textFill>
            <w14:solidFill>
              <w14:schemeClr w14:val="tx1"/>
            </w14:solidFill>
          </w14:textFill>
        </w:rPr>
        <w:t>预算单位</w:t>
      </w:r>
      <w:r>
        <w:rPr>
          <w:rFonts w:hint="eastAsia" w:ascii="方正小标宋简体" w:hAnsi="方正小标宋简体" w:eastAsia="方正小标宋简体" w:cs="方正小标宋简体"/>
          <w:b w:val="0"/>
          <w:bCs w:val="0"/>
          <w:color w:val="000000" w:themeColor="text1"/>
          <w:spacing w:val="2"/>
          <w:sz w:val="42"/>
          <w:szCs w:val="42"/>
          <w14:textFill>
            <w14:solidFill>
              <w14:schemeClr w14:val="tx1"/>
            </w14:solidFill>
          </w14:textFill>
        </w:rPr>
        <w:t>整体支出绩效自评表</w:t>
      </w:r>
    </w:p>
    <w:p w14:paraId="13572AB5">
      <w:pPr>
        <w:spacing w:line="168" w:lineRule="exact"/>
        <w:rPr>
          <w:color w:val="000000" w:themeColor="text1"/>
          <w14:textFill>
            <w14:solidFill>
              <w14:schemeClr w14:val="tx1"/>
            </w14:solidFill>
          </w14:textFill>
        </w:rPr>
      </w:pPr>
    </w:p>
    <w:tbl>
      <w:tblPr>
        <w:tblStyle w:val="12"/>
        <w:tblW w:w="983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4"/>
        <w:gridCol w:w="1079"/>
        <w:gridCol w:w="1029"/>
        <w:gridCol w:w="1269"/>
        <w:gridCol w:w="1319"/>
        <w:gridCol w:w="1259"/>
        <w:gridCol w:w="719"/>
        <w:gridCol w:w="802"/>
        <w:gridCol w:w="1275"/>
      </w:tblGrid>
      <w:tr w14:paraId="03B396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1084" w:type="dxa"/>
            <w:noWrap w:val="0"/>
            <w:vAlign w:val="top"/>
          </w:tcPr>
          <w:p w14:paraId="63E65856">
            <w:pPr>
              <w:keepNext w:val="0"/>
              <w:keepLines w:val="0"/>
              <w:pageBreakBefore w:val="0"/>
              <w:widowControl w:val="0"/>
              <w:kinsoku/>
              <w:wordWrap/>
              <w:overflowPunct/>
              <w:topLinePunct w:val="0"/>
              <w:autoSpaceDE/>
              <w:autoSpaceDN/>
              <w:bidi w:val="0"/>
              <w:adjustRightInd/>
              <w:snapToGrid/>
              <w:spacing w:line="198"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预算</w:t>
            </w:r>
            <w:r>
              <w:rPr>
                <w:rFonts w:hint="eastAsia" w:ascii="宋体" w:hAnsi="宋体" w:eastAsia="宋体" w:cs="宋体"/>
                <w:color w:val="000000" w:themeColor="text1"/>
                <w:spacing w:val="2"/>
                <w:sz w:val="21"/>
                <w:szCs w:val="21"/>
                <w:lang w:eastAsia="zh-CN"/>
                <w14:textFill>
                  <w14:solidFill>
                    <w14:schemeClr w14:val="tx1"/>
                  </w14:solidFill>
                </w14:textFill>
              </w:rPr>
              <w:t>单位</w:t>
            </w:r>
            <w:r>
              <w:rPr>
                <w:rFonts w:hint="eastAsia" w:ascii="宋体" w:hAnsi="宋体" w:eastAsia="宋体" w:cs="宋体"/>
                <w:color w:val="000000" w:themeColor="text1"/>
                <w:spacing w:val="2"/>
                <w:sz w:val="21"/>
                <w:szCs w:val="21"/>
                <w:lang w:val="en-US" w:eastAsia="zh-CN"/>
                <w14:textFill>
                  <w14:solidFill>
                    <w14:schemeClr w14:val="tx1"/>
                  </w14:solidFill>
                </w14:textFill>
              </w:rPr>
              <w:t xml:space="preserve"> </w:t>
            </w:r>
            <w:r>
              <w:rPr>
                <w:rFonts w:ascii="宋体" w:hAnsi="宋体" w:eastAsia="宋体" w:cs="宋体"/>
                <w:color w:val="000000" w:themeColor="text1"/>
                <w:spacing w:val="2"/>
                <w:sz w:val="21"/>
                <w:szCs w:val="21"/>
                <w14:textFill>
                  <w14:solidFill>
                    <w14:schemeClr w14:val="tx1"/>
                  </w14:solidFill>
                </w14:textFill>
              </w:rPr>
              <w:t>名称</w:t>
            </w:r>
          </w:p>
        </w:tc>
        <w:tc>
          <w:tcPr>
            <w:tcW w:w="8751" w:type="dxa"/>
            <w:gridSpan w:val="8"/>
            <w:noWrap w:val="0"/>
            <w:vAlign w:val="top"/>
          </w:tcPr>
          <w:p w14:paraId="3E333B2A">
            <w:pPr>
              <w:jc w:val="center"/>
              <w:rPr>
                <w:rFonts w:ascii="Arial"/>
                <w:color w:val="000000" w:themeColor="text1"/>
                <w:sz w:val="21"/>
                <w14:textFill>
                  <w14:solidFill>
                    <w14:schemeClr w14:val="tx1"/>
                  </w14:solidFill>
                </w14:textFill>
              </w:rPr>
            </w:pPr>
            <w:r>
              <w:rPr>
                <w:rFonts w:hint="eastAsia" w:asciiTheme="majorEastAsia" w:hAnsiTheme="majorEastAsia" w:eastAsiaTheme="majorEastAsia" w:cstheme="majorEastAsia"/>
                <w:color w:val="000000" w:themeColor="text1"/>
                <w:spacing w:val="2"/>
                <w:sz w:val="24"/>
                <w:szCs w:val="24"/>
                <w:lang w:val="en-US" w:eastAsia="zh-CN"/>
                <w14:textFill>
                  <w14:solidFill>
                    <w14:schemeClr w14:val="tx1"/>
                  </w14:solidFill>
                </w14:textFill>
              </w:rPr>
              <w:t>岳阳市岳阳楼区岳阳楼街道办事处</w:t>
            </w:r>
          </w:p>
        </w:tc>
      </w:tr>
      <w:tr w14:paraId="1AFAC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restart"/>
            <w:tcBorders>
              <w:bottom w:val="nil"/>
            </w:tcBorders>
            <w:noWrap w:val="0"/>
            <w:vAlign w:val="top"/>
          </w:tcPr>
          <w:p w14:paraId="1C90FE88">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ascii="Arial"/>
                <w:color w:val="000000" w:themeColor="text1"/>
                <w:sz w:val="21"/>
                <w:szCs w:val="21"/>
                <w14:textFill>
                  <w14:solidFill>
                    <w14:schemeClr w14:val="tx1"/>
                  </w14:solidFill>
                </w14:textFill>
              </w:rPr>
            </w:pPr>
          </w:p>
          <w:p w14:paraId="643C785C">
            <w:pPr>
              <w:keepNext w:val="0"/>
              <w:keepLines w:val="0"/>
              <w:pageBreakBefore w:val="0"/>
              <w:widowControl w:val="0"/>
              <w:kinsoku/>
              <w:wordWrap/>
              <w:overflowPunct/>
              <w:topLinePunct w:val="0"/>
              <w:autoSpaceDE/>
              <w:autoSpaceDN/>
              <w:bidi w:val="0"/>
              <w:adjustRightInd/>
              <w:snapToGrid/>
              <w:spacing w:line="280" w:lineRule="exact"/>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position w:val="4"/>
                <w:sz w:val="21"/>
                <w:szCs w:val="21"/>
                <w14:textFill>
                  <w14:solidFill>
                    <w14:schemeClr w14:val="tx1"/>
                  </w14:solidFill>
                </w14:textFill>
              </w:rPr>
              <w:t>年度预</w:t>
            </w:r>
          </w:p>
          <w:p w14:paraId="176B5B35">
            <w:pPr>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算申请</w:t>
            </w:r>
          </w:p>
          <w:p w14:paraId="749A7935">
            <w:pPr>
              <w:keepNext w:val="0"/>
              <w:keepLines w:val="0"/>
              <w:pageBreakBefore w:val="0"/>
              <w:widowControl w:val="0"/>
              <w:kinsoku/>
              <w:wordWrap/>
              <w:overflowPunct/>
              <w:topLinePunct w:val="0"/>
              <w:autoSpaceDE/>
              <w:autoSpaceDN/>
              <w:bidi w:val="0"/>
              <w:adjustRightInd/>
              <w:snapToGrid/>
              <w:spacing w:line="220"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11"/>
                <w:sz w:val="21"/>
                <w:szCs w:val="21"/>
                <w14:textFill>
                  <w14:solidFill>
                    <w14:schemeClr w14:val="tx1"/>
                  </w14:solidFill>
                </w14:textFill>
              </w:rPr>
              <w:t>(万元)</w:t>
            </w:r>
          </w:p>
        </w:tc>
        <w:tc>
          <w:tcPr>
            <w:tcW w:w="2108" w:type="dxa"/>
            <w:gridSpan w:val="2"/>
            <w:noWrap w:val="0"/>
            <w:vAlign w:val="center"/>
          </w:tcPr>
          <w:p w14:paraId="4AB4C69D">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pacing w:val="0"/>
                <w:sz w:val="20"/>
                <w14:textFill>
                  <w14:solidFill>
                    <w14:schemeClr w14:val="tx1"/>
                  </w14:solidFill>
                </w14:textFill>
              </w:rPr>
            </w:pPr>
          </w:p>
        </w:tc>
        <w:tc>
          <w:tcPr>
            <w:tcW w:w="1269" w:type="dxa"/>
            <w:noWrap w:val="0"/>
            <w:vAlign w:val="center"/>
          </w:tcPr>
          <w:p w14:paraId="5DF26D0A">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年初预算数</w:t>
            </w:r>
          </w:p>
        </w:tc>
        <w:tc>
          <w:tcPr>
            <w:tcW w:w="1319" w:type="dxa"/>
            <w:noWrap w:val="0"/>
            <w:vAlign w:val="center"/>
          </w:tcPr>
          <w:p w14:paraId="62E4A565">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全年预算数</w:t>
            </w:r>
          </w:p>
        </w:tc>
        <w:tc>
          <w:tcPr>
            <w:tcW w:w="1259" w:type="dxa"/>
            <w:noWrap w:val="0"/>
            <w:vAlign w:val="center"/>
          </w:tcPr>
          <w:p w14:paraId="4FCDCFBC">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全年执行数</w:t>
            </w:r>
          </w:p>
        </w:tc>
        <w:tc>
          <w:tcPr>
            <w:tcW w:w="719" w:type="dxa"/>
            <w:noWrap w:val="0"/>
            <w:vAlign w:val="center"/>
          </w:tcPr>
          <w:p w14:paraId="7EAB4678">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802" w:type="dxa"/>
            <w:noWrap w:val="0"/>
            <w:vAlign w:val="center"/>
          </w:tcPr>
          <w:p w14:paraId="6E9D4DA8">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执行率</w:t>
            </w:r>
          </w:p>
        </w:tc>
        <w:tc>
          <w:tcPr>
            <w:tcW w:w="1275" w:type="dxa"/>
            <w:noWrap w:val="0"/>
            <w:vAlign w:val="center"/>
          </w:tcPr>
          <w:p w14:paraId="61B7C3DD">
            <w:pPr>
              <w:keepNext w:val="0"/>
              <w:keepLines w:val="0"/>
              <w:pageBreakBefore w:val="0"/>
              <w:widowControl w:val="0"/>
              <w:kinsoku/>
              <w:wordWrap/>
              <w:overflowPunct/>
              <w:topLinePunct w:val="0"/>
              <w:autoSpaceDE/>
              <w:autoSpaceDN/>
              <w:bidi w:val="0"/>
              <w:adjustRightInd/>
              <w:snapToGrid/>
              <w:spacing w:line="194"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r>
      <w:tr w14:paraId="3629B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6E1F631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2108" w:type="dxa"/>
            <w:gridSpan w:val="2"/>
            <w:noWrap w:val="0"/>
            <w:vAlign w:val="center"/>
          </w:tcPr>
          <w:p w14:paraId="6A1CF2DD">
            <w:pPr>
              <w:keepNext w:val="0"/>
              <w:keepLines w:val="0"/>
              <w:pageBreakBefore w:val="0"/>
              <w:widowControl w:val="0"/>
              <w:kinsoku/>
              <w:wordWrap/>
              <w:overflowPunct/>
              <w:topLinePunct w:val="0"/>
              <w:autoSpaceDE/>
              <w:autoSpaceDN/>
              <w:bidi w:val="0"/>
              <w:adjustRightInd/>
              <w:snapToGrid/>
              <w:spacing w:line="193"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年度资金总额</w:t>
            </w:r>
          </w:p>
        </w:tc>
        <w:tc>
          <w:tcPr>
            <w:tcW w:w="1269" w:type="dxa"/>
            <w:noWrap w:val="0"/>
            <w:vAlign w:val="center"/>
          </w:tcPr>
          <w:p w14:paraId="4C4F577A">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2128.35</w:t>
            </w:r>
          </w:p>
        </w:tc>
        <w:tc>
          <w:tcPr>
            <w:tcW w:w="1319" w:type="dxa"/>
            <w:noWrap w:val="0"/>
            <w:vAlign w:val="center"/>
          </w:tcPr>
          <w:p w14:paraId="3E0EB3C3">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3337.66</w:t>
            </w:r>
          </w:p>
        </w:tc>
        <w:tc>
          <w:tcPr>
            <w:tcW w:w="1259" w:type="dxa"/>
            <w:noWrap w:val="0"/>
            <w:vAlign w:val="center"/>
          </w:tcPr>
          <w:p w14:paraId="6A84D90F">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2970.22</w:t>
            </w:r>
          </w:p>
        </w:tc>
        <w:tc>
          <w:tcPr>
            <w:tcW w:w="719" w:type="dxa"/>
            <w:noWrap w:val="0"/>
            <w:vAlign w:val="center"/>
          </w:tcPr>
          <w:p w14:paraId="7FE9E98B">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ascii="宋体" w:hAnsi="宋体" w:eastAsia="宋体" w:cs="宋体"/>
                <w:color w:val="000000" w:themeColor="text1"/>
                <w:spacing w:val="0"/>
                <w:sz w:val="20"/>
                <w:szCs w:val="20"/>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10</w:t>
            </w:r>
          </w:p>
        </w:tc>
        <w:tc>
          <w:tcPr>
            <w:tcW w:w="802" w:type="dxa"/>
            <w:noWrap w:val="0"/>
            <w:vAlign w:val="center"/>
          </w:tcPr>
          <w:p w14:paraId="51A9E03C">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88.99%</w:t>
            </w:r>
          </w:p>
        </w:tc>
        <w:tc>
          <w:tcPr>
            <w:tcW w:w="1275" w:type="dxa"/>
            <w:noWrap w:val="0"/>
            <w:vAlign w:val="center"/>
          </w:tcPr>
          <w:p w14:paraId="7D04E93B">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pacing w:val="0"/>
                <w:sz w:val="20"/>
                <w:lang w:val="en-US" w:eastAsia="zh-CN"/>
                <w14:textFill>
                  <w14:solidFill>
                    <w14:schemeClr w14:val="tx1"/>
                  </w14:solidFill>
                </w14:textFill>
              </w:rPr>
            </w:pPr>
            <w:r>
              <w:rPr>
                <w:rFonts w:hint="eastAsia" w:ascii="Arial"/>
                <w:color w:val="000000" w:themeColor="text1"/>
                <w:spacing w:val="0"/>
                <w:sz w:val="20"/>
                <w:lang w:val="en-US" w:eastAsia="zh-CN"/>
                <w14:textFill>
                  <w14:solidFill>
                    <w14:schemeClr w14:val="tx1"/>
                  </w14:solidFill>
                </w14:textFill>
              </w:rPr>
              <w:t>8.9</w:t>
            </w:r>
          </w:p>
        </w:tc>
      </w:tr>
      <w:tr w14:paraId="6B59A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4DE24BA0">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14:paraId="34C66E14">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按收入性质分：</w:t>
            </w:r>
          </w:p>
        </w:tc>
        <w:tc>
          <w:tcPr>
            <w:tcW w:w="4055" w:type="dxa"/>
            <w:gridSpan w:val="4"/>
            <w:noWrap w:val="0"/>
            <w:vAlign w:val="center"/>
          </w:tcPr>
          <w:p w14:paraId="0972A5B2">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按支出性质分：</w:t>
            </w:r>
          </w:p>
        </w:tc>
      </w:tr>
      <w:tr w14:paraId="69DDD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vAlign w:val="top"/>
          </w:tcPr>
          <w:p w14:paraId="569B37FF">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14:paraId="5072AD92">
            <w:pPr>
              <w:keepNext w:val="0"/>
              <w:keepLines w:val="0"/>
              <w:pageBreakBefore w:val="0"/>
              <w:widowControl w:val="0"/>
              <w:kinsoku/>
              <w:wordWrap/>
              <w:overflowPunct/>
              <w:topLinePunct w:val="0"/>
              <w:autoSpaceDE/>
              <w:autoSpaceDN/>
              <w:bidi w:val="0"/>
              <w:adjustRightInd/>
              <w:snapToGrid/>
              <w:spacing w:line="193"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 xml:space="preserve">其中： </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 </w:t>
            </w:r>
            <w:r>
              <w:rPr>
                <w:rFonts w:ascii="宋体" w:hAnsi="宋体" w:eastAsia="宋体" w:cs="宋体"/>
                <w:color w:val="000000" w:themeColor="text1"/>
                <w:spacing w:val="0"/>
                <w:sz w:val="21"/>
                <w:szCs w:val="21"/>
                <w14:textFill>
                  <w14:solidFill>
                    <w14:schemeClr w14:val="tx1"/>
                  </w14:solidFill>
                </w14:textFill>
              </w:rPr>
              <w:t>一般公共预算：</w:t>
            </w:r>
            <w:r>
              <w:rPr>
                <w:rFonts w:hint="eastAsia" w:ascii="宋体" w:hAnsi="宋体" w:eastAsia="宋体" w:cs="宋体"/>
                <w:color w:val="000000" w:themeColor="text1"/>
                <w:spacing w:val="0"/>
                <w:sz w:val="21"/>
                <w:szCs w:val="21"/>
                <w:lang w:val="en-US" w:eastAsia="zh-CN"/>
                <w14:textFill>
                  <w14:solidFill>
                    <w14:schemeClr w14:val="tx1"/>
                  </w14:solidFill>
                </w14:textFill>
              </w:rPr>
              <w:t>2254.25</w:t>
            </w:r>
          </w:p>
        </w:tc>
        <w:tc>
          <w:tcPr>
            <w:tcW w:w="4055" w:type="dxa"/>
            <w:gridSpan w:val="4"/>
            <w:noWrap w:val="0"/>
            <w:vAlign w:val="center"/>
          </w:tcPr>
          <w:p w14:paraId="4B2585F0">
            <w:pPr>
              <w:keepNext w:val="0"/>
              <w:keepLines w:val="0"/>
              <w:pageBreakBefore w:val="0"/>
              <w:widowControl w:val="0"/>
              <w:kinsoku/>
              <w:wordWrap/>
              <w:overflowPunct/>
              <w:topLinePunct w:val="0"/>
              <w:autoSpaceDE/>
              <w:autoSpaceDN/>
              <w:bidi w:val="0"/>
              <w:adjustRightInd/>
              <w:snapToGrid/>
              <w:spacing w:line="194" w:lineRule="auto"/>
              <w:ind w:left="0" w:firstLine="210" w:firstLineChars="1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其中：基本支出：</w:t>
            </w:r>
            <w:r>
              <w:rPr>
                <w:rFonts w:hint="eastAsia" w:ascii="宋体" w:hAnsi="宋体" w:eastAsia="宋体" w:cs="宋体"/>
                <w:color w:val="000000" w:themeColor="text1"/>
                <w:spacing w:val="0"/>
                <w:sz w:val="21"/>
                <w:szCs w:val="21"/>
                <w:lang w:val="en-US" w:eastAsia="zh-CN"/>
                <w14:textFill>
                  <w14:solidFill>
                    <w14:schemeClr w14:val="tx1"/>
                  </w14:solidFill>
                </w14:textFill>
              </w:rPr>
              <w:t>1338.95</w:t>
            </w:r>
          </w:p>
        </w:tc>
      </w:tr>
      <w:tr w14:paraId="1494A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vAlign w:val="top"/>
          </w:tcPr>
          <w:p w14:paraId="6E7034D0">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14:paraId="23FF3F0A">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政府性基金拨款：</w:t>
            </w:r>
            <w:r>
              <w:rPr>
                <w:rFonts w:hint="eastAsia" w:ascii="宋体" w:hAnsi="宋体" w:eastAsia="宋体" w:cs="宋体"/>
                <w:color w:val="000000" w:themeColor="text1"/>
                <w:spacing w:val="0"/>
                <w:sz w:val="21"/>
                <w:szCs w:val="21"/>
                <w14:textFill>
                  <w14:solidFill>
                    <w14:schemeClr w14:val="tx1"/>
                  </w14:solidFill>
                </w14:textFill>
              </w:rPr>
              <w:t>1.85</w:t>
            </w:r>
          </w:p>
        </w:tc>
        <w:tc>
          <w:tcPr>
            <w:tcW w:w="4055" w:type="dxa"/>
            <w:gridSpan w:val="4"/>
            <w:noWrap w:val="0"/>
            <w:vAlign w:val="center"/>
          </w:tcPr>
          <w:p w14:paraId="34BE70F2">
            <w:pPr>
              <w:keepNext w:val="0"/>
              <w:keepLines w:val="0"/>
              <w:pageBreakBefore w:val="0"/>
              <w:widowControl w:val="0"/>
              <w:kinsoku/>
              <w:wordWrap/>
              <w:overflowPunct/>
              <w:topLinePunct w:val="0"/>
              <w:autoSpaceDE/>
              <w:autoSpaceDN/>
              <w:bidi w:val="0"/>
              <w:adjustRightInd/>
              <w:snapToGrid/>
              <w:spacing w:line="201" w:lineRule="auto"/>
              <w:ind w:left="0" w:firstLine="840" w:firstLineChars="4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项目支出：</w:t>
            </w:r>
            <w:r>
              <w:rPr>
                <w:rFonts w:hint="eastAsia" w:asciiTheme="majorEastAsia" w:hAnsiTheme="majorEastAsia" w:eastAsiaTheme="majorEastAsia" w:cstheme="majorEastAsia"/>
                <w:color w:val="auto"/>
                <w:sz w:val="21"/>
                <w:highlight w:val="none"/>
                <w:lang w:val="en-US" w:eastAsia="zh-CN"/>
              </w:rPr>
              <w:t>1631.27</w:t>
            </w:r>
          </w:p>
        </w:tc>
      </w:tr>
      <w:tr w14:paraId="0AB20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vAlign w:val="top"/>
          </w:tcPr>
          <w:p w14:paraId="7240AAC6">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14:paraId="0A1301EF">
            <w:pPr>
              <w:keepNext w:val="0"/>
              <w:keepLines w:val="0"/>
              <w:pageBreakBefore w:val="0"/>
              <w:widowControl w:val="0"/>
              <w:kinsoku/>
              <w:wordWrap/>
              <w:overflowPunct/>
              <w:topLinePunct w:val="0"/>
              <w:autoSpaceDE/>
              <w:autoSpaceDN/>
              <w:bidi w:val="0"/>
              <w:adjustRightInd/>
              <w:snapToGrid/>
              <w:spacing w:line="20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国有资本经营预算财政拨款收入</w:t>
            </w:r>
            <w:r>
              <w:rPr>
                <w:rFonts w:ascii="宋体" w:hAnsi="宋体" w:eastAsia="宋体" w:cs="宋体"/>
                <w:color w:val="000000" w:themeColor="text1"/>
                <w:spacing w:val="0"/>
                <w:sz w:val="21"/>
                <w:szCs w:val="21"/>
                <w14:textFill>
                  <w14:solidFill>
                    <w14:schemeClr w14:val="tx1"/>
                  </w14:solidFill>
                </w14:textFill>
              </w:rPr>
              <w:t>：</w:t>
            </w:r>
            <w:r>
              <w:rPr>
                <w:rFonts w:hint="eastAsia" w:ascii="宋体" w:hAnsi="宋体" w:eastAsia="宋体" w:cs="宋体"/>
                <w:color w:val="000000" w:themeColor="text1"/>
                <w:spacing w:val="0"/>
                <w:sz w:val="21"/>
                <w:szCs w:val="21"/>
                <w:lang w:val="en-US" w:eastAsia="zh-CN"/>
                <w14:textFill>
                  <w14:solidFill>
                    <w14:schemeClr w14:val="tx1"/>
                  </w14:solidFill>
                </w14:textFill>
              </w:rPr>
              <w:t>4.08</w:t>
            </w:r>
          </w:p>
        </w:tc>
        <w:tc>
          <w:tcPr>
            <w:tcW w:w="4055" w:type="dxa"/>
            <w:gridSpan w:val="4"/>
            <w:noWrap w:val="0"/>
            <w:vAlign w:val="center"/>
          </w:tcPr>
          <w:p w14:paraId="4369BE83">
            <w:pPr>
              <w:keepNext w:val="0"/>
              <w:keepLines w:val="0"/>
              <w:pageBreakBefore w:val="0"/>
              <w:widowControl w:val="0"/>
              <w:kinsoku/>
              <w:wordWrap/>
              <w:overflowPunct/>
              <w:topLinePunct w:val="0"/>
              <w:autoSpaceDE/>
              <w:autoSpaceDN/>
              <w:bidi w:val="0"/>
              <w:adjustRightInd/>
              <w:snapToGrid/>
              <w:spacing w:line="239" w:lineRule="exact"/>
              <w:ind w:left="0"/>
              <w:jc w:val="left"/>
              <w:textAlignment w:val="auto"/>
              <w:rPr>
                <w:rFonts w:hint="default" w:ascii="Arial" w:eastAsiaTheme="minorEastAsia"/>
                <w:color w:val="000000" w:themeColor="text1"/>
                <w:spacing w:val="0"/>
                <w:sz w:val="21"/>
                <w:szCs w:val="21"/>
                <w:lang w:val="en-US" w:eastAsia="zh-CN"/>
                <w14:textFill>
                  <w14:solidFill>
                    <w14:schemeClr w14:val="tx1"/>
                  </w14:solidFill>
                </w14:textFill>
              </w:rPr>
            </w:pPr>
            <w:r>
              <w:rPr>
                <w:rFonts w:hint="eastAsia" w:ascii="Arial"/>
                <w:color w:val="000000" w:themeColor="text1"/>
                <w:spacing w:val="0"/>
                <w:sz w:val="21"/>
                <w:szCs w:val="21"/>
                <w:lang w:val="en-US" w:eastAsia="zh-CN"/>
                <w14:textFill>
                  <w14:solidFill>
                    <w14:schemeClr w14:val="tx1"/>
                  </w14:solidFill>
                </w14:textFill>
              </w:rPr>
              <w:t xml:space="preserve">        </w:t>
            </w:r>
          </w:p>
        </w:tc>
      </w:tr>
      <w:tr w14:paraId="2D346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7963A37B">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14:paraId="23952730">
            <w:pPr>
              <w:keepNext w:val="0"/>
              <w:keepLines w:val="0"/>
              <w:pageBreakBefore w:val="0"/>
              <w:widowControl w:val="0"/>
              <w:kinsoku/>
              <w:wordWrap/>
              <w:overflowPunct/>
              <w:topLinePunct w:val="0"/>
              <w:autoSpaceDE/>
              <w:autoSpaceDN/>
              <w:bidi w:val="0"/>
              <w:adjustRightInd/>
              <w:snapToGrid/>
              <w:spacing w:line="192" w:lineRule="auto"/>
              <w:ind w:left="0" w:firstLine="1050" w:firstLineChars="500"/>
              <w:jc w:val="left"/>
              <w:textAlignment w:val="auto"/>
              <w:rPr>
                <w:rFonts w:hint="default" w:ascii="宋体" w:hAnsi="宋体" w:eastAsia="宋体" w:cs="宋体"/>
                <w:color w:val="000000" w:themeColor="text1"/>
                <w:spacing w:val="0"/>
                <w:sz w:val="21"/>
                <w:szCs w:val="21"/>
                <w:lang w:val="en-US" w:eastAsia="zh-CN"/>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其他资金：</w:t>
            </w:r>
            <w:r>
              <w:rPr>
                <w:rFonts w:hint="eastAsia" w:ascii="宋体" w:hAnsi="宋体" w:eastAsia="宋体" w:cs="宋体"/>
                <w:color w:val="000000" w:themeColor="text1"/>
                <w:spacing w:val="0"/>
                <w:sz w:val="21"/>
                <w:szCs w:val="21"/>
                <w:lang w:val="en-US" w:eastAsia="zh-CN"/>
                <w14:textFill>
                  <w14:solidFill>
                    <w14:schemeClr w14:val="tx1"/>
                  </w14:solidFill>
                </w14:textFill>
              </w:rPr>
              <w:t>710.04</w:t>
            </w:r>
          </w:p>
        </w:tc>
        <w:tc>
          <w:tcPr>
            <w:tcW w:w="4055" w:type="dxa"/>
            <w:gridSpan w:val="4"/>
            <w:noWrap w:val="0"/>
            <w:vAlign w:val="center"/>
          </w:tcPr>
          <w:p w14:paraId="4991AB1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ascii="Arial"/>
                <w:color w:val="000000" w:themeColor="text1"/>
                <w:spacing w:val="0"/>
                <w:sz w:val="21"/>
                <w:szCs w:val="21"/>
                <w14:textFill>
                  <w14:solidFill>
                    <w14:schemeClr w14:val="tx1"/>
                  </w14:solidFill>
                </w14:textFill>
              </w:rPr>
            </w:pPr>
          </w:p>
        </w:tc>
      </w:tr>
      <w:tr w14:paraId="5670CF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restart"/>
            <w:tcBorders>
              <w:bottom w:val="nil"/>
            </w:tcBorders>
            <w:noWrap w:val="0"/>
            <w:vAlign w:val="top"/>
          </w:tcPr>
          <w:p w14:paraId="74D8D800">
            <w:pPr>
              <w:keepNext w:val="0"/>
              <w:keepLines w:val="0"/>
              <w:pageBreakBefore w:val="0"/>
              <w:widowControl w:val="0"/>
              <w:kinsoku/>
              <w:wordWrap/>
              <w:overflowPunct/>
              <w:topLinePunct w:val="0"/>
              <w:autoSpaceDE/>
              <w:autoSpaceDN/>
              <w:bidi w:val="0"/>
              <w:adjustRightInd/>
              <w:snapToGrid/>
              <w:spacing w:line="211"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7"/>
                <w:sz w:val="21"/>
                <w:szCs w:val="21"/>
                <w14:textFill>
                  <w14:solidFill>
                    <w14:schemeClr w14:val="tx1"/>
                  </w14:solidFill>
                </w14:textFill>
              </w:rPr>
              <w:t>年度总体</w:t>
            </w:r>
            <w:r>
              <w:rPr>
                <w:rFonts w:ascii="宋体" w:hAnsi="宋体" w:eastAsia="宋体" w:cs="宋体"/>
                <w:color w:val="000000" w:themeColor="text1"/>
                <w:spacing w:val="1"/>
                <w:sz w:val="21"/>
                <w:szCs w:val="21"/>
                <w14:textFill>
                  <w14:solidFill>
                    <w14:schemeClr w14:val="tx1"/>
                  </w14:solidFill>
                </w14:textFill>
              </w:rPr>
              <w:t xml:space="preserve"> </w:t>
            </w:r>
            <w:r>
              <w:rPr>
                <w:rFonts w:ascii="宋体" w:hAnsi="宋体" w:eastAsia="宋体" w:cs="宋体"/>
                <w:color w:val="000000" w:themeColor="text1"/>
                <w:spacing w:val="-19"/>
                <w:sz w:val="21"/>
                <w:szCs w:val="21"/>
                <w14:textFill>
                  <w14:solidFill>
                    <w14:schemeClr w14:val="tx1"/>
                  </w14:solidFill>
                </w14:textFill>
              </w:rPr>
              <w:t>目</w:t>
            </w:r>
            <w:r>
              <w:rPr>
                <w:rFonts w:ascii="宋体" w:hAnsi="宋体" w:eastAsia="宋体" w:cs="宋体"/>
                <w:color w:val="000000" w:themeColor="text1"/>
                <w:spacing w:val="-35"/>
                <w:sz w:val="21"/>
                <w:szCs w:val="21"/>
                <w14:textFill>
                  <w14:solidFill>
                    <w14:schemeClr w14:val="tx1"/>
                  </w14:solidFill>
                </w14:textFill>
              </w:rPr>
              <w:t xml:space="preserve"> </w:t>
            </w:r>
            <w:r>
              <w:rPr>
                <w:rFonts w:ascii="宋体" w:hAnsi="宋体" w:eastAsia="宋体" w:cs="宋体"/>
                <w:color w:val="000000" w:themeColor="text1"/>
                <w:spacing w:val="-19"/>
                <w:sz w:val="21"/>
                <w:szCs w:val="21"/>
                <w14:textFill>
                  <w14:solidFill>
                    <w14:schemeClr w14:val="tx1"/>
                  </w14:solidFill>
                </w14:textFill>
              </w:rPr>
              <w:t>标</w:t>
            </w:r>
          </w:p>
        </w:tc>
        <w:tc>
          <w:tcPr>
            <w:tcW w:w="4696" w:type="dxa"/>
            <w:gridSpan w:val="4"/>
            <w:noWrap w:val="0"/>
            <w:vAlign w:val="center"/>
          </w:tcPr>
          <w:p w14:paraId="6683D085">
            <w:pPr>
              <w:keepNext w:val="0"/>
              <w:keepLines w:val="0"/>
              <w:pageBreakBefore w:val="0"/>
              <w:widowControl w:val="0"/>
              <w:kinsoku/>
              <w:wordWrap/>
              <w:overflowPunct/>
              <w:topLinePunct w:val="0"/>
              <w:autoSpaceDE/>
              <w:autoSpaceDN/>
              <w:bidi w:val="0"/>
              <w:adjustRightInd/>
              <w:snapToGrid/>
              <w:spacing w:line="191" w:lineRule="auto"/>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预期目标</w:t>
            </w:r>
          </w:p>
        </w:tc>
        <w:tc>
          <w:tcPr>
            <w:tcW w:w="4055" w:type="dxa"/>
            <w:gridSpan w:val="4"/>
            <w:noWrap w:val="0"/>
            <w:vAlign w:val="center"/>
          </w:tcPr>
          <w:p w14:paraId="2DB56911">
            <w:pPr>
              <w:keepNext w:val="0"/>
              <w:keepLines w:val="0"/>
              <w:pageBreakBefore w:val="0"/>
              <w:widowControl w:val="0"/>
              <w:kinsoku/>
              <w:wordWrap/>
              <w:overflowPunct/>
              <w:topLinePunct w:val="0"/>
              <w:autoSpaceDE/>
              <w:autoSpaceDN/>
              <w:bidi w:val="0"/>
              <w:adjustRightInd/>
              <w:snapToGrid/>
              <w:spacing w:line="191"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实际完成情况</w:t>
            </w:r>
          </w:p>
        </w:tc>
      </w:tr>
      <w:tr w14:paraId="52F37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tcBorders>
            <w:noWrap w:val="0"/>
            <w:vAlign w:val="top"/>
          </w:tcPr>
          <w:p w14:paraId="46AC2F4B">
            <w:pPr>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ascii="Arial"/>
                <w:color w:val="000000" w:themeColor="text1"/>
                <w:sz w:val="21"/>
                <w:szCs w:val="21"/>
                <w14:textFill>
                  <w14:solidFill>
                    <w14:schemeClr w14:val="tx1"/>
                  </w14:solidFill>
                </w14:textFill>
              </w:rPr>
            </w:pPr>
          </w:p>
        </w:tc>
        <w:tc>
          <w:tcPr>
            <w:tcW w:w="4696" w:type="dxa"/>
            <w:gridSpan w:val="4"/>
            <w:noWrap w:val="0"/>
            <w:vAlign w:val="center"/>
          </w:tcPr>
          <w:p w14:paraId="39EEFD12">
            <w:pPr>
              <w:keepNext w:val="0"/>
              <w:keepLines w:val="0"/>
              <w:pageBreakBefore w:val="0"/>
              <w:widowControl w:val="0"/>
              <w:kinsoku/>
              <w:wordWrap/>
              <w:overflowPunct/>
              <w:topLinePunct w:val="0"/>
              <w:autoSpaceDE/>
              <w:autoSpaceDN/>
              <w:bidi w:val="0"/>
              <w:adjustRightInd/>
              <w:snapToGrid/>
              <w:spacing w:line="202" w:lineRule="auto"/>
              <w:jc w:val="left"/>
              <w:textAlignment w:val="auto"/>
              <w:rPr>
                <w:rFonts w:hint="eastAsia" w:ascii="宋体" w:hAnsi="宋体" w:eastAsia="宋体" w:cs="宋体"/>
                <w:color w:val="000000" w:themeColor="text1"/>
                <w:spacing w:val="0"/>
                <w:sz w:val="21"/>
                <w:szCs w:val="21"/>
                <w14:textFill>
                  <w14:solidFill>
                    <w14:schemeClr w14:val="tx1"/>
                  </w14:solidFill>
                </w14:textFill>
              </w:rPr>
            </w:pPr>
            <w:r>
              <w:rPr>
                <w:rFonts w:hint="eastAsia" w:ascii="宋体" w:hAnsi="宋体" w:eastAsia="宋体" w:cs="宋体"/>
                <w:color w:val="000000" w:themeColor="text1"/>
                <w:spacing w:val="0"/>
                <w:sz w:val="21"/>
                <w:szCs w:val="21"/>
                <w14:textFill>
                  <w14:solidFill>
                    <w14:schemeClr w14:val="tx1"/>
                  </w14:solidFill>
                </w14:textFill>
              </w:rPr>
              <w:t>目标1：</w:t>
            </w:r>
            <w:r>
              <w:rPr>
                <w:rFonts w:hint="eastAsia" w:ascii="宋体" w:hAnsi="宋体" w:eastAsia="宋体" w:cs="宋体"/>
                <w:color w:val="000000" w:themeColor="text1"/>
                <w:spacing w:val="0"/>
                <w:sz w:val="21"/>
                <w:szCs w:val="21"/>
                <w:lang w:val="en-US" w:eastAsia="zh-CN"/>
                <w14:textFill>
                  <w14:solidFill>
                    <w14:schemeClr w14:val="tx1"/>
                  </w14:solidFill>
                </w14:textFill>
              </w:rPr>
              <w:t>围绕一个“核心”，</w:t>
            </w:r>
            <w:r>
              <w:rPr>
                <w:rFonts w:hint="eastAsia" w:ascii="宋体" w:hAnsi="宋体" w:eastAsia="宋体" w:cs="宋体"/>
                <w:color w:val="000000" w:themeColor="text1"/>
                <w:spacing w:val="0"/>
                <w:sz w:val="21"/>
                <w:szCs w:val="21"/>
                <w14:textFill>
                  <w14:solidFill>
                    <w14:schemeClr w14:val="tx1"/>
                  </w14:solidFill>
                </w14:textFill>
              </w:rPr>
              <w:t>强化</w:t>
            </w:r>
            <w:r>
              <w:rPr>
                <w:rFonts w:hint="eastAsia" w:ascii="宋体" w:hAnsi="宋体" w:eastAsia="宋体" w:cs="宋体"/>
                <w:color w:val="000000" w:themeColor="text1"/>
                <w:spacing w:val="0"/>
                <w:sz w:val="21"/>
                <w:szCs w:val="21"/>
                <w:lang w:val="en-US" w:eastAsia="zh-CN"/>
                <w14:textFill>
                  <w14:solidFill>
                    <w14:schemeClr w14:val="tx1"/>
                  </w14:solidFill>
                </w14:textFill>
              </w:rPr>
              <w:t>党建</w:t>
            </w:r>
            <w:r>
              <w:rPr>
                <w:rFonts w:hint="eastAsia" w:ascii="宋体" w:hAnsi="宋体" w:eastAsia="宋体" w:cs="宋体"/>
                <w:color w:val="000000" w:themeColor="text1"/>
                <w:spacing w:val="0"/>
                <w:sz w:val="21"/>
                <w:szCs w:val="21"/>
                <w14:textFill>
                  <w14:solidFill>
                    <w14:schemeClr w14:val="tx1"/>
                  </w14:solidFill>
                </w14:textFill>
              </w:rPr>
              <w:t>引领</w:t>
            </w:r>
            <w:r>
              <w:rPr>
                <w:rFonts w:hint="eastAsia" w:ascii="宋体" w:hAnsi="宋体" w:eastAsia="宋体" w:cs="宋体"/>
                <w:color w:val="000000" w:themeColor="text1"/>
                <w:spacing w:val="0"/>
                <w:sz w:val="21"/>
                <w:szCs w:val="21"/>
                <w:lang w:eastAsia="zh-CN"/>
                <w14:textFill>
                  <w14:solidFill>
                    <w14:schemeClr w14:val="tx1"/>
                  </w14:solidFill>
                </w14:textFill>
              </w:rPr>
              <w:t>。</w:t>
            </w:r>
            <w:r>
              <w:rPr>
                <w:rFonts w:hint="eastAsia" w:ascii="宋体" w:hAnsi="宋体" w:eastAsia="宋体" w:cs="宋体"/>
                <w:color w:val="000000" w:themeColor="text1"/>
                <w:spacing w:val="0"/>
                <w:sz w:val="21"/>
                <w:szCs w:val="21"/>
                <w14:textFill>
                  <w14:solidFill>
                    <w14:schemeClr w14:val="tx1"/>
                  </w14:solidFill>
                </w14:textFill>
              </w:rPr>
              <w:t xml:space="preserve">                 目标2：</w:t>
            </w:r>
            <w:r>
              <w:rPr>
                <w:rFonts w:hint="eastAsia" w:ascii="宋体" w:hAnsi="宋体" w:eastAsia="宋体" w:cs="宋体"/>
                <w:color w:val="000000" w:themeColor="text1"/>
                <w:spacing w:val="0"/>
                <w:sz w:val="21"/>
                <w:szCs w:val="21"/>
                <w:lang w:val="en-US" w:eastAsia="zh-CN"/>
                <w14:textFill>
                  <w14:solidFill>
                    <w14:schemeClr w14:val="tx1"/>
                  </w14:solidFill>
                </w14:textFill>
              </w:rPr>
              <w:t xml:space="preserve">聚焦一个“重心”，服务发展大局。          </w:t>
            </w:r>
            <w:r>
              <w:rPr>
                <w:rFonts w:hint="eastAsia" w:ascii="宋体" w:hAnsi="宋体" w:eastAsia="宋体" w:cs="宋体"/>
                <w:color w:val="000000" w:themeColor="text1"/>
                <w:spacing w:val="0"/>
                <w:sz w:val="21"/>
                <w:szCs w:val="21"/>
                <w14:textFill>
                  <w14:solidFill>
                    <w14:schemeClr w14:val="tx1"/>
                  </w14:solidFill>
                </w14:textFill>
              </w:rPr>
              <w:t xml:space="preserve">  </w:t>
            </w:r>
          </w:p>
          <w:p w14:paraId="4D72063E">
            <w:pPr>
              <w:keepNext w:val="0"/>
              <w:keepLines w:val="0"/>
              <w:pageBreakBefore w:val="0"/>
              <w:widowControl w:val="0"/>
              <w:kinsoku/>
              <w:wordWrap/>
              <w:overflowPunct/>
              <w:topLinePunct w:val="0"/>
              <w:autoSpaceDE/>
              <w:autoSpaceDN/>
              <w:bidi w:val="0"/>
              <w:adjustRightInd/>
              <w:snapToGrid/>
              <w:spacing w:line="20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目标3：体现一个“关心”，践行为民宗旨。</w:t>
            </w:r>
          </w:p>
          <w:p w14:paraId="4ADDAA83">
            <w:pPr>
              <w:keepNext w:val="0"/>
              <w:keepLines w:val="0"/>
              <w:pageBreakBefore w:val="0"/>
              <w:widowControl w:val="0"/>
              <w:kinsoku/>
              <w:wordWrap/>
              <w:overflowPunct/>
              <w:topLinePunct w:val="0"/>
              <w:autoSpaceDE/>
              <w:autoSpaceDN/>
              <w:bidi w:val="0"/>
              <w:adjustRightInd/>
              <w:snapToGrid/>
              <w:spacing w:line="202" w:lineRule="auto"/>
              <w:jc w:val="left"/>
              <w:textAlignment w:val="auto"/>
              <w:rPr>
                <w:rFonts w:hint="eastAsia" w:ascii="宋体" w:hAnsi="宋体" w:eastAsia="宋体" w:cs="宋体"/>
                <w:color w:val="000000" w:themeColor="text1"/>
                <w:spacing w:val="0"/>
                <w:sz w:val="21"/>
                <w:szCs w:val="21"/>
                <w:lang w:val="en-US" w:eastAsia="zh-CN"/>
                <w14:textFill>
                  <w14:solidFill>
                    <w14:schemeClr w14:val="tx1"/>
                  </w14:solidFill>
                </w14:textFill>
              </w:rPr>
            </w:pPr>
            <w:r>
              <w:rPr>
                <w:rFonts w:hint="eastAsia" w:ascii="宋体" w:hAnsi="宋体" w:eastAsia="宋体" w:cs="宋体"/>
                <w:color w:val="000000" w:themeColor="text1"/>
                <w:spacing w:val="0"/>
                <w:sz w:val="21"/>
                <w:szCs w:val="21"/>
                <w:lang w:val="en-US" w:eastAsia="zh-CN"/>
                <w14:textFill>
                  <w14:solidFill>
                    <w14:schemeClr w14:val="tx1"/>
                  </w14:solidFill>
                </w14:textFill>
              </w:rPr>
              <w:t>目标4：筑牢一个“决心”，守护平安稳定。</w:t>
            </w:r>
          </w:p>
          <w:p w14:paraId="2D2C4B3C">
            <w:pPr>
              <w:pStyle w:val="2"/>
              <w:rPr>
                <w:rFonts w:hint="default"/>
                <w:lang w:val="en-US" w:eastAsia="zh-CN"/>
              </w:rPr>
            </w:pPr>
            <w:r>
              <w:rPr>
                <w:rFonts w:hint="eastAsia" w:ascii="宋体" w:hAnsi="宋体" w:eastAsia="宋体" w:cs="宋体"/>
                <w:color w:val="000000" w:themeColor="text1"/>
                <w:spacing w:val="0"/>
                <w:kern w:val="2"/>
                <w:sz w:val="21"/>
                <w:szCs w:val="21"/>
                <w:lang w:val="en-US" w:eastAsia="zh-CN" w:bidi="ar-SA"/>
                <w14:textFill>
                  <w14:solidFill>
                    <w14:schemeClr w14:val="tx1"/>
                  </w14:solidFill>
                </w14:textFill>
              </w:rPr>
              <w:t>目标5：坚守一个“初心”，擦亮楼区名片</w:t>
            </w:r>
            <w:r>
              <w:rPr>
                <w:rFonts w:hint="eastAsia" w:ascii="宋体" w:hAnsi="宋体" w:cs="宋体"/>
                <w:color w:val="000000" w:themeColor="text1"/>
                <w:spacing w:val="0"/>
                <w:kern w:val="2"/>
                <w:sz w:val="21"/>
                <w:szCs w:val="21"/>
                <w:lang w:val="en-US" w:eastAsia="zh-CN" w:bidi="ar-SA"/>
                <w14:textFill>
                  <w14:solidFill>
                    <w14:schemeClr w14:val="tx1"/>
                  </w14:solidFill>
                </w14:textFill>
              </w:rPr>
              <w:t>。</w:t>
            </w:r>
          </w:p>
        </w:tc>
        <w:tc>
          <w:tcPr>
            <w:tcW w:w="4055" w:type="dxa"/>
            <w:gridSpan w:val="4"/>
            <w:noWrap w:val="0"/>
            <w:vAlign w:val="center"/>
          </w:tcPr>
          <w:p w14:paraId="2E3FBA3B">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w:t>
            </w:r>
            <w:r>
              <w:rPr>
                <w:rFonts w:hint="eastAsia" w:asciiTheme="minorEastAsia" w:hAnsiTheme="minorEastAsia"/>
                <w:color w:val="000000" w:themeColor="text1"/>
                <w:szCs w:val="21"/>
                <w:lang w:eastAsia="zh-CN"/>
                <w14:textFill>
                  <w14:solidFill>
                    <w14:schemeClr w14:val="tx1"/>
                  </w14:solidFill>
                </w14:textFill>
              </w:rPr>
              <w:t>：始终将党的政治建设作为首要任务，以党的政治建设为引领，推动高质量发展，确保各项工作的有序进行</w:t>
            </w:r>
            <w:r>
              <w:rPr>
                <w:rFonts w:hint="eastAsia" w:asciiTheme="minorEastAsia" w:hAnsiTheme="minorEastAsia"/>
                <w:color w:val="000000" w:themeColor="text1"/>
                <w:szCs w:val="21"/>
                <w14:textFill>
                  <w14:solidFill>
                    <w14:schemeClr w14:val="tx1"/>
                  </w14:solidFill>
                </w14:textFill>
              </w:rPr>
              <w:t>。</w:t>
            </w:r>
          </w:p>
          <w:p w14:paraId="553FD11E">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w:t>
            </w:r>
            <w:r>
              <w:rPr>
                <w:rFonts w:hint="eastAsia" w:asciiTheme="minorEastAsia" w:hAnsiTheme="minorEastAsia"/>
                <w:color w:val="000000" w:themeColor="text1"/>
                <w:szCs w:val="21"/>
                <w:lang w:eastAsia="zh-CN"/>
                <w14:textFill>
                  <w14:solidFill>
                    <w14:schemeClr w14:val="tx1"/>
                  </w14:solidFill>
                </w14:textFill>
              </w:rPr>
              <w:t>：</w:t>
            </w:r>
            <w:r>
              <w:rPr>
                <w:rFonts w:hint="eastAsia" w:asciiTheme="minorEastAsia" w:hAnsiTheme="minorEastAsia"/>
                <w:color w:val="000000" w:themeColor="text1"/>
                <w:szCs w:val="21"/>
                <w14:textFill>
                  <w14:solidFill>
                    <w14:schemeClr w14:val="tx1"/>
                  </w14:solidFill>
                </w14:textFill>
              </w:rPr>
              <w:t>街道将经济发展置于首要位置，</w:t>
            </w:r>
            <w:r>
              <w:rPr>
                <w:rFonts w:hint="eastAsia" w:asciiTheme="minorEastAsia" w:hAnsiTheme="minorEastAsia"/>
                <w:color w:val="000000" w:themeColor="text1"/>
                <w:szCs w:val="21"/>
                <w:lang w:val="en-US" w:eastAsia="zh-CN"/>
                <w14:textFill>
                  <w14:solidFill>
                    <w14:schemeClr w14:val="tx1"/>
                  </w14:solidFill>
                </w14:textFill>
              </w:rPr>
              <w:t>始终秉持“以优质景区服务为先导，推动项目发展为核心”的发展策略</w:t>
            </w:r>
            <w:r>
              <w:rPr>
                <w:rFonts w:hint="eastAsia" w:asciiTheme="minorEastAsia" w:hAnsiTheme="minorEastAsia"/>
                <w:color w:val="000000" w:themeColor="text1"/>
                <w:szCs w:val="21"/>
                <w14:textFill>
                  <w14:solidFill>
                    <w14:schemeClr w14:val="tx1"/>
                  </w14:solidFill>
                </w14:textFill>
              </w:rPr>
              <w:t>。</w:t>
            </w:r>
          </w:p>
          <w:p w14:paraId="4229A32C">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olor w:val="000000" w:themeColor="text1"/>
                <w:szCs w:val="21"/>
                <w:lang w:val="en-US" w:eastAsia="zh-CN"/>
                <w14:textFill>
                  <w14:solidFill>
                    <w14:schemeClr w14:val="tx1"/>
                  </w14:solidFill>
                </w14:textFill>
              </w:rPr>
            </w:pPr>
            <w:r>
              <w:rPr>
                <w:rFonts w:hint="eastAsia" w:asciiTheme="minorEastAsia" w:hAnsiTheme="minorEastAsia"/>
                <w:color w:val="000000" w:themeColor="text1"/>
                <w:szCs w:val="21"/>
                <w:lang w:val="en-US" w:eastAsia="zh-CN"/>
                <w14:textFill>
                  <w14:solidFill>
                    <w14:schemeClr w14:val="tx1"/>
                  </w14:solidFill>
                </w14:textFill>
              </w:rPr>
              <w:t>3：在</w:t>
            </w:r>
            <w:r>
              <w:rPr>
                <w:rFonts w:hint="default" w:asciiTheme="minorEastAsia" w:hAnsiTheme="minorEastAsia"/>
                <w:color w:val="000000" w:themeColor="text1"/>
                <w:szCs w:val="21"/>
                <w:lang w:val="en-US" w:eastAsia="zh-CN"/>
                <w14:textFill>
                  <w14:solidFill>
                    <w14:schemeClr w14:val="tx1"/>
                  </w14:solidFill>
                </w14:textFill>
              </w:rPr>
              <w:t>践行党的群众路线和服务宗旨的过程中，我们始终将人民群众的利益放在首位，以实际行动回应民生关切</w:t>
            </w:r>
            <w:r>
              <w:rPr>
                <w:rFonts w:hint="eastAsia" w:asciiTheme="minorEastAsia" w:hAnsiTheme="minorEastAsia"/>
                <w:color w:val="000000" w:themeColor="text1"/>
                <w:szCs w:val="21"/>
                <w:lang w:val="en-US" w:eastAsia="zh-CN"/>
                <w14:textFill>
                  <w14:solidFill>
                    <w14:schemeClr w14:val="tx1"/>
                  </w14:solidFill>
                </w14:textFill>
              </w:rPr>
              <w:t>。</w:t>
            </w:r>
          </w:p>
          <w:p w14:paraId="6F0C6339">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eastAsia" w:asciiTheme="minorEastAsia" w:hAnsiTheme="minorEastAsia"/>
                <w:color w:val="000000" w:themeColor="text1"/>
                <w:szCs w:val="21"/>
                <w:lang w:val="en-US" w:eastAsia="zh-CN"/>
                <w14:textFill>
                  <w14:solidFill>
                    <w14:schemeClr w14:val="tx1"/>
                  </w14:solidFill>
                </w14:textFill>
              </w:rPr>
            </w:pPr>
            <w:r>
              <w:rPr>
                <w:rFonts w:hint="eastAsia" w:asciiTheme="minorEastAsia" w:hAnsiTheme="minorEastAsia"/>
                <w:color w:val="000000" w:themeColor="text1"/>
                <w:szCs w:val="21"/>
                <w:lang w:val="en-US" w:eastAsia="zh-CN"/>
                <w14:textFill>
                  <w14:solidFill>
                    <w14:schemeClr w14:val="tx1"/>
                  </w14:solidFill>
                </w14:textFill>
              </w:rPr>
              <w:t>4：街道始终将平安建设作为首要任务。</w:t>
            </w:r>
          </w:p>
          <w:p w14:paraId="02C5EF02">
            <w:pPr>
              <w:keepNext w:val="0"/>
              <w:keepLines w:val="0"/>
              <w:pageBreakBefore w:val="0"/>
              <w:widowControl w:val="0"/>
              <w:kinsoku/>
              <w:wordWrap/>
              <w:overflowPunct/>
              <w:topLinePunct w:val="0"/>
              <w:autoSpaceDE/>
              <w:autoSpaceDN/>
              <w:bidi w:val="0"/>
              <w:adjustRightInd/>
              <w:snapToGrid/>
              <w:spacing w:line="240" w:lineRule="exact"/>
              <w:ind w:left="0"/>
              <w:jc w:val="left"/>
              <w:textAlignment w:val="auto"/>
              <w:rPr>
                <w:rFonts w:hint="default"/>
                <w:lang w:val="en-US" w:eastAsia="zh-CN"/>
              </w:rPr>
            </w:pPr>
            <w:r>
              <w:rPr>
                <w:rFonts w:hint="eastAsia" w:asciiTheme="minorEastAsia" w:hAnsiTheme="minorEastAsia"/>
                <w:color w:val="000000" w:themeColor="text1"/>
                <w:szCs w:val="21"/>
                <w:lang w:val="en-US" w:eastAsia="zh-CN"/>
                <w14:textFill>
                  <w14:solidFill>
                    <w14:schemeClr w14:val="tx1"/>
                  </w14:solidFill>
                </w14:textFill>
              </w:rPr>
              <w:t>5：街道致力于将岳阳楼街道打造成为美丽、文明、和谐、安全的5A级示范街道。</w:t>
            </w:r>
          </w:p>
        </w:tc>
      </w:tr>
      <w:tr w14:paraId="53B03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 w:hRule="atLeast"/>
        </w:trPr>
        <w:tc>
          <w:tcPr>
            <w:tcW w:w="1084" w:type="dxa"/>
            <w:vMerge w:val="restart"/>
            <w:tcBorders>
              <w:bottom w:val="nil"/>
            </w:tcBorders>
            <w:noWrap w:val="0"/>
            <w:textDirection w:val="tbRlV"/>
            <w:vAlign w:val="top"/>
          </w:tcPr>
          <w:p w14:paraId="1A0AA008">
            <w:pPr>
              <w:keepNext w:val="0"/>
              <w:keepLines w:val="0"/>
              <w:pageBreakBefore w:val="0"/>
              <w:widowControl w:val="0"/>
              <w:kinsoku/>
              <w:wordWrap/>
              <w:overflowPunct/>
              <w:topLinePunct w:val="0"/>
              <w:autoSpaceDE/>
              <w:autoSpaceDN/>
              <w:bidi w:val="0"/>
              <w:adjustRightInd/>
              <w:snapToGrid/>
              <w:spacing w:line="367" w:lineRule="auto"/>
              <w:ind w:left="0" w:right="0" w:firstLine="0"/>
              <w:jc w:val="center"/>
              <w:textAlignment w:val="auto"/>
              <w:rPr>
                <w:rFonts w:ascii="Arial"/>
                <w:color w:val="000000" w:themeColor="text1"/>
                <w:sz w:val="21"/>
                <w:szCs w:val="21"/>
                <w14:textFill>
                  <w14:solidFill>
                    <w14:schemeClr w14:val="tx1"/>
                  </w14:solidFill>
                </w14:textFill>
              </w:rPr>
            </w:pPr>
          </w:p>
          <w:p w14:paraId="3E3D6BFA">
            <w:pPr>
              <w:keepNext w:val="0"/>
              <w:keepLines w:val="0"/>
              <w:pageBreakBefore w:val="0"/>
              <w:widowControl w:val="0"/>
              <w:kinsoku/>
              <w:wordWrap/>
              <w:overflowPunct/>
              <w:topLinePunct w:val="0"/>
              <w:autoSpaceDE/>
              <w:autoSpaceDN/>
              <w:bidi w:val="0"/>
              <w:adjustRightInd/>
              <w:snapToGrid/>
              <w:spacing w:line="217" w:lineRule="auto"/>
              <w:ind w:left="0" w:right="0" w:firstLine="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绩效指标</w:t>
            </w:r>
          </w:p>
        </w:tc>
        <w:tc>
          <w:tcPr>
            <w:tcW w:w="1079" w:type="dxa"/>
            <w:noWrap w:val="0"/>
            <w:vAlign w:val="center"/>
          </w:tcPr>
          <w:p w14:paraId="04AEC297">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一级指标</w:t>
            </w:r>
          </w:p>
        </w:tc>
        <w:tc>
          <w:tcPr>
            <w:tcW w:w="1029" w:type="dxa"/>
            <w:noWrap w:val="0"/>
            <w:vAlign w:val="center"/>
          </w:tcPr>
          <w:p w14:paraId="055CD622">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二级指标</w:t>
            </w:r>
          </w:p>
        </w:tc>
        <w:tc>
          <w:tcPr>
            <w:tcW w:w="1269" w:type="dxa"/>
            <w:noWrap w:val="0"/>
            <w:vAlign w:val="center"/>
          </w:tcPr>
          <w:p w14:paraId="45CB6F0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三级指标</w:t>
            </w:r>
          </w:p>
        </w:tc>
        <w:tc>
          <w:tcPr>
            <w:tcW w:w="1319" w:type="dxa"/>
            <w:noWrap w:val="0"/>
            <w:vAlign w:val="center"/>
          </w:tcPr>
          <w:p w14:paraId="210A190B">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年度指标值</w:t>
            </w:r>
          </w:p>
        </w:tc>
        <w:tc>
          <w:tcPr>
            <w:tcW w:w="1259" w:type="dxa"/>
            <w:noWrap w:val="0"/>
            <w:vAlign w:val="center"/>
          </w:tcPr>
          <w:p w14:paraId="76B052CC">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实际完成值</w:t>
            </w:r>
          </w:p>
        </w:tc>
        <w:tc>
          <w:tcPr>
            <w:tcW w:w="719" w:type="dxa"/>
            <w:noWrap w:val="0"/>
            <w:vAlign w:val="center"/>
          </w:tcPr>
          <w:p w14:paraId="097AD5BD">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分值</w:t>
            </w:r>
          </w:p>
        </w:tc>
        <w:tc>
          <w:tcPr>
            <w:tcW w:w="802" w:type="dxa"/>
            <w:noWrap w:val="0"/>
            <w:vAlign w:val="center"/>
          </w:tcPr>
          <w:p w14:paraId="58C86546">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得分</w:t>
            </w:r>
          </w:p>
        </w:tc>
        <w:tc>
          <w:tcPr>
            <w:tcW w:w="1275" w:type="dxa"/>
            <w:noWrap w:val="0"/>
            <w:vAlign w:val="center"/>
          </w:tcPr>
          <w:p w14:paraId="495FF4BE">
            <w:pPr>
              <w:keepNext w:val="0"/>
              <w:keepLines w:val="0"/>
              <w:pageBreakBefore w:val="0"/>
              <w:widowControl w:val="0"/>
              <w:kinsoku/>
              <w:wordWrap/>
              <w:overflowPunct/>
              <w:topLinePunct w:val="0"/>
              <w:autoSpaceDE/>
              <w:autoSpaceDN/>
              <w:bidi w:val="0"/>
              <w:adjustRightInd/>
              <w:snapToGrid/>
              <w:spacing w:line="211"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偏差原因分析</w:t>
            </w:r>
          </w:p>
          <w:p w14:paraId="79D33219">
            <w:pPr>
              <w:keepNext w:val="0"/>
              <w:keepLines w:val="0"/>
              <w:pageBreakBefore w:val="0"/>
              <w:widowControl w:val="0"/>
              <w:kinsoku/>
              <w:wordWrap/>
              <w:overflowPunct/>
              <w:topLinePunct w:val="0"/>
              <w:autoSpaceDE/>
              <w:autoSpaceDN/>
              <w:bidi w:val="0"/>
              <w:adjustRightInd/>
              <w:snapToGrid/>
              <w:spacing w:line="190" w:lineRule="auto"/>
              <w:ind w:left="0"/>
              <w:jc w:val="center"/>
              <w:textAlignment w:val="auto"/>
              <w:rPr>
                <w:rFonts w:ascii="宋体" w:hAnsi="宋体" w:eastAsia="宋体" w:cs="宋体"/>
                <w:color w:val="000000" w:themeColor="text1"/>
                <w:spacing w:val="0"/>
                <w:sz w:val="21"/>
                <w:szCs w:val="21"/>
                <w14:textFill>
                  <w14:solidFill>
                    <w14:schemeClr w14:val="tx1"/>
                  </w14:solidFill>
                </w14:textFill>
              </w:rPr>
            </w:pPr>
            <w:r>
              <w:rPr>
                <w:rFonts w:ascii="宋体" w:hAnsi="宋体" w:eastAsia="宋体" w:cs="宋体"/>
                <w:color w:val="000000" w:themeColor="text1"/>
                <w:spacing w:val="0"/>
                <w:sz w:val="21"/>
                <w:szCs w:val="21"/>
                <w14:textFill>
                  <w14:solidFill>
                    <w14:schemeClr w14:val="tx1"/>
                  </w14:solidFill>
                </w14:textFill>
              </w:rPr>
              <w:t>及改进措施</w:t>
            </w:r>
          </w:p>
        </w:tc>
      </w:tr>
      <w:tr w14:paraId="239E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 w:hRule="atLeast"/>
        </w:trPr>
        <w:tc>
          <w:tcPr>
            <w:tcW w:w="1084" w:type="dxa"/>
            <w:vMerge w:val="continue"/>
            <w:tcBorders>
              <w:top w:val="nil"/>
              <w:bottom w:val="nil"/>
            </w:tcBorders>
            <w:noWrap w:val="0"/>
            <w:textDirection w:val="tbRlV"/>
            <w:vAlign w:val="top"/>
          </w:tcPr>
          <w:p w14:paraId="73FFABA8">
            <w:pPr>
              <w:rPr>
                <w:rFonts w:ascii="Arial"/>
                <w:color w:val="000000" w:themeColor="text1"/>
                <w:sz w:val="21"/>
                <w14:textFill>
                  <w14:solidFill>
                    <w14:schemeClr w14:val="tx1"/>
                  </w14:solidFill>
                </w14:textFill>
              </w:rPr>
            </w:pPr>
          </w:p>
        </w:tc>
        <w:tc>
          <w:tcPr>
            <w:tcW w:w="1079" w:type="dxa"/>
            <w:vMerge w:val="restart"/>
            <w:tcBorders>
              <w:bottom w:val="nil"/>
            </w:tcBorders>
            <w:noWrap w:val="0"/>
            <w:vAlign w:val="center"/>
          </w:tcPr>
          <w:p w14:paraId="4FB86522">
            <w:pPr>
              <w:keepNext w:val="0"/>
              <w:keepLines w:val="0"/>
              <w:pageBreakBefore w:val="0"/>
              <w:widowControl w:val="0"/>
              <w:kinsoku/>
              <w:wordWrap/>
              <w:overflowPunct/>
              <w:topLinePunct w:val="0"/>
              <w:autoSpaceDE/>
              <w:autoSpaceDN/>
              <w:bidi w:val="0"/>
              <w:adjustRightInd/>
              <w:snapToGrid/>
              <w:spacing w:line="269" w:lineRule="auto"/>
              <w:ind w:left="0"/>
              <w:jc w:val="center"/>
              <w:textAlignment w:val="auto"/>
              <w:rPr>
                <w:rFonts w:ascii="Arial"/>
                <w:color w:val="000000" w:themeColor="text1"/>
                <w:sz w:val="21"/>
                <w14:textFill>
                  <w14:solidFill>
                    <w14:schemeClr w14:val="tx1"/>
                  </w14:solidFill>
                </w14:textFill>
              </w:rPr>
            </w:pPr>
          </w:p>
          <w:p w14:paraId="263F20AA">
            <w:pPr>
              <w:keepNext w:val="0"/>
              <w:keepLines w:val="0"/>
              <w:pageBreakBefore w:val="0"/>
              <w:widowControl w:val="0"/>
              <w:kinsoku/>
              <w:wordWrap/>
              <w:overflowPunct/>
              <w:topLinePunct w:val="0"/>
              <w:autoSpaceDE/>
              <w:autoSpaceDN/>
              <w:bidi w:val="0"/>
              <w:adjustRightInd/>
              <w:snapToGrid/>
              <w:spacing w:line="269" w:lineRule="auto"/>
              <w:ind w:left="0"/>
              <w:jc w:val="center"/>
              <w:textAlignment w:val="auto"/>
              <w:rPr>
                <w:rFonts w:ascii="Arial"/>
                <w:color w:val="000000" w:themeColor="text1"/>
                <w:sz w:val="21"/>
                <w14:textFill>
                  <w14:solidFill>
                    <w14:schemeClr w14:val="tx1"/>
                  </w14:solidFill>
                </w14:textFill>
              </w:rPr>
            </w:pPr>
          </w:p>
          <w:p w14:paraId="3429D0C1">
            <w:pPr>
              <w:keepNext w:val="0"/>
              <w:keepLines w:val="0"/>
              <w:pageBreakBefore w:val="0"/>
              <w:widowControl w:val="0"/>
              <w:kinsoku/>
              <w:wordWrap/>
              <w:overflowPunct/>
              <w:topLinePunct w:val="0"/>
              <w:autoSpaceDE/>
              <w:autoSpaceDN/>
              <w:bidi w:val="0"/>
              <w:adjustRightInd/>
              <w:snapToGrid/>
              <w:spacing w:line="270" w:lineRule="auto"/>
              <w:ind w:left="0"/>
              <w:jc w:val="center"/>
              <w:textAlignment w:val="auto"/>
              <w:rPr>
                <w:rFonts w:ascii="Arial"/>
                <w:color w:val="000000" w:themeColor="text1"/>
                <w:sz w:val="21"/>
                <w14:textFill>
                  <w14:solidFill>
                    <w14:schemeClr w14:val="tx1"/>
                  </w14:solidFill>
                </w14:textFill>
              </w:rPr>
            </w:pPr>
          </w:p>
          <w:p w14:paraId="2836C9A1">
            <w:pPr>
              <w:keepNext w:val="0"/>
              <w:keepLines w:val="0"/>
              <w:pageBreakBefore w:val="0"/>
              <w:widowControl w:val="0"/>
              <w:kinsoku/>
              <w:wordWrap/>
              <w:overflowPunct/>
              <w:topLinePunct w:val="0"/>
              <w:autoSpaceDE/>
              <w:autoSpaceDN/>
              <w:bidi w:val="0"/>
              <w:adjustRightInd/>
              <w:snapToGrid/>
              <w:spacing w:line="270" w:lineRule="auto"/>
              <w:ind w:left="0"/>
              <w:jc w:val="center"/>
              <w:textAlignment w:val="auto"/>
              <w:rPr>
                <w:rFonts w:ascii="Arial"/>
                <w:color w:val="000000" w:themeColor="text1"/>
                <w:sz w:val="21"/>
                <w14:textFill>
                  <w14:solidFill>
                    <w14:schemeClr w14:val="tx1"/>
                  </w14:solidFill>
                </w14:textFill>
              </w:rPr>
            </w:pPr>
          </w:p>
          <w:p w14:paraId="2AA57266">
            <w:pPr>
              <w:keepNext w:val="0"/>
              <w:keepLines w:val="0"/>
              <w:pageBreakBefore w:val="0"/>
              <w:widowControl w:val="0"/>
              <w:kinsoku/>
              <w:wordWrap/>
              <w:overflowPunct/>
              <w:topLinePunct w:val="0"/>
              <w:autoSpaceDE/>
              <w:autoSpaceDN/>
              <w:bidi w:val="0"/>
              <w:adjustRightInd/>
              <w:snapToGrid/>
              <w:spacing w:line="481" w:lineRule="exact"/>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position w:val="20"/>
                <w:sz w:val="21"/>
                <w:szCs w:val="21"/>
                <w14:textFill>
                  <w14:solidFill>
                    <w14:schemeClr w14:val="tx1"/>
                  </w14:solidFill>
                </w14:textFill>
              </w:rPr>
              <w:t>产出指标</w:t>
            </w:r>
          </w:p>
          <w:p w14:paraId="069BE33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9"/>
                <w:sz w:val="21"/>
                <w:szCs w:val="21"/>
                <w14:textFill>
                  <w14:solidFill>
                    <w14:schemeClr w14:val="tx1"/>
                  </w14:solidFill>
                </w14:textFill>
              </w:rPr>
              <w:t>(50分)</w:t>
            </w:r>
          </w:p>
        </w:tc>
        <w:tc>
          <w:tcPr>
            <w:tcW w:w="1029" w:type="dxa"/>
            <w:vMerge w:val="restart"/>
            <w:noWrap w:val="0"/>
            <w:vAlign w:val="center"/>
          </w:tcPr>
          <w:p w14:paraId="72BA1019">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数量指标</w:t>
            </w:r>
          </w:p>
        </w:tc>
        <w:tc>
          <w:tcPr>
            <w:tcW w:w="1269" w:type="dxa"/>
            <w:noWrap w:val="0"/>
            <w:vAlign w:val="center"/>
          </w:tcPr>
          <w:p w14:paraId="64A009C1">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Arial" w:eastAsiaTheme="minorEastAsia"/>
                <w:color w:val="000000" w:themeColor="text1"/>
                <w:sz w:val="20"/>
                <w:highlight w:val="none"/>
                <w:lang w:eastAsia="zh-CN"/>
                <w14:textFill>
                  <w14:solidFill>
                    <w14:schemeClr w14:val="tx1"/>
                  </w14:solidFill>
                </w14:textFill>
              </w:rPr>
            </w:pPr>
            <w:r>
              <w:rPr>
                <w:rFonts w:hint="eastAsia" w:ascii="Arial"/>
                <w:color w:val="000000" w:themeColor="text1"/>
                <w:sz w:val="20"/>
                <w:highlight w:val="none"/>
                <w:lang w:eastAsia="zh-CN"/>
                <w14:textFill>
                  <w14:solidFill>
                    <w14:schemeClr w14:val="tx1"/>
                  </w14:solidFill>
                </w14:textFill>
              </w:rPr>
              <w:t>财政收入总量</w:t>
            </w:r>
          </w:p>
        </w:tc>
        <w:tc>
          <w:tcPr>
            <w:tcW w:w="1319" w:type="dxa"/>
            <w:noWrap w:val="0"/>
            <w:vAlign w:val="center"/>
          </w:tcPr>
          <w:p w14:paraId="0ADE71EB">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≥2970.22万元</w:t>
            </w:r>
          </w:p>
        </w:tc>
        <w:tc>
          <w:tcPr>
            <w:tcW w:w="1259" w:type="dxa"/>
            <w:noWrap w:val="0"/>
            <w:vAlign w:val="center"/>
          </w:tcPr>
          <w:p w14:paraId="7A40CA24">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2970.22万元</w:t>
            </w:r>
          </w:p>
        </w:tc>
        <w:tc>
          <w:tcPr>
            <w:tcW w:w="719" w:type="dxa"/>
            <w:noWrap w:val="0"/>
            <w:vAlign w:val="center"/>
          </w:tcPr>
          <w:p w14:paraId="3B8C5ABB">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802" w:type="dxa"/>
            <w:noWrap w:val="0"/>
            <w:vAlign w:val="center"/>
          </w:tcPr>
          <w:p w14:paraId="5DA74C2F">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1275" w:type="dxa"/>
            <w:noWrap w:val="0"/>
            <w:vAlign w:val="center"/>
          </w:tcPr>
          <w:p w14:paraId="24B0161E">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ascii="Arial"/>
                <w:color w:val="000000" w:themeColor="text1"/>
                <w:sz w:val="20"/>
                <w14:textFill>
                  <w14:solidFill>
                    <w14:schemeClr w14:val="tx1"/>
                  </w14:solidFill>
                </w14:textFill>
              </w:rPr>
            </w:pPr>
          </w:p>
        </w:tc>
      </w:tr>
      <w:tr w14:paraId="26F52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1084" w:type="dxa"/>
            <w:vMerge w:val="continue"/>
            <w:tcBorders>
              <w:top w:val="nil"/>
              <w:bottom w:val="nil"/>
            </w:tcBorders>
            <w:noWrap w:val="0"/>
            <w:textDirection w:val="tbRlV"/>
            <w:vAlign w:val="top"/>
          </w:tcPr>
          <w:p w14:paraId="67D86AC2">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42F8F8EB">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noWrap w:val="0"/>
            <w:vAlign w:val="center"/>
          </w:tcPr>
          <w:p w14:paraId="17B79AB0">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14:paraId="48928C6A">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highlight w:val="none"/>
                <w:lang w:val="en-US" w:eastAsia="zh-CN"/>
                <w14:textFill>
                  <w14:solidFill>
                    <w14:schemeClr w14:val="tx1"/>
                  </w14:solidFill>
                </w14:textFill>
              </w:rPr>
            </w:pPr>
            <w:r>
              <w:rPr>
                <w:rFonts w:hint="eastAsia" w:ascii="Arial"/>
                <w:color w:val="000000" w:themeColor="text1"/>
                <w:sz w:val="18"/>
                <w:szCs w:val="18"/>
                <w:highlight w:val="none"/>
                <w:lang w:val="en-US" w:eastAsia="zh-CN"/>
                <w14:textFill>
                  <w14:solidFill>
                    <w14:schemeClr w14:val="tx1"/>
                  </w14:solidFill>
                </w14:textFill>
              </w:rPr>
              <w:t>党建专题学习次数</w:t>
            </w:r>
          </w:p>
        </w:tc>
        <w:tc>
          <w:tcPr>
            <w:tcW w:w="1319" w:type="dxa"/>
            <w:noWrap w:val="0"/>
            <w:vAlign w:val="center"/>
          </w:tcPr>
          <w:p w14:paraId="0FDDFA97">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eastAsia="zh-CN"/>
                <w14:textFill>
                  <w14:solidFill>
                    <w14:schemeClr w14:val="tx1"/>
                  </w14:solidFill>
                </w14:textFill>
              </w:rPr>
              <w:t>≥</w:t>
            </w:r>
            <w:r>
              <w:rPr>
                <w:rFonts w:hint="eastAsia" w:ascii="Arial"/>
                <w:color w:val="000000" w:themeColor="text1"/>
                <w:sz w:val="18"/>
                <w:szCs w:val="18"/>
                <w:lang w:val="en-US" w:eastAsia="zh-CN"/>
                <w14:textFill>
                  <w14:solidFill>
                    <w14:schemeClr w14:val="tx1"/>
                  </w14:solidFill>
                </w14:textFill>
              </w:rPr>
              <w:t>50次</w:t>
            </w:r>
          </w:p>
        </w:tc>
        <w:tc>
          <w:tcPr>
            <w:tcW w:w="1259" w:type="dxa"/>
            <w:noWrap w:val="0"/>
            <w:vAlign w:val="center"/>
          </w:tcPr>
          <w:p w14:paraId="57E0DC91">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90次</w:t>
            </w:r>
          </w:p>
        </w:tc>
        <w:tc>
          <w:tcPr>
            <w:tcW w:w="719" w:type="dxa"/>
            <w:noWrap w:val="0"/>
            <w:vAlign w:val="center"/>
          </w:tcPr>
          <w:p w14:paraId="53D19D97">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5</w:t>
            </w:r>
          </w:p>
        </w:tc>
        <w:tc>
          <w:tcPr>
            <w:tcW w:w="802" w:type="dxa"/>
            <w:noWrap w:val="0"/>
            <w:vAlign w:val="center"/>
          </w:tcPr>
          <w:p w14:paraId="7B9BC488">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highlight w:val="none"/>
                <w:lang w:val="en-US" w:eastAsia="zh-CN"/>
                <w14:textFill>
                  <w14:solidFill>
                    <w14:schemeClr w14:val="tx1"/>
                  </w14:solidFill>
                </w14:textFill>
              </w:rPr>
              <w:t>5</w:t>
            </w:r>
          </w:p>
        </w:tc>
        <w:tc>
          <w:tcPr>
            <w:tcW w:w="1275" w:type="dxa"/>
            <w:noWrap w:val="0"/>
            <w:vAlign w:val="center"/>
          </w:tcPr>
          <w:p w14:paraId="38D0A342">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21"/>
                <w:lang w:eastAsia="zh-CN"/>
                <w14:textFill>
                  <w14:solidFill>
                    <w14:schemeClr w14:val="tx1"/>
                  </w14:solidFill>
                </w14:textFill>
              </w:rPr>
            </w:pPr>
          </w:p>
        </w:tc>
      </w:tr>
      <w:tr w14:paraId="10C3F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1" w:hRule="atLeast"/>
        </w:trPr>
        <w:tc>
          <w:tcPr>
            <w:tcW w:w="1084" w:type="dxa"/>
            <w:vMerge w:val="continue"/>
            <w:tcBorders>
              <w:top w:val="nil"/>
              <w:bottom w:val="nil"/>
            </w:tcBorders>
            <w:noWrap w:val="0"/>
            <w:textDirection w:val="tbRlV"/>
            <w:vAlign w:val="top"/>
          </w:tcPr>
          <w:p w14:paraId="0ADA8274">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77161259">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noWrap w:val="0"/>
            <w:vAlign w:val="center"/>
          </w:tcPr>
          <w:p w14:paraId="301DF7B1">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14:paraId="6873AE2C">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highlight w:val="none"/>
                <w:lang w:val="en-US" w:eastAsia="zh-CN"/>
                <w14:textFill>
                  <w14:solidFill>
                    <w14:schemeClr w14:val="tx1"/>
                  </w14:solidFill>
                </w14:textFill>
              </w:rPr>
            </w:pPr>
            <w:r>
              <w:rPr>
                <w:rFonts w:hint="eastAsia" w:ascii="Arial"/>
                <w:color w:val="000000" w:themeColor="text1"/>
                <w:sz w:val="18"/>
                <w:szCs w:val="18"/>
                <w:highlight w:val="none"/>
                <w:lang w:val="en-US" w:eastAsia="zh-CN"/>
                <w14:textFill>
                  <w14:solidFill>
                    <w14:schemeClr w14:val="tx1"/>
                  </w14:solidFill>
                </w14:textFill>
              </w:rPr>
              <w:t>完成所属辖区配套基础设施建设项目数</w:t>
            </w:r>
          </w:p>
        </w:tc>
        <w:tc>
          <w:tcPr>
            <w:tcW w:w="1319" w:type="dxa"/>
            <w:noWrap w:val="0"/>
            <w:vAlign w:val="center"/>
          </w:tcPr>
          <w:p w14:paraId="3E256E6C">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18"/>
                <w:szCs w:val="18"/>
                <w:lang w:val="en-US" w:eastAsia="zh-CN"/>
                <w14:textFill>
                  <w14:solidFill>
                    <w14:schemeClr w14:val="tx1"/>
                  </w14:solidFill>
                </w14:textFill>
              </w:rPr>
            </w:pPr>
            <w:r>
              <w:rPr>
                <w:rFonts w:hint="eastAsia" w:ascii="Arial"/>
                <w:color w:val="000000" w:themeColor="text1"/>
                <w:sz w:val="18"/>
                <w:szCs w:val="18"/>
                <w:lang w:eastAsia="zh-CN"/>
                <w14:textFill>
                  <w14:solidFill>
                    <w14:schemeClr w14:val="tx1"/>
                  </w14:solidFill>
                </w14:textFill>
              </w:rPr>
              <w:t>≥</w:t>
            </w:r>
            <w:r>
              <w:rPr>
                <w:rFonts w:hint="eastAsia" w:ascii="Arial"/>
                <w:color w:val="000000" w:themeColor="text1"/>
                <w:sz w:val="18"/>
                <w:szCs w:val="18"/>
                <w:lang w:val="en-US" w:eastAsia="zh-CN"/>
                <w14:textFill>
                  <w14:solidFill>
                    <w14:schemeClr w14:val="tx1"/>
                  </w14:solidFill>
                </w14:textFill>
              </w:rPr>
              <w:t>5个</w:t>
            </w:r>
          </w:p>
        </w:tc>
        <w:tc>
          <w:tcPr>
            <w:tcW w:w="1259" w:type="dxa"/>
            <w:noWrap w:val="0"/>
            <w:vAlign w:val="center"/>
          </w:tcPr>
          <w:p w14:paraId="031B600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9个</w:t>
            </w:r>
          </w:p>
        </w:tc>
        <w:tc>
          <w:tcPr>
            <w:tcW w:w="719" w:type="dxa"/>
            <w:noWrap w:val="0"/>
            <w:vAlign w:val="center"/>
          </w:tcPr>
          <w:p w14:paraId="23ED2AC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802" w:type="dxa"/>
            <w:noWrap w:val="0"/>
            <w:vAlign w:val="center"/>
          </w:tcPr>
          <w:p w14:paraId="7C1541A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1275" w:type="dxa"/>
            <w:noWrap w:val="0"/>
            <w:vAlign w:val="center"/>
          </w:tcPr>
          <w:p w14:paraId="77CC126B">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p>
        </w:tc>
      </w:tr>
      <w:tr w14:paraId="14797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14:paraId="367DE92E">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71163E05">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noWrap w:val="0"/>
            <w:vAlign w:val="center"/>
          </w:tcPr>
          <w:p w14:paraId="3FF29131">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14:paraId="35AF3C32">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highlight w:val="none"/>
                <w:lang w:val="en-US" w:eastAsia="zh-CN"/>
                <w14:textFill>
                  <w14:solidFill>
                    <w14:schemeClr w14:val="tx1"/>
                  </w14:solidFill>
                </w14:textFill>
              </w:rPr>
            </w:pPr>
            <w:r>
              <w:rPr>
                <w:rFonts w:hint="eastAsia" w:ascii="Arial"/>
                <w:color w:val="000000" w:themeColor="text1"/>
                <w:sz w:val="18"/>
                <w:szCs w:val="18"/>
                <w:highlight w:val="none"/>
                <w:lang w:val="en-US" w:eastAsia="zh-CN"/>
                <w14:textFill>
                  <w14:solidFill>
                    <w14:schemeClr w14:val="tx1"/>
                  </w14:solidFill>
                </w14:textFill>
              </w:rPr>
              <w:t>帮扶就业大型专题活动举办次数</w:t>
            </w:r>
          </w:p>
        </w:tc>
        <w:tc>
          <w:tcPr>
            <w:tcW w:w="1319" w:type="dxa"/>
            <w:noWrap w:val="0"/>
            <w:vAlign w:val="center"/>
          </w:tcPr>
          <w:p w14:paraId="70998486">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color w:val="000000" w:themeColor="text1"/>
                <w:sz w:val="18"/>
                <w:szCs w:val="18"/>
                <w:highlight w:val="none"/>
                <w:lang w:val="en-US" w:eastAsia="zh-CN"/>
                <w14:textFill>
                  <w14:solidFill>
                    <w14:schemeClr w14:val="tx1"/>
                  </w14:solidFill>
                </w14:textFill>
              </w:rPr>
            </w:pPr>
            <w:r>
              <w:rPr>
                <w:rFonts w:hint="eastAsia" w:ascii="Arial"/>
                <w:color w:val="000000" w:themeColor="text1"/>
                <w:sz w:val="18"/>
                <w:szCs w:val="18"/>
                <w:highlight w:val="none"/>
                <w:lang w:eastAsia="zh-CN"/>
                <w14:textFill>
                  <w14:solidFill>
                    <w14:schemeClr w14:val="tx1"/>
                  </w14:solidFill>
                </w14:textFill>
              </w:rPr>
              <w:t>≥</w:t>
            </w:r>
            <w:r>
              <w:rPr>
                <w:rFonts w:hint="eastAsia" w:ascii="Arial"/>
                <w:color w:val="000000" w:themeColor="text1"/>
                <w:sz w:val="18"/>
                <w:szCs w:val="18"/>
                <w:highlight w:val="none"/>
                <w:lang w:val="en-US" w:eastAsia="zh-CN"/>
                <w14:textFill>
                  <w14:solidFill>
                    <w14:schemeClr w14:val="tx1"/>
                  </w14:solidFill>
                </w14:textFill>
              </w:rPr>
              <w:t>4次</w:t>
            </w:r>
          </w:p>
        </w:tc>
        <w:tc>
          <w:tcPr>
            <w:tcW w:w="1259" w:type="dxa"/>
            <w:noWrap w:val="0"/>
            <w:vAlign w:val="center"/>
          </w:tcPr>
          <w:p w14:paraId="62813B62">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20"/>
                <w:highlight w:val="none"/>
                <w:lang w:val="en-US" w:eastAsia="zh-CN"/>
                <w14:textFill>
                  <w14:solidFill>
                    <w14:schemeClr w14:val="tx1"/>
                  </w14:solidFill>
                </w14:textFill>
              </w:rPr>
            </w:pPr>
            <w:r>
              <w:rPr>
                <w:rFonts w:hint="eastAsia" w:ascii="Arial"/>
                <w:color w:val="000000" w:themeColor="text1"/>
                <w:sz w:val="20"/>
                <w:highlight w:val="none"/>
                <w:lang w:val="en-US" w:eastAsia="zh-CN"/>
                <w14:textFill>
                  <w14:solidFill>
                    <w14:schemeClr w14:val="tx1"/>
                  </w14:solidFill>
                </w14:textFill>
              </w:rPr>
              <w:t>9次</w:t>
            </w:r>
          </w:p>
        </w:tc>
        <w:tc>
          <w:tcPr>
            <w:tcW w:w="719" w:type="dxa"/>
            <w:noWrap w:val="0"/>
            <w:vAlign w:val="center"/>
          </w:tcPr>
          <w:p w14:paraId="434004A2">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802" w:type="dxa"/>
            <w:noWrap w:val="0"/>
            <w:vAlign w:val="center"/>
          </w:tcPr>
          <w:p w14:paraId="11D0A7D0">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1275" w:type="dxa"/>
            <w:noWrap w:val="0"/>
            <w:vAlign w:val="center"/>
          </w:tcPr>
          <w:p w14:paraId="692E47A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ascii="Arial"/>
                <w:color w:val="000000" w:themeColor="text1"/>
                <w:sz w:val="20"/>
                <w14:textFill>
                  <w14:solidFill>
                    <w14:schemeClr w14:val="tx1"/>
                  </w14:solidFill>
                </w14:textFill>
              </w:rPr>
            </w:pPr>
          </w:p>
        </w:tc>
      </w:tr>
      <w:tr w14:paraId="66A94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14:paraId="743A2BAA">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5152F0BE">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restart"/>
            <w:noWrap w:val="0"/>
            <w:vAlign w:val="center"/>
          </w:tcPr>
          <w:p w14:paraId="0F741EB6">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质量指标</w:t>
            </w:r>
          </w:p>
        </w:tc>
        <w:tc>
          <w:tcPr>
            <w:tcW w:w="1269" w:type="dxa"/>
            <w:noWrap w:val="0"/>
            <w:vAlign w:val="center"/>
          </w:tcPr>
          <w:p w14:paraId="7F6FD85E">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eastAsiaTheme="minorEastAsia"/>
                <w:color w:val="000000" w:themeColor="text1"/>
                <w:sz w:val="20"/>
                <w:highlight w:val="none"/>
                <w:lang w:eastAsia="zh-CN"/>
                <w14:textFill>
                  <w14:solidFill>
                    <w14:schemeClr w14:val="tx1"/>
                  </w14:solidFill>
                </w14:textFill>
              </w:rPr>
            </w:pPr>
            <w:r>
              <w:rPr>
                <w:rFonts w:hint="eastAsia" w:ascii="Arial"/>
                <w:color w:val="000000" w:themeColor="text1"/>
                <w:sz w:val="20"/>
                <w:highlight w:val="none"/>
                <w:lang w:eastAsia="zh-CN"/>
                <w14:textFill>
                  <w14:solidFill>
                    <w14:schemeClr w14:val="tx1"/>
                  </w14:solidFill>
                </w14:textFill>
              </w:rPr>
              <w:t>公共财政支出进度</w:t>
            </w:r>
          </w:p>
        </w:tc>
        <w:tc>
          <w:tcPr>
            <w:tcW w:w="1319" w:type="dxa"/>
            <w:noWrap w:val="0"/>
            <w:vAlign w:val="center"/>
          </w:tcPr>
          <w:p w14:paraId="5A2EE26C">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宋体"/>
                <w:color w:val="000000" w:themeColor="text1"/>
                <w:sz w:val="20"/>
                <w:lang w:val="en-US" w:eastAsia="zh-CN"/>
                <w14:textFill>
                  <w14:solidFill>
                    <w14:schemeClr w14:val="tx1"/>
                  </w14:solidFill>
                </w14:textFill>
              </w:rPr>
            </w:pPr>
            <w:r>
              <w:rPr>
                <w:rFonts w:hint="eastAsia" w:ascii="宋体" w:hAnsi="宋体" w:eastAsia="宋体" w:cs="宋体"/>
                <w:color w:val="000000" w:themeColor="text1"/>
                <w:sz w:val="20"/>
                <w14:textFill>
                  <w14:solidFill>
                    <w14:schemeClr w14:val="tx1"/>
                  </w14:solidFill>
                </w14:textFill>
              </w:rPr>
              <w:t>≧</w:t>
            </w:r>
            <w:r>
              <w:rPr>
                <w:rFonts w:hint="eastAsia" w:ascii="宋体" w:hAnsi="宋体" w:eastAsia="宋体" w:cs="宋体"/>
                <w:color w:val="000000" w:themeColor="text1"/>
                <w:sz w:val="20"/>
                <w:lang w:val="en-US" w:eastAsia="zh-CN"/>
                <w14:textFill>
                  <w14:solidFill>
                    <w14:schemeClr w14:val="tx1"/>
                  </w14:solidFill>
                </w14:textFill>
              </w:rPr>
              <w:t>100%</w:t>
            </w:r>
          </w:p>
        </w:tc>
        <w:tc>
          <w:tcPr>
            <w:tcW w:w="1259" w:type="dxa"/>
            <w:noWrap w:val="0"/>
            <w:vAlign w:val="center"/>
          </w:tcPr>
          <w:p w14:paraId="5B6118C8">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z w:val="20"/>
                <w14:textFill>
                  <w14:solidFill>
                    <w14:schemeClr w14:val="tx1"/>
                  </w14:solidFill>
                </w14:textFill>
              </w:rPr>
            </w:pPr>
            <w:r>
              <w:rPr>
                <w:rFonts w:hint="eastAsia" w:ascii="宋体" w:hAnsi="宋体" w:eastAsia="宋体" w:cs="宋体"/>
                <w:color w:val="000000" w:themeColor="text1"/>
                <w:sz w:val="20"/>
                <w14:textFill>
                  <w14:solidFill>
                    <w14:schemeClr w14:val="tx1"/>
                  </w14:solidFill>
                </w14:textFill>
              </w:rPr>
              <w:t>≧</w:t>
            </w:r>
            <w:r>
              <w:rPr>
                <w:rFonts w:hint="eastAsia" w:ascii="宋体" w:hAnsi="宋体" w:eastAsia="宋体" w:cs="宋体"/>
                <w:color w:val="000000" w:themeColor="text1"/>
                <w:sz w:val="20"/>
                <w:lang w:val="en-US" w:eastAsia="zh-CN"/>
                <w14:textFill>
                  <w14:solidFill>
                    <w14:schemeClr w14:val="tx1"/>
                  </w14:solidFill>
                </w14:textFill>
              </w:rPr>
              <w:t>100%</w:t>
            </w:r>
          </w:p>
        </w:tc>
        <w:tc>
          <w:tcPr>
            <w:tcW w:w="719" w:type="dxa"/>
            <w:noWrap w:val="0"/>
            <w:vAlign w:val="center"/>
          </w:tcPr>
          <w:p w14:paraId="32A3AB39">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802" w:type="dxa"/>
            <w:noWrap w:val="0"/>
            <w:vAlign w:val="center"/>
          </w:tcPr>
          <w:p w14:paraId="055E90E8">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1275" w:type="dxa"/>
            <w:noWrap w:val="0"/>
            <w:vAlign w:val="center"/>
          </w:tcPr>
          <w:p w14:paraId="088D19B9">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z w:val="20"/>
                <w14:textFill>
                  <w14:solidFill>
                    <w14:schemeClr w14:val="tx1"/>
                  </w14:solidFill>
                </w14:textFill>
              </w:rPr>
            </w:pPr>
          </w:p>
        </w:tc>
      </w:tr>
      <w:tr w14:paraId="40BFEC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6" w:hRule="atLeast"/>
        </w:trPr>
        <w:tc>
          <w:tcPr>
            <w:tcW w:w="1084" w:type="dxa"/>
            <w:vMerge w:val="continue"/>
            <w:tcBorders>
              <w:top w:val="nil"/>
              <w:bottom w:val="nil"/>
            </w:tcBorders>
            <w:noWrap w:val="0"/>
            <w:textDirection w:val="tbRlV"/>
            <w:vAlign w:val="top"/>
          </w:tcPr>
          <w:p w14:paraId="5B8A6CFE">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177C085E">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noWrap w:val="0"/>
            <w:vAlign w:val="center"/>
          </w:tcPr>
          <w:p w14:paraId="44DBEF3A">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14:paraId="3CEB6DF9">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color w:val="000000" w:themeColor="text1"/>
                <w:sz w:val="20"/>
                <w:highlight w:val="none"/>
                <w:lang w:val="en-US" w:eastAsia="zh-CN"/>
                <w14:textFill>
                  <w14:solidFill>
                    <w14:schemeClr w14:val="tx1"/>
                  </w14:solidFill>
                </w14:textFill>
              </w:rPr>
            </w:pPr>
            <w:r>
              <w:rPr>
                <w:rFonts w:hint="eastAsia" w:ascii="Arial"/>
                <w:color w:val="000000" w:themeColor="text1"/>
                <w:sz w:val="20"/>
                <w:highlight w:val="none"/>
                <w:lang w:eastAsia="zh-CN"/>
                <w14:textFill>
                  <w14:solidFill>
                    <w14:schemeClr w14:val="tx1"/>
                  </w14:solidFill>
                </w14:textFill>
              </w:rPr>
              <w:t>无群体性事件，无极端恶劣事件发生</w:t>
            </w:r>
          </w:p>
        </w:tc>
        <w:tc>
          <w:tcPr>
            <w:tcW w:w="1319" w:type="dxa"/>
            <w:noWrap w:val="0"/>
            <w:vAlign w:val="center"/>
          </w:tcPr>
          <w:p w14:paraId="29E06EC5">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color w:val="000000" w:themeColor="text1"/>
                <w:sz w:val="20"/>
                <w:lang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未发生</w:t>
            </w:r>
          </w:p>
        </w:tc>
        <w:tc>
          <w:tcPr>
            <w:tcW w:w="1259" w:type="dxa"/>
            <w:noWrap w:val="0"/>
            <w:vAlign w:val="center"/>
          </w:tcPr>
          <w:p w14:paraId="3B788F20">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21"/>
                <w:lang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未发生</w:t>
            </w:r>
          </w:p>
        </w:tc>
        <w:tc>
          <w:tcPr>
            <w:tcW w:w="719" w:type="dxa"/>
            <w:noWrap w:val="0"/>
            <w:vAlign w:val="center"/>
          </w:tcPr>
          <w:p w14:paraId="79181673">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5</w:t>
            </w:r>
          </w:p>
        </w:tc>
        <w:tc>
          <w:tcPr>
            <w:tcW w:w="802" w:type="dxa"/>
            <w:noWrap w:val="0"/>
            <w:vAlign w:val="center"/>
          </w:tcPr>
          <w:p w14:paraId="628F43F9">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5</w:t>
            </w:r>
          </w:p>
        </w:tc>
        <w:tc>
          <w:tcPr>
            <w:tcW w:w="1275" w:type="dxa"/>
            <w:noWrap w:val="0"/>
            <w:vAlign w:val="center"/>
          </w:tcPr>
          <w:p w14:paraId="7C9F8612">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r>
      <w:tr w14:paraId="7A196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 w:hRule="atLeast"/>
        </w:trPr>
        <w:tc>
          <w:tcPr>
            <w:tcW w:w="1084" w:type="dxa"/>
            <w:vMerge w:val="continue"/>
            <w:tcBorders>
              <w:top w:val="nil"/>
              <w:bottom w:val="nil"/>
            </w:tcBorders>
            <w:noWrap w:val="0"/>
            <w:textDirection w:val="tbRlV"/>
            <w:vAlign w:val="top"/>
          </w:tcPr>
          <w:p w14:paraId="0ABC2882">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681316CC">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14:paraId="31EC91F4">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时效指标</w:t>
            </w:r>
          </w:p>
        </w:tc>
        <w:tc>
          <w:tcPr>
            <w:tcW w:w="1269" w:type="dxa"/>
            <w:noWrap w:val="0"/>
            <w:vAlign w:val="center"/>
          </w:tcPr>
          <w:p w14:paraId="24A32579">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20"/>
                <w:lang w:eastAsia="zh-CN"/>
                <w14:textFill>
                  <w14:solidFill>
                    <w14:schemeClr w14:val="tx1"/>
                  </w14:solidFill>
                </w14:textFill>
              </w:rPr>
            </w:pPr>
            <w:r>
              <w:rPr>
                <w:rFonts w:hint="eastAsia" w:ascii="Arial"/>
                <w:color w:val="000000" w:themeColor="text1"/>
                <w:sz w:val="20"/>
                <w:lang w:eastAsia="zh-CN"/>
                <w14:textFill>
                  <w14:solidFill>
                    <w14:schemeClr w14:val="tx1"/>
                  </w14:solidFill>
                </w14:textFill>
              </w:rPr>
              <w:t>行政效能</w:t>
            </w:r>
          </w:p>
        </w:tc>
        <w:tc>
          <w:tcPr>
            <w:tcW w:w="1319" w:type="dxa"/>
            <w:noWrap w:val="0"/>
            <w:vAlign w:val="center"/>
          </w:tcPr>
          <w:p w14:paraId="28D8C9A1">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宋体"/>
                <w:color w:val="000000" w:themeColor="text1"/>
                <w:sz w:val="20"/>
                <w:lang w:val="en-US" w:eastAsia="zh-CN"/>
                <w14:textFill>
                  <w14:solidFill>
                    <w14:schemeClr w14:val="tx1"/>
                  </w14:solidFill>
                </w14:textFill>
              </w:rPr>
            </w:pPr>
            <w:r>
              <w:rPr>
                <w:rFonts w:hint="eastAsia" w:ascii="宋体" w:hAnsi="宋体" w:eastAsia="宋体" w:cs="宋体"/>
                <w:color w:val="000000" w:themeColor="text1"/>
                <w:sz w:val="20"/>
                <w:lang w:eastAsia="zh-CN"/>
                <w14:textFill>
                  <w14:solidFill>
                    <w14:schemeClr w14:val="tx1"/>
                  </w14:solidFill>
                </w14:textFill>
              </w:rPr>
              <w:t>年</w:t>
            </w:r>
          </w:p>
        </w:tc>
        <w:tc>
          <w:tcPr>
            <w:tcW w:w="1259" w:type="dxa"/>
            <w:noWrap w:val="0"/>
            <w:vAlign w:val="center"/>
          </w:tcPr>
          <w:p w14:paraId="510C7DB4">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0"/>
                <w:lang w:val="en-US" w:eastAsia="zh-CN"/>
                <w14:textFill>
                  <w14:solidFill>
                    <w14:schemeClr w14:val="tx1"/>
                  </w14:solidFill>
                </w14:textFill>
              </w:rPr>
              <w:t>2024年完成全部既定目标</w:t>
            </w:r>
          </w:p>
        </w:tc>
        <w:tc>
          <w:tcPr>
            <w:tcW w:w="719" w:type="dxa"/>
            <w:noWrap w:val="0"/>
            <w:vAlign w:val="center"/>
          </w:tcPr>
          <w:p w14:paraId="77FC8779">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10</w:t>
            </w:r>
          </w:p>
        </w:tc>
        <w:tc>
          <w:tcPr>
            <w:tcW w:w="802" w:type="dxa"/>
            <w:noWrap w:val="0"/>
            <w:vAlign w:val="center"/>
          </w:tcPr>
          <w:p w14:paraId="004EF56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10</w:t>
            </w:r>
          </w:p>
        </w:tc>
        <w:tc>
          <w:tcPr>
            <w:tcW w:w="1275" w:type="dxa"/>
            <w:noWrap w:val="0"/>
            <w:vAlign w:val="center"/>
          </w:tcPr>
          <w:p w14:paraId="0C2DC40D">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ascii="Arial"/>
                <w:color w:val="000000" w:themeColor="text1"/>
                <w:sz w:val="20"/>
                <w14:textFill>
                  <w14:solidFill>
                    <w14:schemeClr w14:val="tx1"/>
                  </w14:solidFill>
                </w14:textFill>
              </w:rPr>
            </w:pPr>
          </w:p>
        </w:tc>
      </w:tr>
      <w:tr w14:paraId="305BE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0" w:hRule="atLeast"/>
        </w:trPr>
        <w:tc>
          <w:tcPr>
            <w:tcW w:w="1084" w:type="dxa"/>
            <w:vMerge w:val="continue"/>
            <w:tcBorders>
              <w:top w:val="nil"/>
              <w:bottom w:val="nil"/>
            </w:tcBorders>
            <w:noWrap w:val="0"/>
            <w:textDirection w:val="tbRlV"/>
            <w:vAlign w:val="top"/>
          </w:tcPr>
          <w:p w14:paraId="28CCD599">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45EE1304">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restart"/>
            <w:tcBorders>
              <w:bottom w:val="nil"/>
            </w:tcBorders>
            <w:noWrap w:val="0"/>
            <w:vAlign w:val="center"/>
          </w:tcPr>
          <w:p w14:paraId="40EFF777">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成本指标</w:t>
            </w:r>
          </w:p>
        </w:tc>
        <w:tc>
          <w:tcPr>
            <w:tcW w:w="1269" w:type="dxa"/>
            <w:noWrap w:val="0"/>
            <w:vAlign w:val="center"/>
          </w:tcPr>
          <w:p w14:paraId="4E327519">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20"/>
                <w:lang w:eastAsia="zh-CN"/>
                <w14:textFill>
                  <w14:solidFill>
                    <w14:schemeClr w14:val="tx1"/>
                  </w14:solidFill>
                </w14:textFill>
              </w:rPr>
            </w:pPr>
            <w:r>
              <w:rPr>
                <w:rFonts w:hint="eastAsia" w:ascii="Arial"/>
                <w:color w:val="000000" w:themeColor="text1"/>
                <w:sz w:val="20"/>
                <w:lang w:eastAsia="zh-CN"/>
                <w14:textFill>
                  <w14:solidFill>
                    <w14:schemeClr w14:val="tx1"/>
                  </w14:solidFill>
                </w14:textFill>
              </w:rPr>
              <w:t>行政成本控制</w:t>
            </w:r>
          </w:p>
        </w:tc>
        <w:tc>
          <w:tcPr>
            <w:tcW w:w="1319" w:type="dxa"/>
            <w:noWrap w:val="0"/>
            <w:vAlign w:val="center"/>
          </w:tcPr>
          <w:p w14:paraId="2E8FC0BE">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default" w:ascii="Arial" w:eastAsia="宋体"/>
                <w:color w:val="000000" w:themeColor="text1"/>
                <w:sz w:val="20"/>
                <w:lang w:val="en-US" w:eastAsia="zh-CN"/>
                <w14:textFill>
                  <w14:solidFill>
                    <w14:schemeClr w14:val="tx1"/>
                  </w14:solidFill>
                </w14:textFill>
              </w:rPr>
            </w:pPr>
            <w:r>
              <w:rPr>
                <w:rFonts w:hint="eastAsia" w:ascii="宋体" w:hAnsi="宋体" w:eastAsia="宋体" w:cs="宋体"/>
                <w:color w:val="000000" w:themeColor="text1"/>
                <w:sz w:val="20"/>
                <w14:textFill>
                  <w14:solidFill>
                    <w14:schemeClr w14:val="tx1"/>
                  </w14:solidFill>
                </w14:textFill>
              </w:rPr>
              <w:t>“三公”经费</w:t>
            </w:r>
            <w:r>
              <w:rPr>
                <w:rFonts w:hint="eastAsia" w:ascii="宋体" w:hAnsi="宋体" w:eastAsia="宋体" w:cs="宋体"/>
                <w:color w:val="000000" w:themeColor="text1"/>
                <w:sz w:val="20"/>
                <w:lang w:val="en-US" w:eastAsia="zh-CN"/>
                <w14:textFill>
                  <w14:solidFill>
                    <w14:schemeClr w14:val="tx1"/>
                  </w14:solidFill>
                </w14:textFill>
              </w:rPr>
              <w:t>支出情况</w:t>
            </w:r>
          </w:p>
        </w:tc>
        <w:tc>
          <w:tcPr>
            <w:tcW w:w="1259" w:type="dxa"/>
            <w:noWrap w:val="0"/>
            <w:vAlign w:val="center"/>
          </w:tcPr>
          <w:p w14:paraId="55710404">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0"/>
                <w:lang w:val="en-US" w:eastAsia="zh-CN"/>
                <w14:textFill>
                  <w14:solidFill>
                    <w14:schemeClr w14:val="tx1"/>
                  </w14:solidFill>
                </w14:textFill>
              </w:rPr>
              <w:t>未发生</w:t>
            </w:r>
          </w:p>
        </w:tc>
        <w:tc>
          <w:tcPr>
            <w:tcW w:w="719" w:type="dxa"/>
            <w:noWrap w:val="0"/>
            <w:vAlign w:val="center"/>
          </w:tcPr>
          <w:p w14:paraId="23A7C658">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802" w:type="dxa"/>
            <w:noWrap w:val="0"/>
            <w:vAlign w:val="center"/>
          </w:tcPr>
          <w:p w14:paraId="0D5C26F2">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1275" w:type="dxa"/>
            <w:noWrap w:val="0"/>
            <w:vAlign w:val="center"/>
          </w:tcPr>
          <w:p w14:paraId="66EC282F">
            <w:pPr>
              <w:keepNext w:val="0"/>
              <w:keepLines w:val="0"/>
              <w:pageBreakBefore w:val="0"/>
              <w:widowControl w:val="0"/>
              <w:kinsoku/>
              <w:wordWrap/>
              <w:overflowPunct/>
              <w:topLinePunct w:val="0"/>
              <w:autoSpaceDE/>
              <w:autoSpaceDN/>
              <w:bidi w:val="0"/>
              <w:adjustRightInd/>
              <w:snapToGrid/>
              <w:spacing w:line="239" w:lineRule="exact"/>
              <w:ind w:left="0"/>
              <w:jc w:val="center"/>
              <w:textAlignment w:val="auto"/>
              <w:rPr>
                <w:rFonts w:ascii="Arial"/>
                <w:color w:val="000000" w:themeColor="text1"/>
                <w:sz w:val="20"/>
                <w14:textFill>
                  <w14:solidFill>
                    <w14:schemeClr w14:val="tx1"/>
                  </w14:solidFill>
                </w14:textFill>
              </w:rPr>
            </w:pPr>
          </w:p>
        </w:tc>
      </w:tr>
      <w:tr w14:paraId="371E7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084" w:type="dxa"/>
            <w:vMerge w:val="continue"/>
            <w:tcBorders>
              <w:top w:val="nil"/>
              <w:bottom w:val="nil"/>
            </w:tcBorders>
            <w:noWrap w:val="0"/>
            <w:textDirection w:val="tbRlV"/>
            <w:vAlign w:val="top"/>
          </w:tcPr>
          <w:p w14:paraId="6E45B625">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0B93781E">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vMerge w:val="continue"/>
            <w:tcBorders>
              <w:top w:val="nil"/>
              <w:bottom w:val="nil"/>
            </w:tcBorders>
            <w:noWrap w:val="0"/>
            <w:vAlign w:val="center"/>
          </w:tcPr>
          <w:p w14:paraId="1907E35B">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269" w:type="dxa"/>
            <w:noWrap w:val="0"/>
            <w:vAlign w:val="center"/>
          </w:tcPr>
          <w:p w14:paraId="5FC0F61B">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Arial" w:eastAsiaTheme="minorEastAsia"/>
                <w:color w:val="000000" w:themeColor="text1"/>
                <w:sz w:val="20"/>
                <w:lang w:eastAsia="zh-CN"/>
                <w14:textFill>
                  <w14:solidFill>
                    <w14:schemeClr w14:val="tx1"/>
                  </w14:solidFill>
                </w14:textFill>
              </w:rPr>
            </w:pPr>
            <w:r>
              <w:rPr>
                <w:rFonts w:hint="eastAsia" w:ascii="Arial"/>
                <w:color w:val="000000" w:themeColor="text1"/>
                <w:sz w:val="20"/>
                <w:lang w:eastAsia="zh-CN"/>
                <w14:textFill>
                  <w14:solidFill>
                    <w14:schemeClr w14:val="tx1"/>
                  </w14:solidFill>
                </w14:textFill>
              </w:rPr>
              <w:t>支出预算控制</w:t>
            </w:r>
          </w:p>
        </w:tc>
        <w:tc>
          <w:tcPr>
            <w:tcW w:w="1319" w:type="dxa"/>
            <w:noWrap w:val="0"/>
            <w:vAlign w:val="center"/>
          </w:tcPr>
          <w:p w14:paraId="08273AA5">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Arial"/>
                <w:color w:val="000000" w:themeColor="text1"/>
                <w:sz w:val="20"/>
                <w:lang w:eastAsia="zh-CN"/>
                <w14:textFill>
                  <w14:solidFill>
                    <w14:schemeClr w14:val="tx1"/>
                  </w14:solidFill>
                </w14:textFill>
              </w:rPr>
            </w:pPr>
            <w:r>
              <w:rPr>
                <w:rFonts w:hint="eastAsia" w:ascii="Arial"/>
                <w:color w:val="000000" w:themeColor="text1"/>
                <w:sz w:val="20"/>
                <w:lang w:eastAsia="zh-CN"/>
                <w14:textFill>
                  <w14:solidFill>
                    <w14:schemeClr w14:val="tx1"/>
                  </w14:solidFill>
                </w14:textFill>
              </w:rPr>
              <w:t>≤</w:t>
            </w:r>
            <w:r>
              <w:rPr>
                <w:rFonts w:hint="eastAsia" w:ascii="Arial"/>
                <w:color w:val="000000" w:themeColor="text1"/>
                <w:sz w:val="18"/>
                <w:szCs w:val="18"/>
                <w:lang w:val="en-US" w:eastAsia="zh-CN"/>
                <w14:textFill>
                  <w14:solidFill>
                    <w14:schemeClr w14:val="tx1"/>
                  </w14:solidFill>
                </w14:textFill>
              </w:rPr>
              <w:t>2970.22</w:t>
            </w:r>
            <w:r>
              <w:rPr>
                <w:rFonts w:hint="eastAsia" w:ascii="Arial"/>
                <w:color w:val="000000" w:themeColor="text1"/>
                <w:sz w:val="20"/>
                <w:lang w:eastAsia="zh-CN"/>
                <w14:textFill>
                  <w14:solidFill>
                    <w14:schemeClr w14:val="tx1"/>
                  </w14:solidFill>
                </w14:textFill>
              </w:rPr>
              <w:t>万</w:t>
            </w:r>
          </w:p>
        </w:tc>
        <w:tc>
          <w:tcPr>
            <w:tcW w:w="1259" w:type="dxa"/>
            <w:noWrap w:val="0"/>
            <w:vAlign w:val="center"/>
          </w:tcPr>
          <w:p w14:paraId="190A4F93">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Arial"/>
                <w:color w:val="000000" w:themeColor="text1"/>
                <w:sz w:val="20"/>
                <w:lang w:val="en-US" w:eastAsia="zh-CN"/>
                <w14:textFill>
                  <w14:solidFill>
                    <w14:schemeClr w14:val="tx1"/>
                  </w14:solidFill>
                </w14:textFill>
              </w:rPr>
            </w:pPr>
            <w:r>
              <w:rPr>
                <w:rFonts w:hint="eastAsia" w:ascii="Arial"/>
                <w:color w:val="000000" w:themeColor="text1"/>
                <w:sz w:val="18"/>
                <w:szCs w:val="18"/>
                <w:lang w:val="en-US" w:eastAsia="zh-CN"/>
                <w14:textFill>
                  <w14:solidFill>
                    <w14:schemeClr w14:val="tx1"/>
                  </w14:solidFill>
                </w14:textFill>
              </w:rPr>
              <w:t>2970.22</w:t>
            </w:r>
            <w:r>
              <w:rPr>
                <w:rFonts w:hint="eastAsia" w:ascii="Arial"/>
                <w:color w:val="000000" w:themeColor="text1"/>
                <w:sz w:val="20"/>
                <w:lang w:val="en-US" w:eastAsia="zh-CN"/>
                <w14:textFill>
                  <w14:solidFill>
                    <w14:schemeClr w14:val="tx1"/>
                  </w14:solidFill>
                </w14:textFill>
              </w:rPr>
              <w:t>万</w:t>
            </w:r>
          </w:p>
        </w:tc>
        <w:tc>
          <w:tcPr>
            <w:tcW w:w="719" w:type="dxa"/>
            <w:noWrap w:val="0"/>
            <w:vAlign w:val="center"/>
          </w:tcPr>
          <w:p w14:paraId="09A6AC5A">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802" w:type="dxa"/>
            <w:noWrap w:val="0"/>
            <w:vAlign w:val="center"/>
          </w:tcPr>
          <w:p w14:paraId="788413A2">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1275" w:type="dxa"/>
            <w:noWrap w:val="0"/>
            <w:vAlign w:val="center"/>
          </w:tcPr>
          <w:p w14:paraId="6E531DC9">
            <w:pPr>
              <w:keepNext w:val="0"/>
              <w:keepLines w:val="0"/>
              <w:pageBreakBefore w:val="0"/>
              <w:widowControl w:val="0"/>
              <w:kinsoku/>
              <w:wordWrap/>
              <w:overflowPunct/>
              <w:topLinePunct w:val="0"/>
              <w:autoSpaceDE/>
              <w:autoSpaceDN/>
              <w:bidi w:val="0"/>
              <w:adjustRightInd/>
              <w:snapToGrid/>
              <w:spacing w:line="230" w:lineRule="exact"/>
              <w:ind w:left="0"/>
              <w:jc w:val="center"/>
              <w:textAlignment w:val="auto"/>
              <w:rPr>
                <w:rFonts w:hint="eastAsia" w:ascii="Arial" w:eastAsiaTheme="minorEastAsia"/>
                <w:color w:val="000000" w:themeColor="text1"/>
                <w:sz w:val="20"/>
                <w:lang w:val="en-US" w:eastAsia="zh-CN"/>
                <w14:textFill>
                  <w14:solidFill>
                    <w14:schemeClr w14:val="tx1"/>
                  </w14:solidFill>
                </w14:textFill>
              </w:rPr>
            </w:pPr>
          </w:p>
        </w:tc>
      </w:tr>
      <w:tr w14:paraId="1A21FB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84" w:type="dxa"/>
            <w:vMerge w:val="continue"/>
            <w:tcBorders>
              <w:top w:val="nil"/>
              <w:bottom w:val="nil"/>
            </w:tcBorders>
            <w:noWrap w:val="0"/>
            <w:textDirection w:val="tbRlV"/>
            <w:vAlign w:val="top"/>
          </w:tcPr>
          <w:p w14:paraId="6E20FAC8">
            <w:pPr>
              <w:rPr>
                <w:rFonts w:ascii="Arial"/>
                <w:color w:val="000000" w:themeColor="text1"/>
                <w:sz w:val="21"/>
                <w14:textFill>
                  <w14:solidFill>
                    <w14:schemeClr w14:val="tx1"/>
                  </w14:solidFill>
                </w14:textFill>
              </w:rPr>
            </w:pPr>
          </w:p>
        </w:tc>
        <w:tc>
          <w:tcPr>
            <w:tcW w:w="1079" w:type="dxa"/>
            <w:vMerge w:val="restart"/>
            <w:noWrap w:val="0"/>
            <w:vAlign w:val="center"/>
          </w:tcPr>
          <w:p w14:paraId="01CB1C44">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ascii="Arial"/>
                <w:color w:val="000000" w:themeColor="text1"/>
                <w:sz w:val="21"/>
                <w:highlight w:val="none"/>
                <w14:textFill>
                  <w14:solidFill>
                    <w14:schemeClr w14:val="tx1"/>
                  </w14:solidFill>
                </w14:textFill>
              </w:rPr>
            </w:pPr>
          </w:p>
          <w:p w14:paraId="7BE55E1E">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highlight w:val="none"/>
                <w14:textFill>
                  <w14:solidFill>
                    <w14:schemeClr w14:val="tx1"/>
                  </w14:solidFill>
                </w14:textFill>
              </w:rPr>
            </w:pPr>
          </w:p>
          <w:p w14:paraId="51FF115A">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highlight w:val="none"/>
                <w14:textFill>
                  <w14:solidFill>
                    <w14:schemeClr w14:val="tx1"/>
                  </w14:solidFill>
                </w14:textFill>
              </w:rPr>
            </w:pPr>
          </w:p>
          <w:p w14:paraId="5CEA4526">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ascii="Arial"/>
                <w:color w:val="000000" w:themeColor="text1"/>
                <w:sz w:val="21"/>
                <w:highlight w:val="none"/>
                <w14:textFill>
                  <w14:solidFill>
                    <w14:schemeClr w14:val="tx1"/>
                  </w14:solidFill>
                </w14:textFill>
              </w:rPr>
            </w:pPr>
          </w:p>
          <w:p w14:paraId="3CE77B9A">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pacing w:val="2"/>
                <w:position w:val="21"/>
                <w:sz w:val="21"/>
                <w:szCs w:val="21"/>
                <w:highlight w:val="none"/>
                <w14:textFill>
                  <w14:solidFill>
                    <w14:schemeClr w14:val="tx1"/>
                  </w14:solidFill>
                </w14:textFill>
              </w:rPr>
              <w:t>效益指标</w:t>
            </w:r>
          </w:p>
          <w:p w14:paraId="459FF2A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pacing w:val="9"/>
                <w:sz w:val="21"/>
                <w:szCs w:val="21"/>
                <w:highlight w:val="none"/>
                <w14:textFill>
                  <w14:solidFill>
                    <w14:schemeClr w14:val="tx1"/>
                  </w14:solidFill>
                </w14:textFill>
              </w:rPr>
              <w:t>(30分)</w:t>
            </w:r>
          </w:p>
        </w:tc>
        <w:tc>
          <w:tcPr>
            <w:tcW w:w="1029" w:type="dxa"/>
            <w:vMerge w:val="restart"/>
            <w:noWrap w:val="0"/>
            <w:vAlign w:val="center"/>
          </w:tcPr>
          <w:p w14:paraId="20A4DB36">
            <w:pPr>
              <w:keepNext w:val="0"/>
              <w:keepLines w:val="0"/>
              <w:pageBreakBefore w:val="0"/>
              <w:widowControl w:val="0"/>
              <w:kinsoku/>
              <w:wordWrap/>
              <w:overflowPunct/>
              <w:topLinePunct w:val="0"/>
              <w:autoSpaceDE/>
              <w:autoSpaceDN/>
              <w:bidi w:val="0"/>
              <w:adjustRightInd/>
              <w:snapToGrid/>
              <w:spacing w:line="237"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生态效</w:t>
            </w:r>
          </w:p>
          <w:p w14:paraId="21F8E42F">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益指标</w:t>
            </w:r>
          </w:p>
        </w:tc>
        <w:tc>
          <w:tcPr>
            <w:tcW w:w="1269" w:type="dxa"/>
            <w:noWrap w:val="0"/>
            <w:vAlign w:val="center"/>
          </w:tcPr>
          <w:p w14:paraId="375E1EF4">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eastAsiaTheme="minorEastAsia"/>
                <w:color w:val="000000" w:themeColor="text1"/>
                <w:sz w:val="20"/>
                <w:lang w:eastAsia="zh-CN"/>
                <w14:textFill>
                  <w14:solidFill>
                    <w14:schemeClr w14:val="tx1"/>
                  </w14:solidFill>
                </w14:textFill>
              </w:rPr>
            </w:pPr>
            <w:r>
              <w:rPr>
                <w:rFonts w:hint="eastAsia" w:ascii="宋体" w:hAnsi="宋体" w:eastAsia="宋体" w:cs="宋体"/>
                <w:color w:val="000000" w:themeColor="text1"/>
                <w:sz w:val="20"/>
                <w14:textFill>
                  <w14:solidFill>
                    <w14:schemeClr w14:val="tx1"/>
                  </w14:solidFill>
                </w14:textFill>
              </w:rPr>
              <w:t>辖区应清理的垃圾全面清理完毕</w:t>
            </w:r>
          </w:p>
        </w:tc>
        <w:tc>
          <w:tcPr>
            <w:tcW w:w="1319" w:type="dxa"/>
            <w:noWrap w:val="0"/>
            <w:vAlign w:val="center"/>
          </w:tcPr>
          <w:p w14:paraId="489E1F7E">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宋体"/>
                <w:color w:val="000000" w:themeColor="text1"/>
                <w:sz w:val="20"/>
                <w:lang w:val="en-US" w:eastAsia="zh-CN"/>
                <w14:textFill>
                  <w14:solidFill>
                    <w14:schemeClr w14:val="tx1"/>
                  </w14:solidFill>
                </w14:textFill>
              </w:rPr>
            </w:pPr>
            <w:r>
              <w:rPr>
                <w:rFonts w:hint="eastAsia" w:ascii="宋体" w:hAnsi="宋体" w:eastAsia="宋体" w:cs="宋体"/>
                <w:color w:val="000000" w:themeColor="text1"/>
                <w:sz w:val="20"/>
                <w:lang w:val="en-US" w:eastAsia="zh-CN"/>
                <w14:textFill>
                  <w14:solidFill>
                    <w14:schemeClr w14:val="tx1"/>
                  </w14:solidFill>
                </w14:textFill>
              </w:rPr>
              <w:t>≥98%</w:t>
            </w:r>
          </w:p>
        </w:tc>
        <w:tc>
          <w:tcPr>
            <w:tcW w:w="1259" w:type="dxa"/>
            <w:noWrap w:val="0"/>
            <w:vAlign w:val="center"/>
          </w:tcPr>
          <w:p w14:paraId="207A74C3">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宋体" w:hAnsi="宋体" w:eastAsia="宋体" w:cs="宋体"/>
                <w:color w:val="000000" w:themeColor="text1"/>
                <w:sz w:val="20"/>
                <w:lang w:val="en-US" w:eastAsia="zh-CN"/>
                <w14:textFill>
                  <w14:solidFill>
                    <w14:schemeClr w14:val="tx1"/>
                  </w14:solidFill>
                </w14:textFill>
              </w:rPr>
              <w:t>100%</w:t>
            </w:r>
          </w:p>
        </w:tc>
        <w:tc>
          <w:tcPr>
            <w:tcW w:w="719" w:type="dxa"/>
            <w:noWrap w:val="0"/>
            <w:vAlign w:val="center"/>
          </w:tcPr>
          <w:p w14:paraId="0C21EC82">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802" w:type="dxa"/>
            <w:noWrap w:val="0"/>
            <w:vAlign w:val="center"/>
          </w:tcPr>
          <w:p w14:paraId="72720905">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1275" w:type="dxa"/>
            <w:vMerge w:val="restart"/>
            <w:noWrap w:val="0"/>
            <w:vAlign w:val="center"/>
          </w:tcPr>
          <w:p w14:paraId="6EE3ABFE">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z w:val="20"/>
                <w14:textFill>
                  <w14:solidFill>
                    <w14:schemeClr w14:val="tx1"/>
                  </w14:solidFill>
                </w14:textFill>
              </w:rPr>
            </w:pPr>
          </w:p>
        </w:tc>
      </w:tr>
      <w:tr w14:paraId="76A59D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5" w:hRule="atLeast"/>
        </w:trPr>
        <w:tc>
          <w:tcPr>
            <w:tcW w:w="1084" w:type="dxa"/>
            <w:vMerge w:val="continue"/>
            <w:tcBorders>
              <w:bottom w:val="nil"/>
            </w:tcBorders>
            <w:noWrap w:val="0"/>
            <w:textDirection w:val="tbRlV"/>
            <w:vAlign w:val="top"/>
          </w:tcPr>
          <w:p w14:paraId="7909D9D1">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pPr>
          </w:p>
        </w:tc>
        <w:tc>
          <w:tcPr>
            <w:tcW w:w="1079" w:type="dxa"/>
            <w:vMerge w:val="continue"/>
            <w:tcBorders>
              <w:bottom w:val="nil"/>
            </w:tcBorders>
            <w:noWrap w:val="0"/>
            <w:vAlign w:val="center"/>
          </w:tcPr>
          <w:p w14:paraId="47155265">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pPr>
          </w:p>
        </w:tc>
        <w:tc>
          <w:tcPr>
            <w:tcW w:w="1029" w:type="dxa"/>
            <w:vMerge w:val="continue"/>
            <w:noWrap w:val="0"/>
            <w:vAlign w:val="center"/>
          </w:tcPr>
          <w:p w14:paraId="016BF78B">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pPr>
          </w:p>
        </w:tc>
        <w:tc>
          <w:tcPr>
            <w:tcW w:w="1269" w:type="dxa"/>
            <w:noWrap w:val="0"/>
            <w:vAlign w:val="center"/>
          </w:tcPr>
          <w:p w14:paraId="2EECEC50">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color w:val="000000" w:themeColor="text1"/>
                <w:sz w:val="20"/>
                <w:lang w:eastAsia="zh-CN"/>
                <w14:textFill>
                  <w14:solidFill>
                    <w14:schemeClr w14:val="tx1"/>
                  </w14:solidFill>
                </w14:textFill>
              </w:rPr>
            </w:pPr>
            <w:r>
              <w:rPr>
                <w:rFonts w:hint="eastAsia" w:ascii="Arial"/>
                <w:color w:val="000000" w:themeColor="text1"/>
                <w:sz w:val="20"/>
                <w:lang w:eastAsia="zh-CN"/>
                <w14:textFill>
                  <w14:solidFill>
                    <w14:schemeClr w14:val="tx1"/>
                  </w14:solidFill>
                </w14:textFill>
              </w:rPr>
              <w:t>辖区</w:t>
            </w:r>
            <w:r>
              <w:rPr>
                <w:rFonts w:hint="eastAsia" w:ascii="Arial"/>
                <w:color w:val="000000" w:themeColor="text1"/>
                <w:sz w:val="20"/>
                <w:lang w:val="en-US" w:eastAsia="zh-CN"/>
                <w14:textFill>
                  <w14:solidFill>
                    <w14:schemeClr w14:val="tx1"/>
                  </w14:solidFill>
                </w14:textFill>
              </w:rPr>
              <w:t>水面清理</w:t>
            </w:r>
            <w:r>
              <w:rPr>
                <w:rFonts w:hint="eastAsia" w:ascii="Arial"/>
                <w:color w:val="000000" w:themeColor="text1"/>
                <w:sz w:val="20"/>
                <w:lang w:eastAsia="zh-CN"/>
                <w14:textFill>
                  <w14:solidFill>
                    <w14:schemeClr w14:val="tx1"/>
                  </w14:solidFill>
                </w14:textFill>
              </w:rPr>
              <w:t>整治完毕</w:t>
            </w:r>
          </w:p>
        </w:tc>
        <w:tc>
          <w:tcPr>
            <w:tcW w:w="1319" w:type="dxa"/>
            <w:noWrap w:val="0"/>
            <w:vAlign w:val="center"/>
          </w:tcPr>
          <w:p w14:paraId="744B8EA2">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color w:val="000000" w:themeColor="text1"/>
                <w:sz w:val="20"/>
                <w:lang w:eastAsia="zh-CN"/>
                <w14:textFill>
                  <w14:solidFill>
                    <w14:schemeClr w14:val="tx1"/>
                  </w14:solidFill>
                </w14:textFill>
              </w:rPr>
            </w:pPr>
            <w:r>
              <w:rPr>
                <w:rFonts w:hint="eastAsia" w:ascii="宋体" w:hAnsi="宋体" w:eastAsia="宋体" w:cs="宋体"/>
                <w:color w:val="000000" w:themeColor="text1"/>
                <w:sz w:val="20"/>
                <w:lang w:val="en-US" w:eastAsia="zh-CN"/>
                <w14:textFill>
                  <w14:solidFill>
                    <w14:schemeClr w14:val="tx1"/>
                  </w14:solidFill>
                </w14:textFill>
              </w:rPr>
              <w:t>≥98%</w:t>
            </w:r>
          </w:p>
        </w:tc>
        <w:tc>
          <w:tcPr>
            <w:tcW w:w="1259" w:type="dxa"/>
            <w:noWrap w:val="0"/>
            <w:vAlign w:val="center"/>
          </w:tcPr>
          <w:p w14:paraId="0CD6C674">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color w:val="000000" w:themeColor="text1"/>
                <w:sz w:val="20"/>
                <w:lang w:eastAsia="zh-CN"/>
                <w14:textFill>
                  <w14:solidFill>
                    <w14:schemeClr w14:val="tx1"/>
                  </w14:solidFill>
                </w14:textFill>
              </w:rPr>
            </w:pPr>
            <w:r>
              <w:rPr>
                <w:rFonts w:hint="eastAsia" w:ascii="宋体" w:hAnsi="宋体" w:eastAsia="宋体" w:cs="宋体"/>
                <w:color w:val="000000" w:themeColor="text1"/>
                <w:sz w:val="20"/>
                <w:lang w:val="en-US" w:eastAsia="zh-CN"/>
                <w14:textFill>
                  <w14:solidFill>
                    <w14:schemeClr w14:val="tx1"/>
                  </w14:solidFill>
                </w14:textFill>
              </w:rPr>
              <w:t>100%</w:t>
            </w:r>
          </w:p>
        </w:tc>
        <w:tc>
          <w:tcPr>
            <w:tcW w:w="719" w:type="dxa"/>
            <w:noWrap w:val="0"/>
            <w:vAlign w:val="center"/>
          </w:tcPr>
          <w:p w14:paraId="19960D93">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802" w:type="dxa"/>
            <w:noWrap w:val="0"/>
            <w:vAlign w:val="center"/>
          </w:tcPr>
          <w:p w14:paraId="197681FA">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5</w:t>
            </w:r>
          </w:p>
        </w:tc>
        <w:tc>
          <w:tcPr>
            <w:tcW w:w="1275" w:type="dxa"/>
            <w:vMerge w:val="continue"/>
            <w:noWrap w:val="0"/>
            <w:vAlign w:val="center"/>
          </w:tcPr>
          <w:p w14:paraId="3C13FC91">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color w:val="000000" w:themeColor="text1"/>
                <w:sz w:val="20"/>
                <w:lang w:eastAsia="zh-CN"/>
                <w14:textFill>
                  <w14:solidFill>
                    <w14:schemeClr w14:val="tx1"/>
                  </w14:solidFill>
                </w14:textFill>
              </w:rPr>
            </w:pPr>
          </w:p>
        </w:tc>
      </w:tr>
      <w:tr w14:paraId="45132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trPr>
        <w:tc>
          <w:tcPr>
            <w:tcW w:w="1084" w:type="dxa"/>
            <w:vMerge w:val="continue"/>
            <w:tcBorders>
              <w:top w:val="nil"/>
              <w:bottom w:val="nil"/>
            </w:tcBorders>
            <w:noWrap w:val="0"/>
            <w:textDirection w:val="tbRlV"/>
            <w:vAlign w:val="top"/>
          </w:tcPr>
          <w:p w14:paraId="24113D8D">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666D69AA">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tcBorders>
              <w:bottom w:val="nil"/>
            </w:tcBorders>
            <w:noWrap w:val="0"/>
            <w:vAlign w:val="center"/>
          </w:tcPr>
          <w:p w14:paraId="030EAABB">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3"/>
                <w:sz w:val="21"/>
                <w:szCs w:val="21"/>
                <w:highlight w:val="none"/>
                <w14:textFill>
                  <w14:solidFill>
                    <w14:schemeClr w14:val="tx1"/>
                  </w14:solidFill>
                </w14:textFill>
              </w:rPr>
              <w:t>可持续影响指标</w:t>
            </w:r>
          </w:p>
        </w:tc>
        <w:tc>
          <w:tcPr>
            <w:tcW w:w="1269" w:type="dxa"/>
            <w:noWrap w:val="0"/>
            <w:vAlign w:val="center"/>
          </w:tcPr>
          <w:p w14:paraId="0243BDE8">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eastAsia" w:ascii="Arial" w:eastAsiaTheme="minorEastAsia"/>
                <w:color w:val="000000" w:themeColor="text1"/>
                <w:sz w:val="20"/>
                <w:lang w:eastAsia="zh-CN"/>
                <w14:textFill>
                  <w14:solidFill>
                    <w14:schemeClr w14:val="tx1"/>
                  </w14:solidFill>
                </w14:textFill>
              </w:rPr>
            </w:pPr>
            <w:r>
              <w:rPr>
                <w:rFonts w:hint="eastAsia" w:ascii="Arial"/>
                <w:color w:val="000000" w:themeColor="text1"/>
                <w:sz w:val="20"/>
                <w:lang w:eastAsia="zh-CN"/>
                <w14:textFill>
                  <w14:solidFill>
                    <w14:schemeClr w14:val="tx1"/>
                  </w14:solidFill>
                </w14:textFill>
              </w:rPr>
              <w:t>《街道班子成员党风廉政建设责任分解表》</w:t>
            </w:r>
          </w:p>
        </w:tc>
        <w:tc>
          <w:tcPr>
            <w:tcW w:w="1319" w:type="dxa"/>
            <w:noWrap w:val="0"/>
            <w:vAlign w:val="center"/>
          </w:tcPr>
          <w:p w14:paraId="670EB84E">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宋体"/>
                <w:color w:val="000000" w:themeColor="text1"/>
                <w:sz w:val="20"/>
                <w:lang w:val="en-US" w:eastAsia="zh-CN"/>
                <w14:textFill>
                  <w14:solidFill>
                    <w14:schemeClr w14:val="tx1"/>
                  </w14:solidFill>
                </w14:textFill>
              </w:rPr>
            </w:pPr>
            <w:r>
              <w:rPr>
                <w:rFonts w:hint="eastAsia" w:ascii="宋体" w:hAnsi="宋体" w:eastAsia="宋体" w:cs="宋体"/>
                <w:color w:val="000000" w:themeColor="text1"/>
                <w:sz w:val="20"/>
                <w:lang w:val="en-US" w:eastAsia="zh-CN"/>
                <w14:textFill>
                  <w14:solidFill>
                    <w14:schemeClr w14:val="tx1"/>
                  </w14:solidFill>
                </w14:textFill>
              </w:rPr>
              <w:t>有效施行</w:t>
            </w:r>
          </w:p>
        </w:tc>
        <w:tc>
          <w:tcPr>
            <w:tcW w:w="1259" w:type="dxa"/>
            <w:noWrap w:val="0"/>
            <w:vAlign w:val="center"/>
          </w:tcPr>
          <w:p w14:paraId="30F35349">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宋体" w:hAnsi="宋体" w:eastAsia="宋体" w:cs="宋体"/>
                <w:color w:val="000000" w:themeColor="text1"/>
                <w:sz w:val="20"/>
                <w:lang w:val="en-US" w:eastAsia="zh-CN"/>
                <w14:textFill>
                  <w14:solidFill>
                    <w14:schemeClr w14:val="tx1"/>
                  </w14:solidFill>
                </w14:textFill>
              </w:rPr>
              <w:t>有效施行</w:t>
            </w:r>
          </w:p>
        </w:tc>
        <w:tc>
          <w:tcPr>
            <w:tcW w:w="719" w:type="dxa"/>
            <w:noWrap w:val="0"/>
            <w:vAlign w:val="center"/>
          </w:tcPr>
          <w:p w14:paraId="5D967C6E">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10</w:t>
            </w:r>
          </w:p>
        </w:tc>
        <w:tc>
          <w:tcPr>
            <w:tcW w:w="802" w:type="dxa"/>
            <w:noWrap w:val="0"/>
            <w:vAlign w:val="center"/>
          </w:tcPr>
          <w:p w14:paraId="2DD8F012">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hint="default" w:ascii="Arial" w:eastAsiaTheme="minorEastAsia"/>
                <w:color w:val="000000" w:themeColor="text1"/>
                <w:sz w:val="20"/>
                <w:lang w:val="en-US" w:eastAsia="zh-CN"/>
                <w14:textFill>
                  <w14:solidFill>
                    <w14:schemeClr w14:val="tx1"/>
                  </w14:solidFill>
                </w14:textFill>
              </w:rPr>
            </w:pPr>
            <w:r>
              <w:rPr>
                <w:rFonts w:hint="eastAsia" w:ascii="Arial"/>
                <w:color w:val="000000" w:themeColor="text1"/>
                <w:sz w:val="20"/>
                <w:lang w:val="en-US" w:eastAsia="zh-CN"/>
                <w14:textFill>
                  <w14:solidFill>
                    <w14:schemeClr w14:val="tx1"/>
                  </w14:solidFill>
                </w14:textFill>
              </w:rPr>
              <w:t>10</w:t>
            </w:r>
          </w:p>
        </w:tc>
        <w:tc>
          <w:tcPr>
            <w:tcW w:w="1275" w:type="dxa"/>
            <w:noWrap w:val="0"/>
            <w:vAlign w:val="center"/>
          </w:tcPr>
          <w:p w14:paraId="4F88E451">
            <w:pPr>
              <w:keepNext w:val="0"/>
              <w:keepLines w:val="0"/>
              <w:pageBreakBefore w:val="0"/>
              <w:widowControl w:val="0"/>
              <w:kinsoku/>
              <w:wordWrap/>
              <w:overflowPunct/>
              <w:topLinePunct w:val="0"/>
              <w:autoSpaceDE/>
              <w:autoSpaceDN/>
              <w:bidi w:val="0"/>
              <w:adjustRightInd/>
              <w:snapToGrid/>
              <w:spacing w:line="240" w:lineRule="exact"/>
              <w:ind w:left="0"/>
              <w:jc w:val="center"/>
              <w:textAlignment w:val="auto"/>
              <w:rPr>
                <w:rFonts w:ascii="Arial"/>
                <w:color w:val="000000" w:themeColor="text1"/>
                <w:sz w:val="20"/>
                <w14:textFill>
                  <w14:solidFill>
                    <w14:schemeClr w14:val="tx1"/>
                  </w14:solidFill>
                </w14:textFill>
              </w:rPr>
            </w:pPr>
          </w:p>
        </w:tc>
      </w:tr>
      <w:tr w14:paraId="15623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084" w:type="dxa"/>
            <w:vMerge w:val="continue"/>
            <w:tcBorders>
              <w:top w:val="nil"/>
              <w:bottom w:val="nil"/>
            </w:tcBorders>
            <w:noWrap w:val="0"/>
            <w:textDirection w:val="tbRlV"/>
            <w:vAlign w:val="top"/>
          </w:tcPr>
          <w:p w14:paraId="0A638233">
            <w:pPr>
              <w:rPr>
                <w:rFonts w:ascii="Arial"/>
                <w:color w:val="000000" w:themeColor="text1"/>
                <w:sz w:val="21"/>
                <w14:textFill>
                  <w14:solidFill>
                    <w14:schemeClr w14:val="tx1"/>
                  </w14:solidFill>
                </w14:textFill>
              </w:rPr>
            </w:pPr>
          </w:p>
        </w:tc>
        <w:tc>
          <w:tcPr>
            <w:tcW w:w="1079" w:type="dxa"/>
            <w:vMerge w:val="continue"/>
            <w:tcBorders>
              <w:top w:val="nil"/>
              <w:bottom w:val="nil"/>
            </w:tcBorders>
            <w:noWrap w:val="0"/>
            <w:vAlign w:val="center"/>
          </w:tcPr>
          <w:p w14:paraId="110CD54B">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c>
          <w:tcPr>
            <w:tcW w:w="1029" w:type="dxa"/>
            <w:noWrap w:val="0"/>
            <w:vAlign w:val="center"/>
          </w:tcPr>
          <w:p w14:paraId="5C4FE9F5">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2"/>
                <w:sz w:val="21"/>
                <w:szCs w:val="21"/>
                <w:highlight w:val="none"/>
                <w14:textFill>
                  <w14:solidFill>
                    <w14:schemeClr w14:val="tx1"/>
                  </w14:solidFill>
                </w14:textFill>
              </w:rPr>
              <w:t>社会效益</w:t>
            </w:r>
          </w:p>
        </w:tc>
        <w:tc>
          <w:tcPr>
            <w:tcW w:w="1269" w:type="dxa"/>
            <w:noWrap w:val="0"/>
            <w:vAlign w:val="center"/>
          </w:tcPr>
          <w:p w14:paraId="708B478D">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Arial" w:hAnsiTheme="minorHAnsi" w:eastAsiaTheme="minorEastAsia" w:cstheme="minorBidi"/>
                <w:color w:val="000000" w:themeColor="text1"/>
                <w:kern w:val="2"/>
                <w:sz w:val="21"/>
                <w:szCs w:val="24"/>
                <w:lang w:val="en-US" w:eastAsia="zh-CN" w:bidi="ar-SA"/>
                <w14:textFill>
                  <w14:solidFill>
                    <w14:schemeClr w14:val="tx1"/>
                  </w14:solidFill>
                </w14:textFill>
              </w:rPr>
            </w:pPr>
            <w:r>
              <w:rPr>
                <w:rFonts w:hint="eastAsia" w:ascii="Arial"/>
                <w:color w:val="000000" w:themeColor="text1"/>
                <w:sz w:val="21"/>
                <w:lang w:eastAsia="zh-CN"/>
                <w14:textFill>
                  <w14:solidFill>
                    <w14:schemeClr w14:val="tx1"/>
                  </w14:solidFill>
                </w14:textFill>
              </w:rPr>
              <w:t>民生改善程度</w:t>
            </w:r>
          </w:p>
        </w:tc>
        <w:tc>
          <w:tcPr>
            <w:tcW w:w="1319" w:type="dxa"/>
            <w:noWrap w:val="0"/>
            <w:vAlign w:val="center"/>
          </w:tcPr>
          <w:p w14:paraId="7D4C693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Arial" w:hAnsiTheme="minorHAnsi" w:eastAsiaTheme="minorEastAsia" w:cstheme="minorBidi"/>
                <w:color w:val="000000" w:themeColor="text1"/>
                <w:kern w:val="2"/>
                <w:sz w:val="21"/>
                <w:szCs w:val="24"/>
                <w:lang w:val="en-US" w:eastAsia="zh-CN" w:bidi="ar-SA"/>
                <w14:textFill>
                  <w14:solidFill>
                    <w14:schemeClr w14:val="tx1"/>
                  </w14:solidFill>
                </w14:textFill>
              </w:rPr>
            </w:pPr>
            <w:r>
              <w:rPr>
                <w:rFonts w:hint="eastAsia" w:ascii="Arial"/>
                <w:color w:val="000000" w:themeColor="text1"/>
                <w:sz w:val="21"/>
                <w:lang w:eastAsia="zh-CN"/>
                <w14:textFill>
                  <w14:solidFill>
                    <w14:schemeClr w14:val="tx1"/>
                  </w14:solidFill>
                </w14:textFill>
              </w:rPr>
              <w:t>较大改善</w:t>
            </w:r>
          </w:p>
        </w:tc>
        <w:tc>
          <w:tcPr>
            <w:tcW w:w="1259" w:type="dxa"/>
            <w:noWrap w:val="0"/>
            <w:vAlign w:val="center"/>
          </w:tcPr>
          <w:p w14:paraId="059FA442">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11"/>
                <w:szCs w:val="11"/>
                <w:lang w:val="en-US" w:eastAsia="zh-CN"/>
                <w14:textFill>
                  <w14:solidFill>
                    <w14:schemeClr w14:val="tx1"/>
                  </w14:solidFill>
                </w14:textFill>
              </w:rPr>
            </w:pPr>
            <w:r>
              <w:rPr>
                <w:rFonts w:hint="eastAsia" w:ascii="Arial"/>
                <w:color w:val="000000" w:themeColor="text1"/>
                <w:sz w:val="21"/>
                <w:lang w:eastAsia="zh-CN"/>
                <w14:textFill>
                  <w14:solidFill>
                    <w14:schemeClr w14:val="tx1"/>
                  </w14:solidFill>
                </w14:textFill>
              </w:rPr>
              <w:t>较大改善</w:t>
            </w:r>
          </w:p>
        </w:tc>
        <w:tc>
          <w:tcPr>
            <w:tcW w:w="719" w:type="dxa"/>
            <w:noWrap w:val="0"/>
            <w:vAlign w:val="center"/>
          </w:tcPr>
          <w:p w14:paraId="2E144E53">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10</w:t>
            </w:r>
          </w:p>
        </w:tc>
        <w:tc>
          <w:tcPr>
            <w:tcW w:w="802" w:type="dxa"/>
            <w:noWrap w:val="0"/>
            <w:vAlign w:val="center"/>
          </w:tcPr>
          <w:p w14:paraId="17EDE63C">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10</w:t>
            </w:r>
          </w:p>
        </w:tc>
        <w:tc>
          <w:tcPr>
            <w:tcW w:w="1275" w:type="dxa"/>
            <w:noWrap w:val="0"/>
            <w:vAlign w:val="center"/>
          </w:tcPr>
          <w:p w14:paraId="06FFFA4D">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r>
      <w:tr w14:paraId="69EBE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1084" w:type="dxa"/>
            <w:vMerge w:val="continue"/>
            <w:tcBorders>
              <w:top w:val="nil"/>
              <w:bottom w:val="nil"/>
            </w:tcBorders>
            <w:noWrap w:val="0"/>
            <w:textDirection w:val="tbRlV"/>
            <w:vAlign w:val="top"/>
          </w:tcPr>
          <w:p w14:paraId="59C469C9">
            <w:pPr>
              <w:rPr>
                <w:rFonts w:ascii="Arial"/>
                <w:color w:val="000000" w:themeColor="text1"/>
                <w:sz w:val="21"/>
                <w14:textFill>
                  <w14:solidFill>
                    <w14:schemeClr w14:val="tx1"/>
                  </w14:solidFill>
                </w14:textFill>
              </w:rPr>
            </w:pPr>
          </w:p>
        </w:tc>
        <w:tc>
          <w:tcPr>
            <w:tcW w:w="1079" w:type="dxa"/>
            <w:tcBorders>
              <w:bottom w:val="nil"/>
            </w:tcBorders>
            <w:noWrap w:val="0"/>
            <w:vAlign w:val="center"/>
          </w:tcPr>
          <w:p w14:paraId="640080E4">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pacing w:val="4"/>
                <w:sz w:val="21"/>
                <w:szCs w:val="21"/>
                <w:highlight w:val="none"/>
                <w14:textFill>
                  <w14:solidFill>
                    <w14:schemeClr w14:val="tx1"/>
                  </w14:solidFill>
                </w14:textFill>
              </w:rPr>
              <w:t>满意度</w:t>
            </w:r>
          </w:p>
          <w:p w14:paraId="08C0B6EC">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pacing w:val="-3"/>
                <w:sz w:val="21"/>
                <w:szCs w:val="21"/>
                <w:highlight w:val="none"/>
                <w14:textFill>
                  <w14:solidFill>
                    <w14:schemeClr w14:val="tx1"/>
                  </w14:solidFill>
                </w14:textFill>
              </w:rPr>
              <w:t>指标</w:t>
            </w:r>
          </w:p>
          <w:p w14:paraId="18530C5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color w:val="000000" w:themeColor="text1"/>
                <w:spacing w:val="9"/>
                <w:sz w:val="21"/>
                <w:szCs w:val="21"/>
                <w:highlight w:val="none"/>
                <w14:textFill>
                  <w14:solidFill>
                    <w14:schemeClr w14:val="tx1"/>
                  </w14:solidFill>
                </w14:textFill>
              </w:rPr>
              <w:t>(10分)</w:t>
            </w:r>
          </w:p>
        </w:tc>
        <w:tc>
          <w:tcPr>
            <w:tcW w:w="1029" w:type="dxa"/>
            <w:tcBorders>
              <w:bottom w:val="nil"/>
            </w:tcBorders>
            <w:noWrap w:val="0"/>
            <w:vAlign w:val="center"/>
          </w:tcPr>
          <w:p w14:paraId="1A1502CD">
            <w:pPr>
              <w:keepNext w:val="0"/>
              <w:keepLines w:val="0"/>
              <w:pageBreakBefore w:val="0"/>
              <w:widowControl w:val="0"/>
              <w:kinsoku/>
              <w:wordWrap/>
              <w:overflowPunct/>
              <w:topLinePunct w:val="0"/>
              <w:autoSpaceDE/>
              <w:autoSpaceDN/>
              <w:bidi w:val="0"/>
              <w:adjustRightInd/>
              <w:snapToGrid/>
              <w:spacing w:line="202"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2"/>
                <w:sz w:val="21"/>
                <w:szCs w:val="21"/>
                <w14:textFill>
                  <w14:solidFill>
                    <w14:schemeClr w14:val="tx1"/>
                  </w14:solidFill>
                </w14:textFill>
              </w:rPr>
              <w:t>服务对象</w:t>
            </w:r>
          </w:p>
          <w:p w14:paraId="2E7F54AA">
            <w:pPr>
              <w:keepNext w:val="0"/>
              <w:keepLines w:val="0"/>
              <w:pageBreakBefore w:val="0"/>
              <w:widowControl w:val="0"/>
              <w:kinsoku/>
              <w:wordWrap/>
              <w:overflowPunct/>
              <w:topLinePunct w:val="0"/>
              <w:autoSpaceDE/>
              <w:autoSpaceDN/>
              <w:bidi w:val="0"/>
              <w:adjustRightInd/>
              <w:snapToGrid/>
              <w:spacing w:line="219"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3"/>
                <w:sz w:val="21"/>
                <w:szCs w:val="21"/>
                <w14:textFill>
                  <w14:solidFill>
                    <w14:schemeClr w14:val="tx1"/>
                  </w14:solidFill>
                </w14:textFill>
              </w:rPr>
              <w:t>满意度指</w:t>
            </w:r>
          </w:p>
          <w:p w14:paraId="5D3880ED">
            <w:pPr>
              <w:keepNext w:val="0"/>
              <w:keepLines w:val="0"/>
              <w:pageBreakBefore w:val="0"/>
              <w:widowControl w:val="0"/>
              <w:kinsoku/>
              <w:wordWrap/>
              <w:overflowPunct/>
              <w:topLinePunct w:val="0"/>
              <w:autoSpaceDE/>
              <w:autoSpaceDN/>
              <w:bidi w:val="0"/>
              <w:adjustRightInd/>
              <w:snapToGrid/>
              <w:spacing w:line="22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z w:val="21"/>
                <w:szCs w:val="21"/>
                <w14:textFill>
                  <w14:solidFill>
                    <w14:schemeClr w14:val="tx1"/>
                  </w14:solidFill>
                </w14:textFill>
              </w:rPr>
              <w:t>标</w:t>
            </w:r>
          </w:p>
        </w:tc>
        <w:tc>
          <w:tcPr>
            <w:tcW w:w="1269" w:type="dxa"/>
            <w:noWrap w:val="0"/>
            <w:vAlign w:val="center"/>
          </w:tcPr>
          <w:p w14:paraId="634F5FAA">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Arial" w:eastAsiaTheme="minorEastAsia"/>
                <w:color w:val="000000" w:themeColor="text1"/>
                <w:sz w:val="21"/>
                <w:lang w:eastAsia="zh-CN"/>
                <w14:textFill>
                  <w14:solidFill>
                    <w14:schemeClr w14:val="tx1"/>
                  </w14:solidFill>
                </w14:textFill>
              </w:rPr>
            </w:pPr>
            <w:r>
              <w:rPr>
                <w:rFonts w:hint="eastAsia" w:ascii="Arial"/>
                <w:color w:val="000000" w:themeColor="text1"/>
                <w:sz w:val="21"/>
                <w:lang w:eastAsia="zh-CN"/>
                <w14:textFill>
                  <w14:solidFill>
                    <w14:schemeClr w14:val="tx1"/>
                  </w14:solidFill>
                </w14:textFill>
              </w:rPr>
              <w:t>群众满意度</w:t>
            </w:r>
          </w:p>
        </w:tc>
        <w:tc>
          <w:tcPr>
            <w:tcW w:w="1319" w:type="dxa"/>
            <w:noWrap w:val="0"/>
            <w:vAlign w:val="center"/>
          </w:tcPr>
          <w:p w14:paraId="31A1CA0B">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宋体"/>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0"/>
                <w14:textFill>
                  <w14:solidFill>
                    <w14:schemeClr w14:val="tx1"/>
                  </w14:solidFill>
                </w14:textFill>
              </w:rPr>
              <w:t>≧</w:t>
            </w:r>
            <w:r>
              <w:rPr>
                <w:rFonts w:hint="eastAsia" w:ascii="宋体" w:hAnsi="宋体" w:eastAsia="宋体" w:cs="宋体"/>
                <w:color w:val="000000" w:themeColor="text1"/>
                <w:sz w:val="20"/>
                <w:lang w:val="en-US" w:eastAsia="zh-CN"/>
                <w14:textFill>
                  <w14:solidFill>
                    <w14:schemeClr w14:val="tx1"/>
                  </w14:solidFill>
                </w14:textFill>
              </w:rPr>
              <w:t>98%</w:t>
            </w:r>
          </w:p>
        </w:tc>
        <w:tc>
          <w:tcPr>
            <w:tcW w:w="1259" w:type="dxa"/>
            <w:noWrap w:val="0"/>
            <w:vAlign w:val="center"/>
          </w:tcPr>
          <w:p w14:paraId="51AF5DC7">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宋体" w:hAnsi="宋体" w:eastAsia="宋体" w:cs="宋体"/>
                <w:color w:val="000000" w:themeColor="text1"/>
                <w:sz w:val="20"/>
                <w14:textFill>
                  <w14:solidFill>
                    <w14:schemeClr w14:val="tx1"/>
                  </w14:solidFill>
                </w14:textFill>
              </w:rPr>
              <w:t>≧</w:t>
            </w:r>
            <w:r>
              <w:rPr>
                <w:rFonts w:hint="eastAsia" w:ascii="宋体" w:hAnsi="宋体" w:eastAsia="宋体" w:cs="宋体"/>
                <w:color w:val="000000" w:themeColor="text1"/>
                <w:sz w:val="20"/>
                <w:lang w:val="en-US" w:eastAsia="zh-CN"/>
                <w14:textFill>
                  <w14:solidFill>
                    <w14:schemeClr w14:val="tx1"/>
                  </w14:solidFill>
                </w14:textFill>
              </w:rPr>
              <w:t>95%</w:t>
            </w:r>
          </w:p>
        </w:tc>
        <w:tc>
          <w:tcPr>
            <w:tcW w:w="719" w:type="dxa"/>
            <w:noWrap w:val="0"/>
            <w:vAlign w:val="center"/>
          </w:tcPr>
          <w:p w14:paraId="3B431835">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10</w:t>
            </w:r>
          </w:p>
        </w:tc>
        <w:tc>
          <w:tcPr>
            <w:tcW w:w="802" w:type="dxa"/>
            <w:noWrap w:val="0"/>
            <w:vAlign w:val="center"/>
          </w:tcPr>
          <w:p w14:paraId="098E6323">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Arial"/>
                <w:color w:val="000000" w:themeColor="text1"/>
                <w:sz w:val="21"/>
                <w:lang w:val="en-US" w:eastAsia="zh-CN"/>
                <w14:textFill>
                  <w14:solidFill>
                    <w14:schemeClr w14:val="tx1"/>
                  </w14:solidFill>
                </w14:textFill>
              </w:rPr>
              <w:t>9</w:t>
            </w:r>
          </w:p>
        </w:tc>
        <w:tc>
          <w:tcPr>
            <w:tcW w:w="1275" w:type="dxa"/>
            <w:noWrap w:val="0"/>
            <w:vAlign w:val="center"/>
          </w:tcPr>
          <w:p w14:paraId="5F826742">
            <w:pPr>
              <w:keepNext w:val="0"/>
              <w:keepLines w:val="0"/>
              <w:pageBreakBefore w:val="0"/>
              <w:widowControl w:val="0"/>
              <w:kinsoku/>
              <w:wordWrap/>
              <w:overflowPunct/>
              <w:topLinePunct w:val="0"/>
              <w:autoSpaceDE/>
              <w:autoSpaceDN/>
              <w:bidi w:val="0"/>
              <w:adjustRightInd/>
              <w:snapToGrid/>
              <w:ind w:left="0"/>
              <w:jc w:val="center"/>
              <w:textAlignment w:val="auto"/>
              <w:rPr>
                <w:rFonts w:ascii="Arial"/>
                <w:color w:val="000000" w:themeColor="text1"/>
                <w:sz w:val="21"/>
                <w14:textFill>
                  <w14:solidFill>
                    <w14:schemeClr w14:val="tx1"/>
                  </w14:solidFill>
                </w14:textFill>
              </w:rPr>
            </w:pPr>
          </w:p>
        </w:tc>
      </w:tr>
      <w:tr w14:paraId="0F011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7039" w:type="dxa"/>
            <w:gridSpan w:val="6"/>
            <w:noWrap w:val="0"/>
            <w:vAlign w:val="center"/>
          </w:tcPr>
          <w:p w14:paraId="2819F84E">
            <w:pPr>
              <w:keepNext w:val="0"/>
              <w:keepLines w:val="0"/>
              <w:pageBreakBefore w:val="0"/>
              <w:widowControl w:val="0"/>
              <w:kinsoku/>
              <w:wordWrap/>
              <w:overflowPunct/>
              <w:topLinePunct w:val="0"/>
              <w:autoSpaceDE/>
              <w:autoSpaceDN/>
              <w:bidi w:val="0"/>
              <w:adjustRightInd/>
              <w:snapToGrid/>
              <w:spacing w:line="251" w:lineRule="exact"/>
              <w:ind w:left="0" w:firstLine="3274"/>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297815" cy="158750"/>
                  <wp:effectExtent l="0" t="0" r="6985" b="13335"/>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stretch>
                            <a:fillRect/>
                          </a:stretch>
                        </pic:blipFill>
                        <pic:spPr>
                          <a:xfrm>
                            <a:off x="0" y="0"/>
                            <a:ext cx="297815" cy="158750"/>
                          </a:xfrm>
                          <a:prstGeom prst="rect">
                            <a:avLst/>
                          </a:prstGeom>
                          <a:noFill/>
                          <a:ln>
                            <a:noFill/>
                          </a:ln>
                        </pic:spPr>
                      </pic:pic>
                    </a:graphicData>
                  </a:graphic>
                </wp:inline>
              </w:drawing>
            </w:r>
          </w:p>
        </w:tc>
        <w:tc>
          <w:tcPr>
            <w:tcW w:w="719" w:type="dxa"/>
            <w:noWrap w:val="0"/>
            <w:vAlign w:val="center"/>
          </w:tcPr>
          <w:p w14:paraId="26A83C4E">
            <w:pPr>
              <w:keepNext w:val="0"/>
              <w:keepLines w:val="0"/>
              <w:pageBreakBefore w:val="0"/>
              <w:widowControl w:val="0"/>
              <w:kinsoku/>
              <w:wordWrap/>
              <w:overflowPunct/>
              <w:topLinePunct w:val="0"/>
              <w:autoSpaceDE/>
              <w:autoSpaceDN/>
              <w:bidi w:val="0"/>
              <w:adjustRightInd/>
              <w:snapToGrid/>
              <w:spacing w:line="160" w:lineRule="auto"/>
              <w:ind w:left="0"/>
              <w:jc w:val="center"/>
              <w:textAlignment w:val="auto"/>
              <w:rPr>
                <w:rFonts w:ascii="宋体" w:hAnsi="宋体" w:eastAsia="宋体" w:cs="宋体"/>
                <w:color w:val="000000" w:themeColor="text1"/>
                <w:sz w:val="21"/>
                <w:szCs w:val="21"/>
                <w14:textFill>
                  <w14:solidFill>
                    <w14:schemeClr w14:val="tx1"/>
                  </w14:solidFill>
                </w14:textFill>
              </w:rPr>
            </w:pPr>
            <w:r>
              <w:rPr>
                <w:rFonts w:ascii="宋体" w:hAnsi="宋体" w:eastAsia="宋体" w:cs="宋体"/>
                <w:color w:val="000000" w:themeColor="text1"/>
                <w:spacing w:val="-6"/>
                <w:sz w:val="21"/>
                <w:szCs w:val="21"/>
                <w14:textFill>
                  <w14:solidFill>
                    <w14:schemeClr w14:val="tx1"/>
                  </w14:solidFill>
                </w14:textFill>
              </w:rPr>
              <w:t>100</w:t>
            </w:r>
          </w:p>
        </w:tc>
        <w:tc>
          <w:tcPr>
            <w:tcW w:w="802" w:type="dxa"/>
            <w:noWrap w:val="0"/>
            <w:vAlign w:val="center"/>
          </w:tcPr>
          <w:p w14:paraId="115166FA">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eastAsiaTheme="minorEastAsia"/>
                <w:color w:val="000000" w:themeColor="text1"/>
                <w:sz w:val="21"/>
                <w:lang w:val="en-US" w:eastAsia="zh-CN"/>
                <w14:textFill>
                  <w14:solidFill>
                    <w14:schemeClr w14:val="tx1"/>
                  </w14:solidFill>
                </w14:textFill>
              </w:rPr>
            </w:pPr>
            <w:r>
              <w:rPr>
                <w:rFonts w:hint="eastAsia" w:ascii="宋体" w:hAnsi="宋体" w:eastAsia="宋体" w:cs="宋体"/>
                <w:color w:val="000000" w:themeColor="text1"/>
                <w:spacing w:val="-6"/>
                <w:sz w:val="21"/>
                <w:szCs w:val="21"/>
                <w:lang w:val="en-US" w:eastAsia="zh-CN"/>
                <w14:textFill>
                  <w14:solidFill>
                    <w14:schemeClr w14:val="tx1"/>
                  </w14:solidFill>
                </w14:textFill>
              </w:rPr>
              <w:t>97.9</w:t>
            </w:r>
          </w:p>
        </w:tc>
        <w:tc>
          <w:tcPr>
            <w:tcW w:w="1275" w:type="dxa"/>
            <w:noWrap w:val="0"/>
            <w:vAlign w:val="center"/>
          </w:tcPr>
          <w:p w14:paraId="271AC5A3">
            <w:pPr>
              <w:keepNext w:val="0"/>
              <w:keepLines w:val="0"/>
              <w:pageBreakBefore w:val="0"/>
              <w:widowControl w:val="0"/>
              <w:kinsoku/>
              <w:wordWrap/>
              <w:overflowPunct/>
              <w:topLinePunct w:val="0"/>
              <w:autoSpaceDE/>
              <w:autoSpaceDN/>
              <w:bidi w:val="0"/>
              <w:adjustRightInd/>
              <w:snapToGrid/>
              <w:ind w:left="0"/>
              <w:jc w:val="center"/>
              <w:textAlignment w:val="auto"/>
              <w:rPr>
                <w:rFonts w:hint="default" w:ascii="Arial"/>
                <w:color w:val="000000" w:themeColor="text1"/>
                <w:sz w:val="21"/>
                <w:lang w:val="en-US"/>
                <w14:textFill>
                  <w14:solidFill>
                    <w14:schemeClr w14:val="tx1"/>
                  </w14:solidFill>
                </w14:textFill>
              </w:rPr>
            </w:pPr>
          </w:p>
        </w:tc>
      </w:tr>
    </w:tbl>
    <w:p w14:paraId="649B5A9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sectPr>
          <w:footerReference r:id="rId3" w:type="default"/>
          <w:pgSz w:w="11906" w:h="16838"/>
          <w:pgMar w:top="1134" w:right="1417" w:bottom="1134" w:left="1134" w:header="851" w:footer="992" w:gutter="0"/>
          <w:pgNumType w:fmt="decimal"/>
          <w:cols w:space="0" w:num="1"/>
          <w:rtlGutter w:val="0"/>
          <w:docGrid w:type="lines" w:linePitch="312" w:charSpace="0"/>
        </w:sectPr>
      </w:pPr>
      <w:r>
        <w:rPr>
          <w:rFonts w:hint="eastAsia" w:asciiTheme="majorEastAsia" w:hAnsiTheme="majorEastAsia" w:eastAsiaTheme="majorEastAsia" w:cstheme="majorEastAsia"/>
          <w:color w:val="000000" w:themeColor="text1"/>
          <w:spacing w:val="0"/>
          <w:position w:val="0"/>
          <w:sz w:val="22"/>
          <w:szCs w:val="22"/>
          <w14:textFill>
            <w14:solidFill>
              <w14:schemeClr w14:val="tx1"/>
            </w14:solidFill>
          </w14:textFill>
        </w:rPr>
        <w:t>填表人：</w:t>
      </w:r>
      <w:r>
        <w:rPr>
          <w:rFonts w:hint="eastAsia" w:asciiTheme="majorEastAsia" w:hAnsiTheme="majorEastAsia" w:eastAsiaTheme="majorEastAsia" w:cstheme="majorEastAsia"/>
          <w:color w:val="000000" w:themeColor="text1"/>
          <w:spacing w:val="0"/>
          <w:position w:val="0"/>
          <w:sz w:val="22"/>
          <w:szCs w:val="22"/>
          <w:lang w:val="en-US" w:eastAsia="zh-CN"/>
          <w14:textFill>
            <w14:solidFill>
              <w14:schemeClr w14:val="tx1"/>
            </w14:solidFill>
          </w14:textFill>
        </w:rPr>
        <w:t>湛宙</w:t>
      </w:r>
      <w:r>
        <w:rPr>
          <w:rFonts w:hint="eastAsia" w:asciiTheme="majorEastAsia" w:hAnsiTheme="majorEastAsia" w:eastAsiaTheme="majorEastAsia" w:cstheme="majorEastAsia"/>
          <w:color w:val="000000" w:themeColor="text1"/>
          <w:spacing w:val="0"/>
          <w:position w:val="0"/>
          <w:sz w:val="22"/>
          <w:szCs w:val="22"/>
          <w14:textFill>
            <w14:solidFill>
              <w14:schemeClr w14:val="tx1"/>
            </w14:solidFill>
          </w14:textFill>
        </w:rPr>
        <w:t xml:space="preserve">  联系电话：</w:t>
      </w:r>
      <w:r>
        <w:rPr>
          <w:rFonts w:hint="eastAsia" w:asciiTheme="majorEastAsia" w:hAnsiTheme="majorEastAsia" w:eastAsiaTheme="majorEastAsia" w:cstheme="majorEastAsia"/>
          <w:color w:val="000000" w:themeColor="text1"/>
          <w:spacing w:val="0"/>
          <w:position w:val="0"/>
          <w:sz w:val="22"/>
          <w:szCs w:val="22"/>
          <w:lang w:val="en-US" w:eastAsia="zh-CN"/>
          <w14:textFill>
            <w14:solidFill>
              <w14:schemeClr w14:val="tx1"/>
            </w14:solidFill>
          </w14:textFill>
        </w:rPr>
        <w:t xml:space="preserve">13975040329 </w:t>
      </w:r>
      <w:r>
        <w:rPr>
          <w:rFonts w:hint="eastAsia" w:asciiTheme="majorEastAsia" w:hAnsiTheme="majorEastAsia" w:eastAsiaTheme="majorEastAsia" w:cstheme="majorEastAsia"/>
          <w:color w:val="000000" w:themeColor="text1"/>
          <w:spacing w:val="0"/>
          <w:position w:val="0"/>
          <w:sz w:val="22"/>
          <w:szCs w:val="22"/>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2"/>
          <w:szCs w:val="22"/>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pacing w:val="0"/>
          <w:position w:val="0"/>
          <w:sz w:val="22"/>
          <w:szCs w:val="22"/>
          <w14:textFill>
            <w14:solidFill>
              <w14:schemeClr w14:val="tx1"/>
            </w14:solidFill>
          </w14:textFill>
        </w:rPr>
        <w:t>单位负责人签字：</w:t>
      </w:r>
      <w:r>
        <w:rPr>
          <w:rFonts w:hint="eastAsia" w:asciiTheme="majorEastAsia" w:hAnsiTheme="majorEastAsia" w:eastAsiaTheme="majorEastAsia" w:cstheme="majorEastAsia"/>
          <w:color w:val="000000" w:themeColor="text1"/>
          <w:spacing w:val="0"/>
          <w:position w:val="0"/>
          <w:sz w:val="22"/>
          <w:szCs w:val="22"/>
          <w:lang w:val="en-US" w:eastAsia="zh-CN"/>
          <w14:textFill>
            <w14:solidFill>
              <w14:schemeClr w14:val="tx1"/>
            </w14:solidFill>
          </w14:textFill>
        </w:rPr>
        <w:t xml:space="preserve">张璇   </w:t>
      </w:r>
      <w:r>
        <w:rPr>
          <w:rFonts w:hint="eastAsia" w:asciiTheme="majorEastAsia" w:hAnsiTheme="majorEastAsia" w:eastAsiaTheme="majorEastAsia" w:cstheme="majorEastAsia"/>
          <w:color w:val="000000" w:themeColor="text1"/>
          <w:spacing w:val="0"/>
          <w:position w:val="0"/>
          <w:sz w:val="22"/>
          <w:szCs w:val="22"/>
          <w14:textFill>
            <w14:solidFill>
              <w14:schemeClr w14:val="tx1"/>
            </w14:solidFill>
          </w14:textFill>
        </w:rPr>
        <w:t>填报日期：</w:t>
      </w:r>
      <w:r>
        <w:rPr>
          <w:rFonts w:hint="eastAsia" w:asciiTheme="majorEastAsia" w:hAnsiTheme="majorEastAsia" w:eastAsiaTheme="majorEastAsia" w:cstheme="majorEastAsia"/>
          <w:color w:val="000000" w:themeColor="text1"/>
          <w:spacing w:val="0"/>
          <w:position w:val="0"/>
          <w:sz w:val="22"/>
          <w:szCs w:val="22"/>
          <w:lang w:val="en-US" w:eastAsia="zh-CN"/>
          <w14:textFill>
            <w14:solidFill>
              <w14:schemeClr w14:val="tx1"/>
            </w14:solidFill>
          </w14:textFill>
        </w:rPr>
        <w:t>2025年7月2日</w:t>
      </w:r>
      <w:r>
        <w:rPr>
          <w:rFonts w:hint="eastAsia" w:ascii="仿宋" w:hAnsi="仿宋" w:eastAsia="仿宋" w:cs="仿宋"/>
          <w:color w:val="000000" w:themeColor="text1"/>
          <w:spacing w:val="0"/>
          <w:position w:val="0"/>
          <w:sz w:val="22"/>
          <w:szCs w:val="22"/>
          <w:lang w:val="en-US" w:eastAsia="zh-CN"/>
          <w14:textFill>
            <w14:solidFill>
              <w14:schemeClr w14:val="tx1"/>
            </w14:solidFill>
          </w14:textFill>
        </w:rPr>
        <w:t xml:space="preserve">   </w:t>
      </w:r>
    </w:p>
    <w:p w14:paraId="06048377">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p w14:paraId="5D22E222">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 xml:space="preserve"> 年度项目支出绩效自评表</w:t>
      </w:r>
    </w:p>
    <w:tbl>
      <w:tblPr>
        <w:tblStyle w:val="12"/>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344F0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noWrap w:val="0"/>
            <w:vAlign w:val="top"/>
          </w:tcPr>
          <w:p w14:paraId="3280AB74">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noWrap w:val="0"/>
            <w:vAlign w:val="top"/>
          </w:tcPr>
          <w:p w14:paraId="229AC4A9">
            <w:pPr>
              <w:widowControl w:val="0"/>
              <w:jc w:val="both"/>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5F17B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noWrap w:val="0"/>
            <w:vAlign w:val="top"/>
          </w:tcPr>
          <w:p w14:paraId="57C25ACF">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noWrap w:val="0"/>
            <w:vAlign w:val="top"/>
          </w:tcPr>
          <w:p w14:paraId="1500AB2E">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79F016D7">
            <w:pPr>
              <w:spacing w:before="32" w:line="215" w:lineRule="auto"/>
              <w:ind w:left="258"/>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noWrap w:val="0"/>
            <w:vAlign w:val="top"/>
          </w:tcPr>
          <w:p w14:paraId="148D9692">
            <w:pPr>
              <w:widowControl w:val="0"/>
              <w:jc w:val="both"/>
              <w:rPr>
                <w:rFonts w:hint="eastAsia" w:ascii="宋体" w:hAnsi="宋体" w:eastAsia="宋体" w:cs="宋体"/>
                <w:kern w:val="2"/>
                <w:sz w:val="21"/>
                <w:szCs w:val="21"/>
                <w:lang w:val="en-US" w:eastAsia="en-US" w:bidi="ar-SA"/>
              </w:rPr>
            </w:pPr>
          </w:p>
        </w:tc>
      </w:tr>
      <w:tr w14:paraId="3B83D1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73B6662A">
            <w:pPr>
              <w:spacing w:before="61" w:line="241" w:lineRule="auto"/>
              <w:ind w:right="141"/>
              <w:jc w:val="both"/>
              <w:rPr>
                <w:rFonts w:hint="eastAsia" w:ascii="宋体" w:hAnsi="宋体" w:eastAsia="宋体" w:cs="宋体"/>
                <w:sz w:val="19"/>
                <w:szCs w:val="19"/>
                <w:lang w:eastAsia="zh-CN"/>
              </w:rPr>
            </w:pPr>
          </w:p>
          <w:p w14:paraId="341F9277">
            <w:pPr>
              <w:spacing w:before="61" w:line="241" w:lineRule="auto"/>
              <w:ind w:right="141"/>
              <w:jc w:val="center"/>
              <w:rPr>
                <w:rFonts w:hint="eastAsia" w:ascii="宋体" w:hAnsi="宋体" w:eastAsia="宋体" w:cs="宋体"/>
                <w:sz w:val="19"/>
                <w:szCs w:val="19"/>
                <w:lang w:eastAsia="zh-CN"/>
              </w:rPr>
            </w:pPr>
            <w:r>
              <w:rPr>
                <w:rFonts w:hint="eastAsia" w:ascii="宋体" w:hAnsi="宋体" w:eastAsia="宋体" w:cs="宋体"/>
                <w:sz w:val="19"/>
                <w:szCs w:val="19"/>
                <w:lang w:eastAsia="zh-CN"/>
              </w:rPr>
              <w:t>项目资金（万元）</w:t>
            </w:r>
          </w:p>
        </w:tc>
        <w:tc>
          <w:tcPr>
            <w:tcW w:w="2034" w:type="dxa"/>
            <w:gridSpan w:val="2"/>
            <w:noWrap w:val="0"/>
            <w:vAlign w:val="top"/>
          </w:tcPr>
          <w:p w14:paraId="26591FC2">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8B54651">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noWrap w:val="0"/>
            <w:vAlign w:val="top"/>
          </w:tcPr>
          <w:p w14:paraId="50964D57">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noWrap w:val="0"/>
            <w:vAlign w:val="top"/>
          </w:tcPr>
          <w:p w14:paraId="00438399">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noWrap w:val="0"/>
            <w:vAlign w:val="top"/>
          </w:tcPr>
          <w:p w14:paraId="040BD7BA">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E323703">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noWrap w:val="0"/>
            <w:vAlign w:val="top"/>
          </w:tcPr>
          <w:p w14:paraId="7EEF1849">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248C48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53059E04">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3F7BE50F">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noWrap w:val="0"/>
            <w:vAlign w:val="center"/>
          </w:tcPr>
          <w:p w14:paraId="2A5FCB9A">
            <w:pPr>
              <w:jc w:val="center"/>
              <w:rPr>
                <w:rFonts w:hint="default" w:ascii="宋体" w:hAnsi="宋体" w:eastAsia="宋体" w:cs="宋体"/>
                <w:lang w:val="en-US" w:eastAsia="zh-CN"/>
              </w:rPr>
            </w:pPr>
            <w:r>
              <w:rPr>
                <w:rFonts w:hint="eastAsia" w:ascii="宋体" w:hAnsi="宋体" w:eastAsia="宋体" w:cs="宋体"/>
                <w:sz w:val="19"/>
                <w:szCs w:val="19"/>
                <w:lang w:val="en-US" w:eastAsia="zh-CN"/>
              </w:rPr>
              <w:t>/</w:t>
            </w:r>
          </w:p>
        </w:tc>
        <w:tc>
          <w:tcPr>
            <w:tcW w:w="1244" w:type="dxa"/>
            <w:noWrap w:val="0"/>
            <w:vAlign w:val="center"/>
          </w:tcPr>
          <w:p w14:paraId="3B19D6F6">
            <w:pPr>
              <w:jc w:val="center"/>
              <w:rPr>
                <w:rFonts w:hint="default" w:ascii="宋体" w:hAnsi="宋体" w:eastAsia="宋体" w:cs="宋体"/>
                <w:lang w:val="en-US" w:eastAsia="zh-CN"/>
              </w:rPr>
            </w:pPr>
            <w:r>
              <w:rPr>
                <w:rFonts w:hint="eastAsia" w:ascii="宋体" w:hAnsi="宋体" w:eastAsia="宋体" w:cs="宋体"/>
                <w:sz w:val="19"/>
                <w:szCs w:val="19"/>
                <w:lang w:val="en-US" w:eastAsia="zh-CN"/>
              </w:rPr>
              <w:t>/</w:t>
            </w:r>
          </w:p>
        </w:tc>
        <w:tc>
          <w:tcPr>
            <w:tcW w:w="1281" w:type="dxa"/>
            <w:noWrap w:val="0"/>
            <w:vAlign w:val="center"/>
          </w:tcPr>
          <w:p w14:paraId="188B67CA">
            <w:pPr>
              <w:jc w:val="center"/>
              <w:rPr>
                <w:rFonts w:hint="default" w:ascii="宋体" w:hAnsi="宋体" w:eastAsia="宋体" w:cs="宋体"/>
                <w:lang w:val="en-US" w:eastAsia="zh-CN"/>
              </w:rPr>
            </w:pPr>
            <w:r>
              <w:rPr>
                <w:rFonts w:hint="eastAsia" w:ascii="宋体" w:hAnsi="宋体" w:eastAsia="宋体" w:cs="宋体"/>
                <w:sz w:val="19"/>
                <w:szCs w:val="19"/>
                <w:lang w:val="en-US" w:eastAsia="zh-CN"/>
              </w:rPr>
              <w:t>/</w:t>
            </w:r>
          </w:p>
        </w:tc>
        <w:tc>
          <w:tcPr>
            <w:tcW w:w="673" w:type="dxa"/>
            <w:noWrap w:val="0"/>
            <w:vAlign w:val="center"/>
          </w:tcPr>
          <w:p w14:paraId="69567B18">
            <w:pPr>
              <w:spacing w:before="64" w:line="195" w:lineRule="auto"/>
              <w:ind w:left="331"/>
              <w:jc w:val="both"/>
              <w:rPr>
                <w:rFonts w:hint="default"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873" w:type="dxa"/>
            <w:noWrap w:val="0"/>
            <w:vAlign w:val="center"/>
          </w:tcPr>
          <w:p w14:paraId="1B061B60">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center"/>
          </w:tcPr>
          <w:p w14:paraId="6E925776">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r>
      <w:tr w14:paraId="7CA8F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noWrap w:val="0"/>
            <w:vAlign w:val="top"/>
          </w:tcPr>
          <w:p w14:paraId="6037025B">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15C1240E">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noWrap w:val="0"/>
            <w:vAlign w:val="top"/>
          </w:tcPr>
          <w:p w14:paraId="25552FAD">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61260C8">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35EBF666">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1499A9CF">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AB00F4C">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11B5640B">
            <w:pPr>
              <w:widowControl w:val="0"/>
              <w:jc w:val="both"/>
              <w:rPr>
                <w:rFonts w:hint="eastAsia" w:ascii="宋体" w:hAnsi="宋体" w:eastAsia="宋体" w:cs="宋体"/>
                <w:kern w:val="2"/>
                <w:sz w:val="21"/>
                <w:szCs w:val="21"/>
                <w:lang w:val="en-US" w:eastAsia="en-US" w:bidi="ar-SA"/>
              </w:rPr>
            </w:pPr>
          </w:p>
        </w:tc>
      </w:tr>
      <w:tr w14:paraId="0027F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noWrap w:val="0"/>
            <w:vAlign w:val="top"/>
          </w:tcPr>
          <w:p w14:paraId="128BF0FE">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365DBB22">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noWrap w:val="0"/>
            <w:vAlign w:val="top"/>
          </w:tcPr>
          <w:p w14:paraId="01AC80C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9608385">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19C4D189">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67ED4892">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2BEE815A">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4AF91B39">
            <w:pPr>
              <w:widowControl w:val="0"/>
              <w:jc w:val="both"/>
              <w:rPr>
                <w:rFonts w:hint="eastAsia" w:ascii="宋体" w:hAnsi="宋体" w:eastAsia="宋体" w:cs="宋体"/>
                <w:kern w:val="2"/>
                <w:sz w:val="21"/>
                <w:szCs w:val="21"/>
                <w:lang w:val="en-US" w:eastAsia="en-US" w:bidi="ar-SA"/>
              </w:rPr>
            </w:pPr>
          </w:p>
        </w:tc>
      </w:tr>
      <w:tr w14:paraId="6E1336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noWrap w:val="0"/>
            <w:vAlign w:val="top"/>
          </w:tcPr>
          <w:p w14:paraId="223B3AA1">
            <w:pPr>
              <w:widowControl w:val="0"/>
              <w:jc w:val="both"/>
              <w:rPr>
                <w:rFonts w:hint="eastAsia" w:ascii="宋体" w:hAnsi="宋体" w:eastAsia="宋体" w:cs="宋体"/>
                <w:kern w:val="2"/>
                <w:sz w:val="21"/>
                <w:szCs w:val="21"/>
                <w:lang w:val="en-US" w:eastAsia="en-US" w:bidi="ar-SA"/>
              </w:rPr>
            </w:pPr>
          </w:p>
        </w:tc>
        <w:tc>
          <w:tcPr>
            <w:tcW w:w="2034" w:type="dxa"/>
            <w:gridSpan w:val="2"/>
            <w:noWrap w:val="0"/>
            <w:vAlign w:val="top"/>
          </w:tcPr>
          <w:p w14:paraId="4CCF9B81">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noWrap w:val="0"/>
            <w:vAlign w:val="top"/>
          </w:tcPr>
          <w:p w14:paraId="3F6DAD20">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4A10CFC">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56186CD8">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53E50E87">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5B7BDD41">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1DFAE28D">
            <w:pPr>
              <w:widowControl w:val="0"/>
              <w:jc w:val="both"/>
              <w:rPr>
                <w:rFonts w:hint="eastAsia" w:ascii="宋体" w:hAnsi="宋体" w:eastAsia="宋体" w:cs="宋体"/>
                <w:kern w:val="2"/>
                <w:sz w:val="21"/>
                <w:szCs w:val="21"/>
                <w:lang w:val="en-US" w:eastAsia="en-US" w:bidi="ar-SA"/>
              </w:rPr>
            </w:pPr>
          </w:p>
        </w:tc>
      </w:tr>
      <w:tr w14:paraId="002B5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noWrap w:val="0"/>
            <w:vAlign w:val="top"/>
          </w:tcPr>
          <w:p w14:paraId="26CC84D3">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5FA50F2F">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00A1A4F7">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noWrap w:val="0"/>
            <w:vAlign w:val="top"/>
          </w:tcPr>
          <w:p w14:paraId="2619E65A">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noWrap w:val="0"/>
            <w:vAlign w:val="top"/>
          </w:tcPr>
          <w:p w14:paraId="385DF05D">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64E87E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noWrap w:val="0"/>
            <w:vAlign w:val="top"/>
          </w:tcPr>
          <w:p w14:paraId="09F8A999">
            <w:pPr>
              <w:widowControl w:val="0"/>
              <w:jc w:val="both"/>
              <w:rPr>
                <w:rFonts w:hint="eastAsia" w:ascii="宋体" w:hAnsi="宋体" w:eastAsia="宋体" w:cs="宋体"/>
                <w:kern w:val="2"/>
                <w:sz w:val="21"/>
                <w:szCs w:val="21"/>
                <w:lang w:val="en-US" w:eastAsia="en-US" w:bidi="ar-SA"/>
              </w:rPr>
            </w:pPr>
          </w:p>
        </w:tc>
        <w:tc>
          <w:tcPr>
            <w:tcW w:w="4522" w:type="dxa"/>
            <w:gridSpan w:val="4"/>
            <w:noWrap w:val="0"/>
            <w:vAlign w:val="top"/>
          </w:tcPr>
          <w:p w14:paraId="454A0B1F">
            <w:pPr>
              <w:widowControl w:val="0"/>
              <w:jc w:val="both"/>
              <w:rPr>
                <w:rFonts w:hint="eastAsia" w:ascii="宋体" w:hAnsi="宋体" w:eastAsia="宋体" w:cs="宋体"/>
                <w:kern w:val="2"/>
                <w:sz w:val="21"/>
                <w:szCs w:val="21"/>
                <w:lang w:val="en-US" w:eastAsia="en-US" w:bidi="ar-SA"/>
              </w:rPr>
            </w:pPr>
          </w:p>
        </w:tc>
        <w:tc>
          <w:tcPr>
            <w:tcW w:w="4249" w:type="dxa"/>
            <w:gridSpan w:val="4"/>
            <w:noWrap w:val="0"/>
            <w:vAlign w:val="top"/>
          </w:tcPr>
          <w:p w14:paraId="44915785">
            <w:pPr>
              <w:widowControl w:val="0"/>
              <w:jc w:val="both"/>
              <w:rPr>
                <w:rFonts w:hint="eastAsia" w:ascii="宋体" w:hAnsi="宋体" w:eastAsia="宋体" w:cs="宋体"/>
                <w:kern w:val="2"/>
                <w:sz w:val="21"/>
                <w:szCs w:val="21"/>
                <w:lang w:val="en-US" w:eastAsia="en-US" w:bidi="ar-SA"/>
              </w:rPr>
            </w:pPr>
          </w:p>
        </w:tc>
      </w:tr>
      <w:tr w14:paraId="174F7A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noWrap w:val="0"/>
            <w:textDirection w:val="tbRlV"/>
            <w:vAlign w:val="top"/>
          </w:tcPr>
          <w:p w14:paraId="1107E5ED">
            <w:pPr>
              <w:widowControl w:val="0"/>
              <w:spacing w:line="366" w:lineRule="auto"/>
              <w:jc w:val="both"/>
              <w:rPr>
                <w:rFonts w:hint="eastAsia" w:ascii="宋体" w:hAnsi="宋体" w:eastAsia="宋体" w:cs="宋体"/>
                <w:kern w:val="2"/>
                <w:sz w:val="21"/>
                <w:szCs w:val="21"/>
                <w:lang w:val="en-US" w:eastAsia="en-US" w:bidi="ar-SA"/>
              </w:rPr>
            </w:pPr>
          </w:p>
          <w:p w14:paraId="5831660F">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noWrap w:val="0"/>
            <w:vAlign w:val="top"/>
          </w:tcPr>
          <w:p w14:paraId="1D2ECD5F">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noWrap w:val="0"/>
            <w:vAlign w:val="top"/>
          </w:tcPr>
          <w:p w14:paraId="22BA6394">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noWrap w:val="0"/>
            <w:vAlign w:val="top"/>
          </w:tcPr>
          <w:p w14:paraId="30E8DA8F">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noWrap w:val="0"/>
            <w:vAlign w:val="top"/>
          </w:tcPr>
          <w:p w14:paraId="3A3AA193">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03AE7FDA">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noWrap w:val="0"/>
            <w:vAlign w:val="top"/>
          </w:tcPr>
          <w:p w14:paraId="1E4601D8">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08849655">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noWrap w:val="0"/>
            <w:vAlign w:val="top"/>
          </w:tcPr>
          <w:p w14:paraId="325F8412">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noWrap w:val="0"/>
            <w:vAlign w:val="top"/>
          </w:tcPr>
          <w:p w14:paraId="2D608874">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noWrap w:val="0"/>
            <w:vAlign w:val="top"/>
          </w:tcPr>
          <w:p w14:paraId="37DB2657">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0D399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B9A4DB7">
            <w:pPr>
              <w:widowControl w:val="0"/>
              <w:jc w:val="both"/>
              <w:rPr>
                <w:rFonts w:hint="eastAsia" w:ascii="宋体" w:hAnsi="宋体" w:eastAsia="宋体" w:cs="宋体"/>
                <w:kern w:val="2"/>
                <w:sz w:val="21"/>
                <w:szCs w:val="21"/>
                <w:lang w:val="en-US" w:eastAsia="en-US" w:bidi="ar-SA"/>
              </w:rPr>
            </w:pPr>
          </w:p>
        </w:tc>
        <w:tc>
          <w:tcPr>
            <w:tcW w:w="1079" w:type="dxa"/>
            <w:vMerge w:val="restart"/>
            <w:tcBorders>
              <w:bottom w:val="nil"/>
            </w:tcBorders>
            <w:noWrap w:val="0"/>
            <w:vAlign w:val="top"/>
          </w:tcPr>
          <w:p w14:paraId="5A6B3EB9">
            <w:pPr>
              <w:widowControl w:val="0"/>
              <w:spacing w:line="256" w:lineRule="auto"/>
              <w:jc w:val="both"/>
              <w:rPr>
                <w:rFonts w:hint="eastAsia" w:ascii="宋体" w:hAnsi="宋体" w:eastAsia="宋体" w:cs="宋体"/>
                <w:kern w:val="2"/>
                <w:sz w:val="21"/>
                <w:szCs w:val="21"/>
                <w:lang w:val="en-US" w:eastAsia="en-US" w:bidi="ar-SA"/>
              </w:rPr>
            </w:pPr>
          </w:p>
          <w:p w14:paraId="7FD12200">
            <w:pPr>
              <w:widowControl w:val="0"/>
              <w:spacing w:line="256" w:lineRule="auto"/>
              <w:jc w:val="both"/>
              <w:rPr>
                <w:rFonts w:hint="eastAsia" w:ascii="宋体" w:hAnsi="宋体" w:eastAsia="宋体" w:cs="宋体"/>
                <w:kern w:val="2"/>
                <w:sz w:val="21"/>
                <w:szCs w:val="21"/>
                <w:lang w:val="en-US" w:eastAsia="en-US" w:bidi="ar-SA"/>
              </w:rPr>
            </w:pPr>
          </w:p>
          <w:p w14:paraId="28093285">
            <w:pPr>
              <w:widowControl w:val="0"/>
              <w:spacing w:line="256" w:lineRule="auto"/>
              <w:jc w:val="both"/>
              <w:rPr>
                <w:rFonts w:hint="eastAsia" w:ascii="宋体" w:hAnsi="宋体" w:eastAsia="宋体" w:cs="宋体"/>
                <w:kern w:val="2"/>
                <w:sz w:val="21"/>
                <w:szCs w:val="21"/>
                <w:lang w:val="en-US" w:eastAsia="en-US" w:bidi="ar-SA"/>
              </w:rPr>
            </w:pPr>
          </w:p>
          <w:p w14:paraId="209689E1">
            <w:pPr>
              <w:widowControl w:val="0"/>
              <w:spacing w:line="257" w:lineRule="auto"/>
              <w:jc w:val="both"/>
              <w:rPr>
                <w:rFonts w:hint="eastAsia" w:ascii="宋体" w:hAnsi="宋体" w:eastAsia="宋体" w:cs="宋体"/>
                <w:kern w:val="2"/>
                <w:sz w:val="21"/>
                <w:szCs w:val="21"/>
                <w:lang w:val="en-US" w:eastAsia="en-US" w:bidi="ar-SA"/>
              </w:rPr>
            </w:pPr>
          </w:p>
          <w:p w14:paraId="67569487">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59175FD6">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noWrap w:val="0"/>
            <w:vAlign w:val="top"/>
          </w:tcPr>
          <w:p w14:paraId="50BB572C">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7CA1645F">
            <w:pPr>
              <w:spacing w:before="126" w:line="239" w:lineRule="auto"/>
              <w:ind w:left="379" w:right="175" w:hanging="192"/>
              <w:rPr>
                <w:rFonts w:hint="eastAsia" w:ascii="宋体" w:hAnsi="宋体" w:eastAsia="宋体" w:cs="宋体"/>
                <w:sz w:val="19"/>
                <w:szCs w:val="19"/>
              </w:rPr>
            </w:pPr>
          </w:p>
        </w:tc>
        <w:tc>
          <w:tcPr>
            <w:tcW w:w="1244" w:type="dxa"/>
            <w:noWrap w:val="0"/>
            <w:vAlign w:val="top"/>
          </w:tcPr>
          <w:p w14:paraId="55D68A8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561EC07">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7F6F9E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202BC7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FF753FD">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39F6B76">
            <w:pPr>
              <w:widowControl w:val="0"/>
              <w:spacing w:line="225" w:lineRule="exact"/>
              <w:jc w:val="both"/>
              <w:rPr>
                <w:rFonts w:hint="eastAsia" w:ascii="宋体" w:hAnsi="宋体" w:eastAsia="宋体" w:cs="宋体"/>
                <w:kern w:val="2"/>
                <w:sz w:val="19"/>
                <w:szCs w:val="21"/>
                <w:lang w:val="en-US" w:eastAsia="en-US" w:bidi="ar-SA"/>
              </w:rPr>
            </w:pPr>
          </w:p>
        </w:tc>
      </w:tr>
      <w:tr w14:paraId="43A91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CD53B8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000C0679">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5DCFA25C">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1E1B5288">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AF15D0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D6A07CE">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919239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F01B54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BA21247">
            <w:pPr>
              <w:widowControl w:val="0"/>
              <w:spacing w:line="225" w:lineRule="exact"/>
              <w:jc w:val="both"/>
              <w:rPr>
                <w:rFonts w:hint="eastAsia" w:ascii="宋体" w:hAnsi="宋体" w:eastAsia="宋体" w:cs="宋体"/>
                <w:kern w:val="2"/>
                <w:sz w:val="19"/>
                <w:szCs w:val="21"/>
                <w:lang w:val="en-US" w:eastAsia="en-US" w:bidi="ar-SA"/>
              </w:rPr>
            </w:pPr>
          </w:p>
        </w:tc>
      </w:tr>
      <w:tr w14:paraId="7D27A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58FEC0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0F0D6445">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21C5F12C">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3077BA6A">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08004F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50E2AAA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C904905">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F8D492F">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2D48AC2">
            <w:pPr>
              <w:widowControl w:val="0"/>
              <w:spacing w:line="225" w:lineRule="exact"/>
              <w:jc w:val="both"/>
              <w:rPr>
                <w:rFonts w:hint="eastAsia" w:ascii="宋体" w:hAnsi="宋体" w:eastAsia="宋体" w:cs="宋体"/>
                <w:kern w:val="2"/>
                <w:sz w:val="19"/>
                <w:szCs w:val="21"/>
                <w:lang w:val="en-US" w:eastAsia="en-US" w:bidi="ar-SA"/>
              </w:rPr>
            </w:pPr>
          </w:p>
        </w:tc>
      </w:tr>
      <w:tr w14:paraId="1D5763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3F829F2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7D21C232">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29E2F7CA">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47CF342E">
            <w:pPr>
              <w:spacing w:before="126" w:line="239" w:lineRule="auto"/>
              <w:ind w:left="379" w:right="175" w:hanging="196"/>
              <w:rPr>
                <w:rFonts w:hint="eastAsia" w:ascii="宋体" w:hAnsi="宋体" w:eastAsia="宋体" w:cs="宋体"/>
                <w:sz w:val="19"/>
                <w:szCs w:val="19"/>
              </w:rPr>
            </w:pPr>
          </w:p>
        </w:tc>
        <w:tc>
          <w:tcPr>
            <w:tcW w:w="1244" w:type="dxa"/>
            <w:noWrap w:val="0"/>
            <w:vAlign w:val="top"/>
          </w:tcPr>
          <w:p w14:paraId="27C2F32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8537D0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C5C67A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CD654C6">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5AB27A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F33FB18">
            <w:pPr>
              <w:widowControl w:val="0"/>
              <w:spacing w:line="225" w:lineRule="exact"/>
              <w:jc w:val="both"/>
              <w:rPr>
                <w:rFonts w:hint="eastAsia" w:ascii="宋体" w:hAnsi="宋体" w:eastAsia="宋体" w:cs="宋体"/>
                <w:kern w:val="2"/>
                <w:sz w:val="19"/>
                <w:szCs w:val="21"/>
                <w:lang w:val="en-US" w:eastAsia="en-US" w:bidi="ar-SA"/>
              </w:rPr>
            </w:pPr>
          </w:p>
        </w:tc>
      </w:tr>
      <w:tr w14:paraId="51B472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613B252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A076106">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2B797FF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2B1E9AE">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E98808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76DD625">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637DAD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711219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FB6946A">
            <w:pPr>
              <w:widowControl w:val="0"/>
              <w:spacing w:line="225" w:lineRule="exact"/>
              <w:jc w:val="both"/>
              <w:rPr>
                <w:rFonts w:hint="eastAsia" w:ascii="宋体" w:hAnsi="宋体" w:eastAsia="宋体" w:cs="宋体"/>
                <w:kern w:val="2"/>
                <w:sz w:val="19"/>
                <w:szCs w:val="21"/>
                <w:lang w:val="en-US" w:eastAsia="en-US" w:bidi="ar-SA"/>
              </w:rPr>
            </w:pPr>
          </w:p>
        </w:tc>
      </w:tr>
      <w:tr w14:paraId="2C6EC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41D5C70D">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FF75F4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4EE8311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22D88437">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69612158">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D2525D7">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FAD37CA">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10E20BB">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575E147">
            <w:pPr>
              <w:widowControl w:val="0"/>
              <w:spacing w:line="225" w:lineRule="exact"/>
              <w:jc w:val="both"/>
              <w:rPr>
                <w:rFonts w:hint="eastAsia" w:ascii="宋体" w:hAnsi="宋体" w:eastAsia="宋体" w:cs="宋体"/>
                <w:kern w:val="2"/>
                <w:sz w:val="19"/>
                <w:szCs w:val="21"/>
                <w:lang w:val="en-US" w:eastAsia="en-US" w:bidi="ar-SA"/>
              </w:rPr>
            </w:pPr>
          </w:p>
        </w:tc>
      </w:tr>
      <w:tr w14:paraId="1057D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noWrap w:val="0"/>
            <w:textDirection w:val="tbRlV"/>
            <w:vAlign w:val="top"/>
          </w:tcPr>
          <w:p w14:paraId="2EBA9D7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189DFE7A">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5442C5C1">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495D111D">
            <w:pPr>
              <w:spacing w:before="126" w:line="239" w:lineRule="auto"/>
              <w:ind w:left="379" w:right="175" w:hanging="178"/>
              <w:rPr>
                <w:rFonts w:hint="eastAsia" w:ascii="宋体" w:hAnsi="宋体" w:eastAsia="宋体" w:cs="宋体"/>
                <w:sz w:val="19"/>
                <w:szCs w:val="19"/>
              </w:rPr>
            </w:pPr>
          </w:p>
        </w:tc>
        <w:tc>
          <w:tcPr>
            <w:tcW w:w="1244" w:type="dxa"/>
            <w:noWrap w:val="0"/>
            <w:vAlign w:val="top"/>
          </w:tcPr>
          <w:p w14:paraId="187B403B">
            <w:pPr>
              <w:widowControl w:val="0"/>
              <w:spacing w:line="224"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61871D4">
            <w:pPr>
              <w:widowControl w:val="0"/>
              <w:spacing w:line="224"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861C2D7">
            <w:pPr>
              <w:widowControl w:val="0"/>
              <w:spacing w:line="224" w:lineRule="exact"/>
              <w:jc w:val="both"/>
              <w:rPr>
                <w:rFonts w:hint="eastAsia" w:ascii="宋体" w:hAnsi="宋体" w:eastAsia="宋体" w:cs="宋体"/>
                <w:kern w:val="2"/>
                <w:sz w:val="19"/>
                <w:szCs w:val="21"/>
                <w:lang w:val="en-US" w:eastAsia="en-US" w:bidi="ar-SA"/>
              </w:rPr>
            </w:pPr>
          </w:p>
        </w:tc>
        <w:tc>
          <w:tcPr>
            <w:tcW w:w="673" w:type="dxa"/>
            <w:noWrap w:val="0"/>
            <w:vAlign w:val="top"/>
          </w:tcPr>
          <w:p w14:paraId="06A0128D">
            <w:pPr>
              <w:widowControl w:val="0"/>
              <w:spacing w:line="224" w:lineRule="exact"/>
              <w:jc w:val="both"/>
              <w:rPr>
                <w:rFonts w:hint="eastAsia" w:ascii="宋体" w:hAnsi="宋体" w:eastAsia="宋体" w:cs="宋体"/>
                <w:kern w:val="2"/>
                <w:sz w:val="19"/>
                <w:szCs w:val="21"/>
                <w:lang w:val="en-US" w:eastAsia="en-US" w:bidi="ar-SA"/>
              </w:rPr>
            </w:pPr>
          </w:p>
        </w:tc>
        <w:tc>
          <w:tcPr>
            <w:tcW w:w="873" w:type="dxa"/>
            <w:noWrap w:val="0"/>
            <w:vAlign w:val="top"/>
          </w:tcPr>
          <w:p w14:paraId="2C34C7D5">
            <w:pPr>
              <w:widowControl w:val="0"/>
              <w:spacing w:line="224"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66714FE">
            <w:pPr>
              <w:widowControl w:val="0"/>
              <w:spacing w:line="224" w:lineRule="exact"/>
              <w:jc w:val="both"/>
              <w:rPr>
                <w:rFonts w:hint="eastAsia" w:ascii="宋体" w:hAnsi="宋体" w:eastAsia="宋体" w:cs="宋体"/>
                <w:kern w:val="2"/>
                <w:sz w:val="19"/>
                <w:szCs w:val="21"/>
                <w:lang w:val="en-US" w:eastAsia="en-US" w:bidi="ar-SA"/>
              </w:rPr>
            </w:pPr>
          </w:p>
        </w:tc>
      </w:tr>
      <w:tr w14:paraId="204F07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14D78EF">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484BF94A">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5D7FC11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82A038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8EDC7C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352141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05223A7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629D6B2">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007C825">
            <w:pPr>
              <w:widowControl w:val="0"/>
              <w:spacing w:line="225" w:lineRule="exact"/>
              <w:jc w:val="both"/>
              <w:rPr>
                <w:rFonts w:hint="eastAsia" w:ascii="宋体" w:hAnsi="宋体" w:eastAsia="宋体" w:cs="宋体"/>
                <w:kern w:val="2"/>
                <w:sz w:val="19"/>
                <w:szCs w:val="21"/>
                <w:lang w:val="en-US" w:eastAsia="en-US" w:bidi="ar-SA"/>
              </w:rPr>
            </w:pPr>
          </w:p>
        </w:tc>
      </w:tr>
      <w:tr w14:paraId="361D5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8EB719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574277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tcBorders>
            <w:noWrap w:val="0"/>
            <w:vAlign w:val="top"/>
          </w:tcPr>
          <w:p w14:paraId="164692AC">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CD3E9CC">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7B771866">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9F635A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A78F93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8C4D7E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24918CFF">
            <w:pPr>
              <w:widowControl w:val="0"/>
              <w:spacing w:line="225" w:lineRule="exact"/>
              <w:jc w:val="both"/>
              <w:rPr>
                <w:rFonts w:hint="eastAsia" w:ascii="宋体" w:hAnsi="宋体" w:eastAsia="宋体" w:cs="宋体"/>
                <w:kern w:val="2"/>
                <w:sz w:val="19"/>
                <w:szCs w:val="21"/>
                <w:lang w:val="en-US" w:eastAsia="en-US" w:bidi="ar-SA"/>
              </w:rPr>
            </w:pPr>
          </w:p>
        </w:tc>
      </w:tr>
      <w:tr w14:paraId="41F9C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D7E65F8">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322AB1F3">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tcBorders>
            <w:noWrap w:val="0"/>
            <w:vAlign w:val="top"/>
          </w:tcPr>
          <w:p w14:paraId="77E7A7F7">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1268F41E">
            <w:pPr>
              <w:spacing w:before="127" w:line="239" w:lineRule="auto"/>
              <w:ind w:left="379" w:right="175" w:hanging="192"/>
              <w:rPr>
                <w:rFonts w:hint="eastAsia" w:ascii="宋体" w:hAnsi="宋体" w:eastAsia="宋体" w:cs="宋体"/>
                <w:sz w:val="19"/>
                <w:szCs w:val="19"/>
              </w:rPr>
            </w:pPr>
          </w:p>
        </w:tc>
        <w:tc>
          <w:tcPr>
            <w:tcW w:w="1244" w:type="dxa"/>
            <w:noWrap w:val="0"/>
            <w:vAlign w:val="top"/>
          </w:tcPr>
          <w:p w14:paraId="1D8F5DCF">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4B49AA3">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020485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7FFF79A7">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3D18EC8">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F78675A">
            <w:pPr>
              <w:widowControl w:val="0"/>
              <w:spacing w:line="225" w:lineRule="exact"/>
              <w:jc w:val="both"/>
              <w:rPr>
                <w:rFonts w:hint="eastAsia" w:ascii="宋体" w:hAnsi="宋体" w:eastAsia="宋体" w:cs="宋体"/>
                <w:kern w:val="2"/>
                <w:sz w:val="19"/>
                <w:szCs w:val="21"/>
                <w:lang w:val="en-US" w:eastAsia="en-US" w:bidi="ar-SA"/>
              </w:rPr>
            </w:pPr>
          </w:p>
        </w:tc>
      </w:tr>
      <w:tr w14:paraId="5C4147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7E7B8B0B">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nil"/>
            </w:tcBorders>
            <w:noWrap w:val="0"/>
            <w:vAlign w:val="top"/>
          </w:tcPr>
          <w:p w14:paraId="51054C4E">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tcBorders>
            <w:noWrap w:val="0"/>
            <w:vAlign w:val="top"/>
          </w:tcPr>
          <w:p w14:paraId="4B6DEADF">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500D05D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53CF14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E68206D">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179D64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12B3D9A">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423057C">
            <w:pPr>
              <w:widowControl w:val="0"/>
              <w:spacing w:line="225" w:lineRule="exact"/>
              <w:jc w:val="both"/>
              <w:rPr>
                <w:rFonts w:hint="eastAsia" w:ascii="宋体" w:hAnsi="宋体" w:eastAsia="宋体" w:cs="宋体"/>
                <w:kern w:val="2"/>
                <w:sz w:val="19"/>
                <w:szCs w:val="21"/>
                <w:lang w:val="en-US" w:eastAsia="en-US" w:bidi="ar-SA"/>
              </w:rPr>
            </w:pPr>
          </w:p>
        </w:tc>
      </w:tr>
      <w:tr w14:paraId="0BF4B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0EE3C9E5">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bottom w:val="single" w:color="auto" w:sz="4" w:space="0"/>
            </w:tcBorders>
            <w:noWrap w:val="0"/>
            <w:vAlign w:val="top"/>
          </w:tcPr>
          <w:p w14:paraId="5C01AC0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single" w:color="auto" w:sz="4" w:space="0"/>
            </w:tcBorders>
            <w:noWrap w:val="0"/>
            <w:vAlign w:val="top"/>
          </w:tcPr>
          <w:p w14:paraId="2423175C">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46C763F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5650DD0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5E84B3A">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8F8EB18">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EB2E04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0E7B87D8">
            <w:pPr>
              <w:widowControl w:val="0"/>
              <w:spacing w:line="225" w:lineRule="exact"/>
              <w:jc w:val="both"/>
              <w:rPr>
                <w:rFonts w:hint="eastAsia" w:ascii="宋体" w:hAnsi="宋体" w:eastAsia="宋体" w:cs="宋体"/>
                <w:kern w:val="2"/>
                <w:sz w:val="19"/>
                <w:szCs w:val="21"/>
                <w:lang w:val="en-US" w:eastAsia="en-US" w:bidi="ar-SA"/>
              </w:rPr>
            </w:pPr>
          </w:p>
        </w:tc>
      </w:tr>
      <w:tr w14:paraId="4E036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556D573D">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left w:val="single" w:color="auto" w:sz="4" w:space="0"/>
              <w:bottom w:val="nil"/>
            </w:tcBorders>
            <w:noWrap w:val="0"/>
            <w:vAlign w:val="top"/>
          </w:tcPr>
          <w:p w14:paraId="47C0BA64">
            <w:pPr>
              <w:widowControl w:val="0"/>
              <w:spacing w:line="315" w:lineRule="auto"/>
              <w:jc w:val="both"/>
              <w:rPr>
                <w:rFonts w:hint="eastAsia" w:ascii="宋体" w:hAnsi="宋体" w:eastAsia="宋体" w:cs="宋体"/>
                <w:kern w:val="2"/>
                <w:sz w:val="21"/>
                <w:szCs w:val="21"/>
                <w:lang w:val="en-US" w:eastAsia="en-US" w:bidi="ar-SA"/>
              </w:rPr>
            </w:pPr>
          </w:p>
          <w:p w14:paraId="31068CA8">
            <w:pPr>
              <w:widowControl w:val="0"/>
              <w:spacing w:line="315" w:lineRule="auto"/>
              <w:jc w:val="both"/>
              <w:rPr>
                <w:rFonts w:hint="eastAsia" w:ascii="宋体" w:hAnsi="宋体" w:eastAsia="宋体" w:cs="宋体"/>
                <w:kern w:val="2"/>
                <w:sz w:val="21"/>
                <w:szCs w:val="21"/>
                <w:lang w:val="en-US" w:eastAsia="en-US" w:bidi="ar-SA"/>
              </w:rPr>
            </w:pPr>
          </w:p>
          <w:p w14:paraId="2149BAA9">
            <w:pPr>
              <w:widowControl w:val="0"/>
              <w:spacing w:line="315" w:lineRule="auto"/>
              <w:jc w:val="both"/>
              <w:rPr>
                <w:rFonts w:hint="eastAsia" w:ascii="宋体" w:hAnsi="宋体" w:eastAsia="宋体" w:cs="宋体"/>
                <w:kern w:val="2"/>
                <w:sz w:val="21"/>
                <w:szCs w:val="21"/>
                <w:lang w:val="en-US" w:eastAsia="en-US" w:bidi="ar-SA"/>
              </w:rPr>
            </w:pPr>
          </w:p>
          <w:p w14:paraId="47A8C10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3B6BC972">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noWrap w:val="0"/>
            <w:vAlign w:val="top"/>
          </w:tcPr>
          <w:p w14:paraId="153166AB">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15257DF">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5D5846A">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7CC00060">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187A07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3F73F9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606A632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2AE0A20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CFA4DAC">
            <w:pPr>
              <w:widowControl w:val="0"/>
              <w:spacing w:line="225" w:lineRule="exact"/>
              <w:jc w:val="both"/>
              <w:rPr>
                <w:rFonts w:hint="eastAsia" w:ascii="宋体" w:hAnsi="宋体" w:eastAsia="宋体" w:cs="宋体"/>
                <w:kern w:val="2"/>
                <w:sz w:val="19"/>
                <w:szCs w:val="21"/>
                <w:lang w:val="en-US" w:eastAsia="en-US" w:bidi="ar-SA"/>
              </w:rPr>
            </w:pPr>
          </w:p>
        </w:tc>
      </w:tr>
      <w:tr w14:paraId="7DDAF3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C3FDA0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302C82E">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79B51F8D">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1F4F02C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7117D06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18F5CA2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CD6DF5F">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0BA5BFE">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6599FD5">
            <w:pPr>
              <w:widowControl w:val="0"/>
              <w:spacing w:line="225" w:lineRule="exact"/>
              <w:jc w:val="both"/>
              <w:rPr>
                <w:rFonts w:hint="eastAsia" w:ascii="宋体" w:hAnsi="宋体" w:eastAsia="宋体" w:cs="宋体"/>
                <w:kern w:val="2"/>
                <w:sz w:val="19"/>
                <w:szCs w:val="21"/>
                <w:lang w:val="en-US" w:eastAsia="en-US" w:bidi="ar-SA"/>
              </w:rPr>
            </w:pPr>
          </w:p>
        </w:tc>
      </w:tr>
      <w:tr w14:paraId="04430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E64AF7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77F085F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26BA790A">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5419B8A9">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2ACFA84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3BB86C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CE9C24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9BEDBD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67391EF5">
            <w:pPr>
              <w:widowControl w:val="0"/>
              <w:spacing w:line="225" w:lineRule="exact"/>
              <w:jc w:val="both"/>
              <w:rPr>
                <w:rFonts w:hint="eastAsia" w:ascii="宋体" w:hAnsi="宋体" w:eastAsia="宋体" w:cs="宋体"/>
                <w:kern w:val="2"/>
                <w:sz w:val="19"/>
                <w:szCs w:val="21"/>
                <w:lang w:val="en-US" w:eastAsia="en-US" w:bidi="ar-SA"/>
              </w:rPr>
            </w:pPr>
          </w:p>
        </w:tc>
      </w:tr>
      <w:tr w14:paraId="01B45F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420CE6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16D6E8B1">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31F3995C">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6A53215E">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4CA3669A">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noWrap w:val="0"/>
            <w:vAlign w:val="top"/>
          </w:tcPr>
          <w:p w14:paraId="798518DC">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3C949AC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D27C10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306801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6DC5A26">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7E678F4">
            <w:pPr>
              <w:widowControl w:val="0"/>
              <w:spacing w:line="225" w:lineRule="exact"/>
              <w:jc w:val="both"/>
              <w:rPr>
                <w:rFonts w:hint="eastAsia" w:ascii="宋体" w:hAnsi="宋体" w:eastAsia="宋体" w:cs="宋体"/>
                <w:kern w:val="2"/>
                <w:sz w:val="19"/>
                <w:szCs w:val="21"/>
                <w:lang w:val="en-US" w:eastAsia="en-US" w:bidi="ar-SA"/>
              </w:rPr>
            </w:pPr>
          </w:p>
        </w:tc>
      </w:tr>
      <w:tr w14:paraId="7C405B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C6C6884">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E02D4FA">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1E2E9453">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360006B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1CA790C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15BBE4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1DC9CF50">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B371C83">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5184375">
            <w:pPr>
              <w:widowControl w:val="0"/>
              <w:spacing w:line="225" w:lineRule="exact"/>
              <w:jc w:val="both"/>
              <w:rPr>
                <w:rFonts w:hint="eastAsia" w:ascii="宋体" w:hAnsi="宋体" w:eastAsia="宋体" w:cs="宋体"/>
                <w:kern w:val="2"/>
                <w:sz w:val="19"/>
                <w:szCs w:val="21"/>
                <w:lang w:val="en-US" w:eastAsia="en-US" w:bidi="ar-SA"/>
              </w:rPr>
            </w:pPr>
          </w:p>
        </w:tc>
      </w:tr>
      <w:tr w14:paraId="348764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65FB9B39">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402238C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1EA1D025">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EEEBD66">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04CAAD82">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C33A9D3">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8729A7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D0B185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EEDF5D4">
            <w:pPr>
              <w:widowControl w:val="0"/>
              <w:spacing w:line="225" w:lineRule="exact"/>
              <w:jc w:val="both"/>
              <w:rPr>
                <w:rFonts w:hint="eastAsia" w:ascii="宋体" w:hAnsi="宋体" w:eastAsia="宋体" w:cs="宋体"/>
                <w:kern w:val="2"/>
                <w:sz w:val="19"/>
                <w:szCs w:val="21"/>
                <w:lang w:val="en-US" w:eastAsia="en-US" w:bidi="ar-SA"/>
              </w:rPr>
            </w:pPr>
          </w:p>
        </w:tc>
      </w:tr>
      <w:tr w14:paraId="45252D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658629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F2A752D">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nil"/>
              <w:right w:val="single" w:color="auto" w:sz="4" w:space="0"/>
            </w:tcBorders>
            <w:noWrap w:val="0"/>
            <w:vAlign w:val="top"/>
          </w:tcPr>
          <w:p w14:paraId="46E7B289">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44CF59A3">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F492DD6">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noWrap w:val="0"/>
            <w:vAlign w:val="top"/>
          </w:tcPr>
          <w:p w14:paraId="24EACCF0">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5F71CE8D">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0B3D870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8511763">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B31901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6781DD1">
            <w:pPr>
              <w:widowControl w:val="0"/>
              <w:spacing w:line="225" w:lineRule="exact"/>
              <w:jc w:val="both"/>
              <w:rPr>
                <w:rFonts w:hint="eastAsia" w:ascii="宋体" w:hAnsi="宋体" w:eastAsia="宋体" w:cs="宋体"/>
                <w:kern w:val="2"/>
                <w:sz w:val="19"/>
                <w:szCs w:val="21"/>
                <w:lang w:val="en-US" w:eastAsia="en-US" w:bidi="ar-SA"/>
              </w:rPr>
            </w:pPr>
          </w:p>
        </w:tc>
      </w:tr>
      <w:tr w14:paraId="11D6F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C3D59F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88F183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bottom w:val="nil"/>
              <w:right w:val="single" w:color="auto" w:sz="4" w:space="0"/>
            </w:tcBorders>
            <w:noWrap w:val="0"/>
            <w:vAlign w:val="top"/>
          </w:tcPr>
          <w:p w14:paraId="275499CE">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51657A2">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49D74EF0">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68EBBBF6">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1F1953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52CFD4A0">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0F7AD5B">
            <w:pPr>
              <w:widowControl w:val="0"/>
              <w:spacing w:line="225" w:lineRule="exact"/>
              <w:jc w:val="both"/>
              <w:rPr>
                <w:rFonts w:hint="eastAsia" w:ascii="宋体" w:hAnsi="宋体" w:eastAsia="宋体" w:cs="宋体"/>
                <w:kern w:val="2"/>
                <w:sz w:val="19"/>
                <w:szCs w:val="21"/>
                <w:lang w:val="en-US" w:eastAsia="en-US" w:bidi="ar-SA"/>
              </w:rPr>
            </w:pPr>
          </w:p>
        </w:tc>
      </w:tr>
      <w:tr w14:paraId="334617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27C5EA8A">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516AC181">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nil"/>
              <w:right w:val="single" w:color="auto" w:sz="4" w:space="0"/>
            </w:tcBorders>
            <w:noWrap w:val="0"/>
            <w:vAlign w:val="top"/>
          </w:tcPr>
          <w:p w14:paraId="0141A083">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7FDE7998">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37910285">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126F3EF">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CA2CACD">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715F312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3ABD38D4">
            <w:pPr>
              <w:widowControl w:val="0"/>
              <w:spacing w:line="225" w:lineRule="exact"/>
              <w:jc w:val="both"/>
              <w:rPr>
                <w:rFonts w:hint="eastAsia" w:ascii="宋体" w:hAnsi="宋体" w:eastAsia="宋体" w:cs="宋体"/>
                <w:kern w:val="2"/>
                <w:sz w:val="19"/>
                <w:szCs w:val="21"/>
                <w:lang w:val="en-US" w:eastAsia="en-US" w:bidi="ar-SA"/>
              </w:rPr>
            </w:pPr>
          </w:p>
        </w:tc>
      </w:tr>
      <w:tr w14:paraId="7E7F8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377392EE">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nil"/>
            </w:tcBorders>
            <w:noWrap w:val="0"/>
            <w:vAlign w:val="top"/>
          </w:tcPr>
          <w:p w14:paraId="06610615">
            <w:pPr>
              <w:widowControl w:val="0"/>
              <w:jc w:val="both"/>
              <w:rPr>
                <w:rFonts w:hint="eastAsia" w:ascii="宋体" w:hAnsi="宋体" w:eastAsia="宋体" w:cs="宋体"/>
                <w:kern w:val="2"/>
                <w:sz w:val="21"/>
                <w:szCs w:val="21"/>
                <w:lang w:val="en-US" w:eastAsia="en-US" w:bidi="ar-SA"/>
              </w:rPr>
            </w:pPr>
          </w:p>
        </w:tc>
        <w:tc>
          <w:tcPr>
            <w:tcW w:w="955" w:type="dxa"/>
            <w:tcBorders>
              <w:bottom w:val="nil"/>
              <w:right w:val="single" w:color="auto" w:sz="4" w:space="0"/>
            </w:tcBorders>
            <w:noWrap w:val="0"/>
            <w:vAlign w:val="top"/>
          </w:tcPr>
          <w:p w14:paraId="43BDC256">
            <w:pPr>
              <w:spacing w:before="26" w:line="213" w:lineRule="auto"/>
              <w:jc w:val="center"/>
              <w:rPr>
                <w:rFonts w:hint="eastAsia" w:ascii="宋体" w:hAnsi="宋体" w:eastAsia="宋体" w:cs="宋体"/>
                <w:sz w:val="19"/>
                <w:szCs w:val="19"/>
                <w:lang w:eastAsia="zh-CN"/>
              </w:rPr>
            </w:pPr>
          </w:p>
        </w:tc>
        <w:tc>
          <w:tcPr>
            <w:tcW w:w="1244" w:type="dxa"/>
            <w:tcBorders>
              <w:left w:val="single" w:color="auto" w:sz="4" w:space="0"/>
            </w:tcBorders>
            <w:noWrap w:val="0"/>
            <w:vAlign w:val="top"/>
          </w:tcPr>
          <w:p w14:paraId="1FA9B543">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FAA07BB">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74EA3828">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3CCA8831">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0A73A1A5">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A9C75DF">
            <w:pPr>
              <w:widowControl w:val="0"/>
              <w:spacing w:line="225" w:lineRule="exact"/>
              <w:jc w:val="both"/>
              <w:rPr>
                <w:rFonts w:hint="eastAsia" w:ascii="宋体" w:hAnsi="宋体" w:eastAsia="宋体" w:cs="宋体"/>
                <w:kern w:val="2"/>
                <w:sz w:val="19"/>
                <w:szCs w:val="21"/>
                <w:lang w:val="en-US" w:eastAsia="en-US" w:bidi="ar-SA"/>
              </w:rPr>
            </w:pPr>
          </w:p>
        </w:tc>
      </w:tr>
      <w:tr w14:paraId="18246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70167FEC">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nil"/>
              <w:left w:val="single" w:color="auto" w:sz="4" w:space="0"/>
              <w:bottom w:val="single" w:color="auto" w:sz="4" w:space="0"/>
            </w:tcBorders>
            <w:noWrap w:val="0"/>
            <w:vAlign w:val="top"/>
          </w:tcPr>
          <w:p w14:paraId="54CFD527">
            <w:pPr>
              <w:widowControl w:val="0"/>
              <w:jc w:val="both"/>
              <w:rPr>
                <w:rFonts w:hint="eastAsia" w:ascii="宋体" w:hAnsi="宋体" w:eastAsia="宋体" w:cs="宋体"/>
                <w:kern w:val="2"/>
                <w:sz w:val="21"/>
                <w:szCs w:val="21"/>
                <w:lang w:val="en-US" w:eastAsia="en-US" w:bidi="ar-SA"/>
              </w:rPr>
            </w:pPr>
          </w:p>
        </w:tc>
        <w:tc>
          <w:tcPr>
            <w:tcW w:w="955" w:type="dxa"/>
            <w:vMerge w:val="restart"/>
            <w:tcBorders>
              <w:bottom w:val="single" w:color="auto" w:sz="4" w:space="0"/>
              <w:right w:val="single" w:color="auto" w:sz="4" w:space="0"/>
            </w:tcBorders>
            <w:noWrap w:val="0"/>
            <w:vAlign w:val="top"/>
          </w:tcPr>
          <w:p w14:paraId="4C7572D4">
            <w:pPr>
              <w:spacing w:before="26" w:line="213" w:lineRule="auto"/>
              <w:jc w:val="center"/>
              <w:rPr>
                <w:rFonts w:hint="eastAsia" w:ascii="宋体" w:hAnsi="宋体" w:eastAsia="宋体" w:cs="宋体"/>
                <w:sz w:val="19"/>
                <w:szCs w:val="19"/>
              </w:rPr>
            </w:pPr>
            <w:r>
              <w:rPr>
                <w:rFonts w:hint="eastAsia" w:ascii="宋体" w:hAnsi="宋体" w:eastAsia="宋体" w:cs="宋体"/>
                <w:sz w:val="19"/>
                <w:szCs w:val="19"/>
                <w:lang w:eastAsia="zh-CN"/>
              </w:rPr>
              <w:t>可持续影响指标</w:t>
            </w:r>
          </w:p>
        </w:tc>
        <w:tc>
          <w:tcPr>
            <w:tcW w:w="1244" w:type="dxa"/>
            <w:tcBorders>
              <w:left w:val="single" w:color="auto" w:sz="4" w:space="0"/>
            </w:tcBorders>
            <w:noWrap w:val="0"/>
            <w:vAlign w:val="top"/>
          </w:tcPr>
          <w:p w14:paraId="6181B847">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612B7BA4">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453C4482">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5375C03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6B1FFCEC">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7867EB5E">
            <w:pPr>
              <w:widowControl w:val="0"/>
              <w:spacing w:line="225" w:lineRule="exact"/>
              <w:jc w:val="both"/>
              <w:rPr>
                <w:rFonts w:hint="eastAsia" w:ascii="宋体" w:hAnsi="宋体" w:eastAsia="宋体" w:cs="宋体"/>
                <w:kern w:val="2"/>
                <w:sz w:val="19"/>
                <w:szCs w:val="21"/>
                <w:lang w:val="en-US" w:eastAsia="en-US" w:bidi="ar-SA"/>
              </w:rPr>
            </w:pPr>
          </w:p>
        </w:tc>
      </w:tr>
      <w:tr w14:paraId="11790A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noWrap w:val="0"/>
            <w:textDirection w:val="tbRlV"/>
            <w:vAlign w:val="top"/>
          </w:tcPr>
          <w:p w14:paraId="005AE8D7">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left w:val="single" w:color="auto" w:sz="4" w:space="0"/>
              <w:bottom w:val="single" w:color="auto" w:sz="4" w:space="0"/>
            </w:tcBorders>
            <w:noWrap w:val="0"/>
            <w:vAlign w:val="top"/>
          </w:tcPr>
          <w:p w14:paraId="76E3204F">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right w:val="single" w:color="auto" w:sz="4" w:space="0"/>
            </w:tcBorders>
            <w:noWrap w:val="0"/>
            <w:vAlign w:val="top"/>
          </w:tcPr>
          <w:p w14:paraId="0C739386">
            <w:pPr>
              <w:widowControl w:val="0"/>
              <w:jc w:val="both"/>
              <w:rPr>
                <w:rFonts w:hint="eastAsia" w:ascii="宋体" w:hAnsi="宋体" w:eastAsia="宋体" w:cs="宋体"/>
                <w:kern w:val="2"/>
                <w:sz w:val="21"/>
                <w:szCs w:val="21"/>
                <w:lang w:val="en-US" w:eastAsia="en-US" w:bidi="ar-SA"/>
              </w:rPr>
            </w:pPr>
          </w:p>
        </w:tc>
        <w:tc>
          <w:tcPr>
            <w:tcW w:w="1244" w:type="dxa"/>
            <w:tcBorders>
              <w:left w:val="single" w:color="auto" w:sz="4" w:space="0"/>
            </w:tcBorders>
            <w:noWrap w:val="0"/>
            <w:vAlign w:val="top"/>
          </w:tcPr>
          <w:p w14:paraId="6BE4D7A2">
            <w:pPr>
              <w:widowControl w:val="0"/>
              <w:spacing w:line="225" w:lineRule="exact"/>
              <w:jc w:val="both"/>
              <w:rPr>
                <w:rFonts w:hint="eastAsia" w:ascii="宋体" w:hAnsi="宋体" w:eastAsia="宋体" w:cs="宋体"/>
                <w:kern w:val="2"/>
                <w:sz w:val="19"/>
                <w:szCs w:val="21"/>
                <w:lang w:val="en-US" w:eastAsia="en-US" w:bidi="ar-SA"/>
              </w:rPr>
            </w:pPr>
            <w:r>
              <w:rPr>
                <w:rFonts w:hint="eastAsia" w:ascii="宋体" w:hAnsi="宋体" w:eastAsia="宋体" w:cs="宋体"/>
                <w:spacing w:val="-2"/>
                <w:kern w:val="2"/>
                <w:position w:val="1"/>
                <w:sz w:val="19"/>
                <w:szCs w:val="19"/>
                <w:lang w:val="en-US" w:eastAsia="en-US" w:bidi="ar-SA"/>
              </w:rPr>
              <w:t>……</w:t>
            </w:r>
          </w:p>
        </w:tc>
        <w:tc>
          <w:tcPr>
            <w:tcW w:w="1244" w:type="dxa"/>
            <w:noWrap w:val="0"/>
            <w:vAlign w:val="top"/>
          </w:tcPr>
          <w:p w14:paraId="165A714E">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3BF7119">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4EE875C2">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4A1D98D9">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4DE541DF">
            <w:pPr>
              <w:widowControl w:val="0"/>
              <w:spacing w:line="225" w:lineRule="exact"/>
              <w:jc w:val="both"/>
              <w:rPr>
                <w:rFonts w:hint="eastAsia" w:ascii="宋体" w:hAnsi="宋体" w:eastAsia="宋体" w:cs="宋体"/>
                <w:kern w:val="2"/>
                <w:sz w:val="19"/>
                <w:szCs w:val="21"/>
                <w:lang w:val="en-US" w:eastAsia="en-US" w:bidi="ar-SA"/>
              </w:rPr>
            </w:pPr>
          </w:p>
        </w:tc>
      </w:tr>
      <w:tr w14:paraId="5E99EC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175D2357">
            <w:pPr>
              <w:widowControl w:val="0"/>
              <w:jc w:val="both"/>
              <w:rPr>
                <w:rFonts w:hint="eastAsia" w:ascii="宋体" w:hAnsi="宋体" w:eastAsia="宋体" w:cs="宋体"/>
                <w:kern w:val="2"/>
                <w:sz w:val="21"/>
                <w:szCs w:val="21"/>
                <w:lang w:val="en-US" w:eastAsia="en-US" w:bidi="ar-SA"/>
              </w:rPr>
            </w:pPr>
          </w:p>
        </w:tc>
        <w:tc>
          <w:tcPr>
            <w:tcW w:w="1079" w:type="dxa"/>
            <w:vMerge w:val="restart"/>
            <w:tcBorders>
              <w:top w:val="single" w:color="auto" w:sz="4" w:space="0"/>
              <w:bottom w:val="single" w:color="auto" w:sz="4" w:space="0"/>
            </w:tcBorders>
            <w:noWrap w:val="0"/>
            <w:vAlign w:val="top"/>
          </w:tcPr>
          <w:p w14:paraId="7CB66449">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31023A0A">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365DC56">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noWrap w:val="0"/>
            <w:vAlign w:val="top"/>
          </w:tcPr>
          <w:p w14:paraId="7B468DD5">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1AAD6F5E">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6676C240">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noWrap w:val="0"/>
            <w:vAlign w:val="top"/>
          </w:tcPr>
          <w:p w14:paraId="551A13AB">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0FB6677C">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2630DDD4">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FC934B9">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39A131E4">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50897CC2">
            <w:pPr>
              <w:widowControl w:val="0"/>
              <w:spacing w:line="225" w:lineRule="exact"/>
              <w:jc w:val="both"/>
              <w:rPr>
                <w:rFonts w:hint="eastAsia" w:ascii="宋体" w:hAnsi="宋体" w:eastAsia="宋体" w:cs="宋体"/>
                <w:kern w:val="2"/>
                <w:sz w:val="19"/>
                <w:szCs w:val="21"/>
                <w:lang w:val="en-US" w:eastAsia="en-US" w:bidi="ar-SA"/>
              </w:rPr>
            </w:pPr>
          </w:p>
        </w:tc>
      </w:tr>
      <w:tr w14:paraId="2E57E6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noWrap w:val="0"/>
            <w:textDirection w:val="tbRlV"/>
            <w:vAlign w:val="top"/>
          </w:tcPr>
          <w:p w14:paraId="5DEEDA51">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45EEC703">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6E39482E">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220D024">
            <w:pPr>
              <w:widowControl w:val="0"/>
              <w:spacing w:line="225" w:lineRule="exact"/>
              <w:jc w:val="both"/>
              <w:rPr>
                <w:rFonts w:hint="eastAsia" w:ascii="宋体" w:hAnsi="宋体" w:eastAsia="宋体" w:cs="宋体"/>
                <w:kern w:val="2"/>
                <w:sz w:val="19"/>
                <w:szCs w:val="21"/>
                <w:lang w:val="en-US" w:eastAsia="en-US" w:bidi="ar-SA"/>
              </w:rPr>
            </w:pPr>
          </w:p>
        </w:tc>
        <w:tc>
          <w:tcPr>
            <w:tcW w:w="1244" w:type="dxa"/>
            <w:noWrap w:val="0"/>
            <w:vAlign w:val="top"/>
          </w:tcPr>
          <w:p w14:paraId="27B1D9DA">
            <w:pPr>
              <w:widowControl w:val="0"/>
              <w:spacing w:line="225" w:lineRule="exact"/>
              <w:jc w:val="both"/>
              <w:rPr>
                <w:rFonts w:hint="eastAsia" w:ascii="宋体" w:hAnsi="宋体" w:eastAsia="宋体" w:cs="宋体"/>
                <w:kern w:val="2"/>
                <w:sz w:val="19"/>
                <w:szCs w:val="21"/>
                <w:lang w:val="en-US" w:eastAsia="en-US" w:bidi="ar-SA"/>
              </w:rPr>
            </w:pPr>
          </w:p>
        </w:tc>
        <w:tc>
          <w:tcPr>
            <w:tcW w:w="1281" w:type="dxa"/>
            <w:noWrap w:val="0"/>
            <w:vAlign w:val="top"/>
          </w:tcPr>
          <w:p w14:paraId="301D8CDB">
            <w:pPr>
              <w:widowControl w:val="0"/>
              <w:spacing w:line="225" w:lineRule="exact"/>
              <w:jc w:val="both"/>
              <w:rPr>
                <w:rFonts w:hint="eastAsia" w:ascii="宋体" w:hAnsi="宋体" w:eastAsia="宋体" w:cs="宋体"/>
                <w:kern w:val="2"/>
                <w:sz w:val="19"/>
                <w:szCs w:val="21"/>
                <w:lang w:val="en-US" w:eastAsia="en-US" w:bidi="ar-SA"/>
              </w:rPr>
            </w:pPr>
          </w:p>
        </w:tc>
        <w:tc>
          <w:tcPr>
            <w:tcW w:w="673" w:type="dxa"/>
            <w:noWrap w:val="0"/>
            <w:vAlign w:val="top"/>
          </w:tcPr>
          <w:p w14:paraId="2EB2D4CB">
            <w:pPr>
              <w:widowControl w:val="0"/>
              <w:spacing w:line="225" w:lineRule="exact"/>
              <w:jc w:val="both"/>
              <w:rPr>
                <w:rFonts w:hint="eastAsia" w:ascii="宋体" w:hAnsi="宋体" w:eastAsia="宋体" w:cs="宋体"/>
                <w:kern w:val="2"/>
                <w:sz w:val="19"/>
                <w:szCs w:val="21"/>
                <w:lang w:val="en-US" w:eastAsia="en-US" w:bidi="ar-SA"/>
              </w:rPr>
            </w:pPr>
          </w:p>
        </w:tc>
        <w:tc>
          <w:tcPr>
            <w:tcW w:w="873" w:type="dxa"/>
            <w:noWrap w:val="0"/>
            <w:vAlign w:val="top"/>
          </w:tcPr>
          <w:p w14:paraId="1A84E581">
            <w:pPr>
              <w:widowControl w:val="0"/>
              <w:spacing w:line="225" w:lineRule="exact"/>
              <w:jc w:val="both"/>
              <w:rPr>
                <w:rFonts w:hint="eastAsia" w:ascii="宋体" w:hAnsi="宋体" w:eastAsia="宋体" w:cs="宋体"/>
                <w:kern w:val="2"/>
                <w:sz w:val="19"/>
                <w:szCs w:val="21"/>
                <w:lang w:val="en-US" w:eastAsia="en-US" w:bidi="ar-SA"/>
              </w:rPr>
            </w:pPr>
          </w:p>
        </w:tc>
        <w:tc>
          <w:tcPr>
            <w:tcW w:w="1422" w:type="dxa"/>
            <w:noWrap w:val="0"/>
            <w:vAlign w:val="top"/>
          </w:tcPr>
          <w:p w14:paraId="15006A66">
            <w:pPr>
              <w:widowControl w:val="0"/>
              <w:spacing w:line="225" w:lineRule="exact"/>
              <w:jc w:val="both"/>
              <w:rPr>
                <w:rFonts w:hint="eastAsia" w:ascii="宋体" w:hAnsi="宋体" w:eastAsia="宋体" w:cs="宋体"/>
                <w:kern w:val="2"/>
                <w:sz w:val="19"/>
                <w:szCs w:val="21"/>
                <w:lang w:val="en-US" w:eastAsia="en-US" w:bidi="ar-SA"/>
              </w:rPr>
            </w:pPr>
          </w:p>
        </w:tc>
      </w:tr>
      <w:tr w14:paraId="650BF0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noWrap w:val="0"/>
            <w:textDirection w:val="tbRlV"/>
            <w:vAlign w:val="top"/>
          </w:tcPr>
          <w:p w14:paraId="7D5998E0">
            <w:pPr>
              <w:widowControl w:val="0"/>
              <w:jc w:val="both"/>
              <w:rPr>
                <w:rFonts w:hint="eastAsia" w:ascii="宋体" w:hAnsi="宋体" w:eastAsia="宋体" w:cs="宋体"/>
                <w:kern w:val="2"/>
                <w:sz w:val="21"/>
                <w:szCs w:val="21"/>
                <w:lang w:val="en-US" w:eastAsia="en-US" w:bidi="ar-SA"/>
              </w:rPr>
            </w:pPr>
          </w:p>
        </w:tc>
        <w:tc>
          <w:tcPr>
            <w:tcW w:w="1079" w:type="dxa"/>
            <w:vMerge w:val="continue"/>
            <w:tcBorders>
              <w:top w:val="single" w:color="auto" w:sz="4" w:space="0"/>
              <w:bottom w:val="single" w:color="auto" w:sz="4" w:space="0"/>
            </w:tcBorders>
            <w:noWrap w:val="0"/>
            <w:vAlign w:val="top"/>
          </w:tcPr>
          <w:p w14:paraId="56C31B7C">
            <w:pPr>
              <w:widowControl w:val="0"/>
              <w:jc w:val="both"/>
              <w:rPr>
                <w:rFonts w:hint="eastAsia" w:ascii="宋体" w:hAnsi="宋体" w:eastAsia="宋体" w:cs="宋体"/>
                <w:kern w:val="2"/>
                <w:sz w:val="21"/>
                <w:szCs w:val="21"/>
                <w:lang w:val="en-US" w:eastAsia="en-US" w:bidi="ar-SA"/>
              </w:rPr>
            </w:pPr>
          </w:p>
        </w:tc>
        <w:tc>
          <w:tcPr>
            <w:tcW w:w="955" w:type="dxa"/>
            <w:vMerge w:val="continue"/>
            <w:tcBorders>
              <w:top w:val="single" w:color="auto" w:sz="4" w:space="0"/>
              <w:bottom w:val="single" w:color="auto" w:sz="4" w:space="0"/>
            </w:tcBorders>
            <w:noWrap w:val="0"/>
            <w:vAlign w:val="top"/>
          </w:tcPr>
          <w:p w14:paraId="1CC49C01">
            <w:pPr>
              <w:widowControl w:val="0"/>
              <w:jc w:val="both"/>
              <w:rPr>
                <w:rFonts w:hint="eastAsia" w:ascii="宋体" w:hAnsi="宋体" w:eastAsia="宋体" w:cs="宋体"/>
                <w:kern w:val="2"/>
                <w:sz w:val="21"/>
                <w:szCs w:val="21"/>
                <w:lang w:val="en-US" w:eastAsia="en-US" w:bidi="ar-SA"/>
              </w:rPr>
            </w:pPr>
          </w:p>
        </w:tc>
        <w:tc>
          <w:tcPr>
            <w:tcW w:w="1244" w:type="dxa"/>
            <w:noWrap w:val="0"/>
            <w:vAlign w:val="top"/>
          </w:tcPr>
          <w:p w14:paraId="089A999A">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noWrap w:val="0"/>
            <w:vAlign w:val="top"/>
          </w:tcPr>
          <w:p w14:paraId="1F15A40D">
            <w:pPr>
              <w:widowControl w:val="0"/>
              <w:jc w:val="both"/>
              <w:rPr>
                <w:rFonts w:hint="eastAsia" w:ascii="宋体" w:hAnsi="宋体" w:eastAsia="宋体" w:cs="宋体"/>
                <w:kern w:val="2"/>
                <w:sz w:val="21"/>
                <w:szCs w:val="21"/>
                <w:lang w:val="en-US" w:eastAsia="en-US" w:bidi="ar-SA"/>
              </w:rPr>
            </w:pPr>
          </w:p>
        </w:tc>
        <w:tc>
          <w:tcPr>
            <w:tcW w:w="1281" w:type="dxa"/>
            <w:noWrap w:val="0"/>
            <w:vAlign w:val="top"/>
          </w:tcPr>
          <w:p w14:paraId="3E1AF206">
            <w:pPr>
              <w:widowControl w:val="0"/>
              <w:jc w:val="both"/>
              <w:rPr>
                <w:rFonts w:hint="eastAsia" w:ascii="宋体" w:hAnsi="宋体" w:eastAsia="宋体" w:cs="宋体"/>
                <w:kern w:val="2"/>
                <w:sz w:val="21"/>
                <w:szCs w:val="21"/>
                <w:lang w:val="en-US" w:eastAsia="en-US" w:bidi="ar-SA"/>
              </w:rPr>
            </w:pPr>
          </w:p>
        </w:tc>
        <w:tc>
          <w:tcPr>
            <w:tcW w:w="673" w:type="dxa"/>
            <w:noWrap w:val="0"/>
            <w:vAlign w:val="top"/>
          </w:tcPr>
          <w:p w14:paraId="19D68277">
            <w:pPr>
              <w:widowControl w:val="0"/>
              <w:jc w:val="both"/>
              <w:rPr>
                <w:rFonts w:hint="eastAsia" w:ascii="宋体" w:hAnsi="宋体" w:eastAsia="宋体" w:cs="宋体"/>
                <w:kern w:val="2"/>
                <w:sz w:val="21"/>
                <w:szCs w:val="21"/>
                <w:lang w:val="en-US" w:eastAsia="en-US" w:bidi="ar-SA"/>
              </w:rPr>
            </w:pPr>
          </w:p>
        </w:tc>
        <w:tc>
          <w:tcPr>
            <w:tcW w:w="873" w:type="dxa"/>
            <w:noWrap w:val="0"/>
            <w:vAlign w:val="top"/>
          </w:tcPr>
          <w:p w14:paraId="044F8091">
            <w:pPr>
              <w:widowControl w:val="0"/>
              <w:jc w:val="both"/>
              <w:rPr>
                <w:rFonts w:hint="eastAsia" w:ascii="宋体" w:hAnsi="宋体" w:eastAsia="宋体" w:cs="宋体"/>
                <w:kern w:val="2"/>
                <w:sz w:val="21"/>
                <w:szCs w:val="21"/>
                <w:lang w:val="en-US" w:eastAsia="en-US" w:bidi="ar-SA"/>
              </w:rPr>
            </w:pPr>
          </w:p>
        </w:tc>
        <w:tc>
          <w:tcPr>
            <w:tcW w:w="1422" w:type="dxa"/>
            <w:noWrap w:val="0"/>
            <w:vAlign w:val="top"/>
          </w:tcPr>
          <w:p w14:paraId="1DD61F4A">
            <w:pPr>
              <w:widowControl w:val="0"/>
              <w:jc w:val="both"/>
              <w:rPr>
                <w:rFonts w:hint="eastAsia" w:ascii="宋体" w:hAnsi="宋体" w:eastAsia="宋体" w:cs="宋体"/>
                <w:kern w:val="2"/>
                <w:sz w:val="21"/>
                <w:szCs w:val="21"/>
                <w:lang w:val="en-US" w:eastAsia="en-US" w:bidi="ar-SA"/>
              </w:rPr>
            </w:pPr>
          </w:p>
        </w:tc>
      </w:tr>
      <w:tr w14:paraId="3402C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noWrap w:val="0"/>
            <w:vAlign w:val="top"/>
          </w:tcPr>
          <w:p w14:paraId="7A6D39BF">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noWrap w:val="0"/>
            <w:vAlign w:val="top"/>
          </w:tcPr>
          <w:p w14:paraId="7E30A77B">
            <w:pPr>
              <w:spacing w:before="67" w:line="195" w:lineRule="auto"/>
              <w:ind w:left="208"/>
              <w:rPr>
                <w:rFonts w:hint="default" w:ascii="宋体" w:hAnsi="宋体" w:eastAsia="宋体" w:cs="宋体"/>
                <w:sz w:val="19"/>
                <w:szCs w:val="19"/>
                <w:lang w:val="en-US" w:eastAsia="zh-CN"/>
              </w:rPr>
            </w:pPr>
            <w:r>
              <w:rPr>
                <w:rFonts w:hint="eastAsia" w:ascii="宋体" w:hAnsi="宋体" w:eastAsia="宋体" w:cs="宋体"/>
                <w:kern w:val="2"/>
                <w:sz w:val="21"/>
                <w:szCs w:val="21"/>
                <w:lang w:val="en-US" w:eastAsia="zh-CN" w:bidi="ar-SA"/>
              </w:rPr>
              <w:t>/</w:t>
            </w:r>
          </w:p>
        </w:tc>
        <w:tc>
          <w:tcPr>
            <w:tcW w:w="873" w:type="dxa"/>
            <w:noWrap w:val="0"/>
            <w:vAlign w:val="top"/>
          </w:tcPr>
          <w:p w14:paraId="05791792">
            <w:pPr>
              <w:widowControl w:val="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w:t>
            </w:r>
          </w:p>
        </w:tc>
        <w:tc>
          <w:tcPr>
            <w:tcW w:w="1422" w:type="dxa"/>
            <w:noWrap w:val="0"/>
            <w:vAlign w:val="top"/>
          </w:tcPr>
          <w:p w14:paraId="2C934FAC">
            <w:pPr>
              <w:widowControl w:val="0"/>
              <w:jc w:val="both"/>
              <w:rPr>
                <w:rFonts w:hint="eastAsia" w:ascii="宋体" w:hAnsi="宋体" w:eastAsia="宋体" w:cs="宋体"/>
                <w:kern w:val="2"/>
                <w:sz w:val="21"/>
                <w:szCs w:val="21"/>
                <w:lang w:val="en-US" w:eastAsia="en-US" w:bidi="ar-SA"/>
              </w:rPr>
            </w:pPr>
          </w:p>
        </w:tc>
      </w:tr>
    </w:tbl>
    <w:p w14:paraId="665BCA11">
      <w:pPr>
        <w:keepNext w:val="0"/>
        <w:keepLines w:val="0"/>
        <w:pageBreakBefore w:val="0"/>
        <w:widowControl w:val="0"/>
        <w:kinsoku/>
        <w:wordWrap/>
        <w:overflowPunct/>
        <w:topLinePunct w:val="0"/>
        <w:autoSpaceDE/>
        <w:autoSpaceDN/>
        <w:bidi w:val="0"/>
        <w:adjustRightInd/>
        <w:snapToGrid/>
        <w:ind w:firstLine="440" w:firstLineChars="200"/>
        <w:jc w:val="left"/>
        <w:textAlignment w:val="auto"/>
        <w:rPr>
          <w:rFonts w:hint="eastAsia" w:eastAsia="宋体"/>
          <w:sz w:val="22"/>
          <w:szCs w:val="22"/>
          <w:lang w:eastAsia="zh-CN"/>
        </w:rPr>
        <w:sectPr>
          <w:footerReference r:id="rId4" w:type="default"/>
          <w:pgSz w:w="11900" w:h="16833"/>
          <w:pgMar w:top="1430" w:right="1017" w:bottom="1445" w:left="1022" w:header="0" w:footer="1169" w:gutter="0"/>
          <w:pgNumType w:fmt="decimal"/>
          <w:cols w:space="720" w:num="1"/>
        </w:sectPr>
      </w:pPr>
    </w:p>
    <w:p w14:paraId="2373921F">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p>
    <w:p w14:paraId="40B6FEC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pPr>
      <w:r>
        <w:rPr>
          <w:rFonts w:hint="default" w:ascii="黑体" w:hAnsi="黑体" w:eastAsia="黑体" w:cs="黑体"/>
          <w:b w:val="0"/>
          <w:bCs w:val="0"/>
          <w:color w:val="000000" w:themeColor="text1"/>
          <w:spacing w:val="10"/>
          <w:sz w:val="32"/>
          <w:szCs w:val="32"/>
          <w:lang w:val="en-US" w:eastAsia="zh-CN"/>
          <w14:textFill>
            <w14:solidFill>
              <w14:schemeClr w14:val="tx1"/>
            </w14:solidFill>
          </w14:textFill>
        </w:rPr>
        <w:t>附件</w:t>
      </w:r>
      <w:r>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t>4</w:t>
      </w:r>
    </w:p>
    <w:p w14:paraId="1CD4F633">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2"/>
          <w:szCs w:val="42"/>
          <w:lang w:val="en-US" w:eastAsia="zh-CN"/>
          <w14:textFill>
            <w14:solidFill>
              <w14:schemeClr w14:val="tx1"/>
            </w14:solidFill>
          </w14:textFill>
        </w:rPr>
      </w:pPr>
    </w:p>
    <w:p w14:paraId="54031110">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pP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202</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4</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年度</w:t>
      </w:r>
      <w:r>
        <w:rPr>
          <w:rFonts w:hint="eastAsia"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 xml:space="preserve">岳阳市岳阳楼区岳阳楼街道办事处     </w:t>
      </w:r>
      <w:r>
        <w:rPr>
          <w:rFonts w:hint="default" w:ascii="方正小标宋简体" w:hAnsi="方正小标宋简体" w:eastAsia="方正小标宋简体" w:cs="方正小标宋简体"/>
          <w:b w:val="0"/>
          <w:bCs w:val="0"/>
          <w:color w:val="000000" w:themeColor="text1"/>
          <w:spacing w:val="2"/>
          <w:sz w:val="44"/>
          <w:szCs w:val="44"/>
          <w:lang w:val="en-US" w:eastAsia="zh-CN"/>
          <w14:textFill>
            <w14:solidFill>
              <w14:schemeClr w14:val="tx1"/>
            </w14:solidFill>
          </w14:textFill>
        </w:rPr>
        <w:t>整体支出绩效自评报告</w:t>
      </w:r>
    </w:p>
    <w:p w14:paraId="09C8793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038956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82B0E81">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1DC2A88">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1266EE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BDA4D2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706EEB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663AA6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A5309B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12BF3B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1DF52CC">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D9B48FB">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48F82B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3DF8B4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2C7BF8F">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99B506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2E2A0E0">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4C6D27E">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4FF48DC4">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A985745">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B277F0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BCE5CC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F7E27D3">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1B0F73F9">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F46F0C6">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0BF41AB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65415555">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部门(单位)名称：   ( 盖 章 )</w:t>
      </w:r>
    </w:p>
    <w:p w14:paraId="715E6B6B">
      <w:pPr>
        <w:keepNext w:val="0"/>
        <w:keepLines w:val="0"/>
        <w:pageBreakBefore w:val="0"/>
        <w:widowControl w:val="0"/>
        <w:kinsoku/>
        <w:wordWrap/>
        <w:overflowPunct/>
        <w:topLinePunct w:val="0"/>
        <w:autoSpaceDE/>
        <w:autoSpaceDN/>
        <w:bidi w:val="0"/>
        <w:adjustRightInd/>
        <w:snapToGrid/>
        <w:ind w:left="0"/>
        <w:jc w:val="center"/>
        <w:textAlignment w:val="auto"/>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pPr>
      <w:r>
        <w:rPr>
          <w:rFonts w:hint="eastAsia" w:ascii="楷体_GB2312" w:hAnsi="楷体_GB2312" w:eastAsia="楷体_GB2312" w:cs="楷体_GB2312"/>
          <w:color w:val="000000" w:themeColor="text1"/>
          <w:spacing w:val="0"/>
          <w:position w:val="0"/>
          <w:sz w:val="36"/>
          <w:szCs w:val="36"/>
          <w:lang w:val="en-US" w:eastAsia="zh-CN"/>
          <w14:textFill>
            <w14:solidFill>
              <w14:schemeClr w14:val="tx1"/>
            </w14:solidFill>
          </w14:textFill>
        </w:rPr>
        <w:t>2025年7月2日</w:t>
      </w:r>
    </w:p>
    <w:p w14:paraId="14F6EA4A">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7A82B262">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2459D27D">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52BD2CA7">
      <w:pPr>
        <w:keepNext w:val="0"/>
        <w:keepLines w:val="0"/>
        <w:pageBreakBefore w:val="0"/>
        <w:widowControl w:val="0"/>
        <w:kinsoku/>
        <w:wordWrap/>
        <w:overflowPunct/>
        <w:topLinePunct w:val="0"/>
        <w:autoSpaceDE/>
        <w:autoSpaceDN/>
        <w:bidi w:val="0"/>
        <w:adjustRightInd/>
        <w:snapToGrid/>
        <w:ind w:left="0"/>
        <w:jc w:val="left"/>
        <w:textAlignment w:val="auto"/>
        <w:rPr>
          <w:rFonts w:hint="default" w:ascii="仿宋" w:hAnsi="仿宋" w:eastAsia="仿宋" w:cs="仿宋"/>
          <w:color w:val="000000" w:themeColor="text1"/>
          <w:spacing w:val="0"/>
          <w:position w:val="0"/>
          <w:sz w:val="22"/>
          <w:szCs w:val="22"/>
          <w:lang w:val="en-US" w:eastAsia="zh-CN"/>
          <w14:textFill>
            <w14:solidFill>
              <w14:schemeClr w14:val="tx1"/>
            </w14:solidFill>
          </w14:textFill>
        </w:rPr>
      </w:pPr>
    </w:p>
    <w:p w14:paraId="3C65FB6A">
      <w:pPr>
        <w:spacing w:line="700" w:lineRule="exact"/>
        <w:jc w:val="cente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202</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4</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年度</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岳阳市</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岳阳楼区</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岳阳楼</w:t>
      </w:r>
      <w:r>
        <w:rPr>
          <w:rFonts w:hint="eastAsia" w:ascii="方正小标宋简体" w:hAnsi="方正小标宋简体" w:eastAsia="方正小标宋简体" w:cs="方正小标宋简体"/>
          <w:color w:val="000000" w:themeColor="text1"/>
          <w:sz w:val="44"/>
          <w:szCs w:val="44"/>
          <w:lang w:eastAsia="zh-CN"/>
          <w14:textFill>
            <w14:solidFill>
              <w14:schemeClr w14:val="tx1"/>
            </w14:solidFill>
          </w14:textFill>
        </w:rPr>
        <w:t>街道办事处</w:t>
      </w:r>
    </w:p>
    <w:p w14:paraId="27520F21">
      <w:pPr>
        <w:spacing w:line="70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单位整体支出绩效自评报告</w:t>
      </w:r>
    </w:p>
    <w:p w14:paraId="7F4EB33E">
      <w:pPr>
        <w:jc w:val="left"/>
        <w:rPr>
          <w:rFonts w:ascii="仿宋" w:hAnsi="仿宋" w:eastAsia="仿宋" w:cs="仿宋"/>
          <w:color w:val="000000" w:themeColor="text1"/>
          <w:sz w:val="22"/>
          <w:szCs w:val="22"/>
          <w14:textFill>
            <w14:solidFill>
              <w14:schemeClr w14:val="tx1"/>
            </w14:solidFill>
          </w14:textFill>
        </w:rPr>
      </w:pPr>
    </w:p>
    <w:p w14:paraId="74782B89">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一、单位基本情况</w:t>
      </w:r>
    </w:p>
    <w:p w14:paraId="31184CD2">
      <w:pPr>
        <w:keepNext w:val="0"/>
        <w:keepLines w:val="0"/>
        <w:pageBreakBefore w:val="0"/>
        <w:kinsoku/>
        <w:wordWrap/>
        <w:overflowPunct/>
        <w:topLinePunct w:val="0"/>
        <w:autoSpaceDE/>
        <w:autoSpaceDN/>
        <w:bidi w:val="0"/>
        <w:adjustRightInd/>
        <w:snapToGrid/>
        <w:spacing w:line="600" w:lineRule="exact"/>
        <w:ind w:firstLine="562" w:firstLineChars="200"/>
        <w:textAlignment w:val="auto"/>
        <w:rPr>
          <w:rFonts w:ascii="仿宋" w:hAnsi="仿宋" w:eastAsia="仿宋" w:cs="Times New Roman"/>
          <w:b/>
          <w:bCs/>
          <w:sz w:val="28"/>
          <w:szCs w:val="28"/>
        </w:rPr>
      </w:pPr>
      <w:r>
        <w:rPr>
          <w:rFonts w:hint="eastAsia" w:ascii="仿宋" w:hAnsi="仿宋" w:eastAsia="仿宋" w:cs="Times New Roman"/>
          <w:b/>
          <w:bCs/>
          <w:sz w:val="28"/>
          <w:szCs w:val="28"/>
          <w:highlight w:val="none"/>
        </w:rPr>
        <w:t>一、</w:t>
      </w:r>
      <w:r>
        <w:rPr>
          <w:rFonts w:ascii="仿宋" w:hAnsi="仿宋" w:eastAsia="仿宋" w:cs="Times New Roman"/>
          <w:b/>
          <w:bCs/>
          <w:sz w:val="28"/>
          <w:szCs w:val="28"/>
          <w:highlight w:val="none"/>
        </w:rPr>
        <w:t>部门职责</w:t>
      </w:r>
    </w:p>
    <w:p w14:paraId="0FCAE6AC">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（一）党政办公室：协助街道领导处理党务和政务日常事务；负责机关文电、重要文稿、信息、档案、网信、机身、保密、会务、接待、后勤等工作；负责综合协调、综合调研、督察督办、综合考核等工作。</w:t>
      </w:r>
    </w:p>
    <w:p w14:paraId="029A91A4">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二）党建办公室：负责基层组织建设和党员队伍建设工作；落实党建工作责任制，负责干部人事、思想宣传、意识形态、文明创建、统一战线、民宗侨务、机构编制等工作;负责离退休干部管理服务；协调群团组织承接有关赋权、委托下放、公共服务等事项。</w:t>
      </w:r>
    </w:p>
    <w:p w14:paraId="06C3EE01">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三）经济发展办公室（自然资源和生态环境办公室）：负责编制实施经济社会发展规划和年度计划；指导协调二、三产业发展，推进经济结构调整；负责修建临时建（构）筑物和其他设施的审核以及使用宅基地、空闲地建设住宅的审核；负责公共设施和公益事业建设初审和用地审核，以及公共租赁住房保障或住房租赁补贴、危房改造等方面的审核；配合做好征地拆迁安置相关工作；负责对辖区内水土保持的监督管理；负责做好饮用水水源地、矿产资源、项目建设和生态环境的整体保护、系统修复及治理工作；负责大气严重污染时的非常紧急措施和强制性应急措施。根据授权，负责承接自然资源和规划、住建、城市管理、农林、生态环境等方面直接赋权、委托下放、服务前移的有关事项。</w:t>
      </w:r>
    </w:p>
    <w:p w14:paraId="52016B43">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四）社会事务办公室（民政办公室）：负责做好辖区内特殊群体基础数据的统计；负责事实无人抚养儿童的查验核实、终止保障资格以及孤儿保障对象的审核工作；负责做好老年人权益保障工作，对辖区内敬老院、养老服务机构进行监督管理；负责五保对象入住敬老院、特困人员入住特困供养机构的批准许可；负责做好辖区内特困人员认定和救助供养待遇的审核及监管；负责辖区内城乡最低生活保障对象、困难残疾人和重度残疾人补贴对象的初审；负责城乡医疗救助对象的初审和待遇核定；负责临时救助待遇核定及对本辖区户籍的生活无着流浪乞讨人员、非本地户籍的临时遇困人员的救助安置；负责基本养老服务补贴、高龄补贴的审核、管理和给付；负责病残儿医学鉴定审核转报；负责做好辖区内殡葬管理工作；负责居民委员会的设立、撤销、范围调整初审工作，对居民委员会选举、工作移交、自治章程、居规民约、居务公开的审核、检查、监督；负责对辖区内社区社会组织的管理和指导。根据授权，负责承接特困供养、老年人优待、困难残疾人生活补贴和重度残疾人护理补贴等方面直接赋权、委托下放、服务前移的有关事项。</w:t>
      </w:r>
    </w:p>
    <w:p w14:paraId="59EF1093">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五）应急管理办公室：负责突发事件应急预案的制定与发布，应急知识的宣传普及和应急演练的组织，做好应急防范和抗险救灾准备工作；负责辖区安全监督、消防监督检查和安全隐患排查整治;做好特大事故的防范工作，配合做好特别重大事故以下等级生产安全事故调查工作；负责做好生产经营单位安全生产监督管理、隐患排查治理、非法生产经营查处和安全事故应急处置救援等工作；负责危险化学品事故的应急处置；负责辖区内水库大坝、内河交通等安全管理、监督检查及事故应急处理，以及河道（河长制)、渡口渡船管理；负责洪涝、地质等自然灾害的巡回检查、处理上报、应急处置、避灾疏散；负责抗洪抢险和灾后的救灾减灾等工作；负责紧急防汛期的非常紧急措施和强制性应急措施；负责森林火灾的预防、调查核实及扑救工作；负责应急救援物资的调用、征用和归还补偿工作；负责自然灾害救助对象的初审认定和救助。根据授权，负责承接应急管理、水利等方面直接赋权、委托下放、服务前移的有关事项。</w:t>
      </w:r>
    </w:p>
    <w:p w14:paraId="5496B2CE">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六）综治信访办公室：负责维护社会稳定，全面掌握辖区社会稳定形势，组织开展社会矛盾纠纷排查、调处，协调有关部门妥善处置重大复杂矛盾纠纷；落实防范措施，组织开展突出治安问题排查整治；做好邪教人员的排查与管控工作；开展平安建设，组织群防群治；加强社区警务建设,打造“四无社区”，推进社区治理创新；提升公众安全感测评水平，接待群众来信来访。</w:t>
      </w:r>
    </w:p>
    <w:p w14:paraId="6517D148">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七）综合行政执法大队：依据法律、法规和相关政策，整合辖区内城市管理和禁违拆违的全部执法职责，负责城市管理领域的日常监督管理和执法工作；负责燃放烟花爆竹、出店和占道经营行为的处罚；负责户外公共场所食品销售和餐饮摊点无证经营，以及户外违法回收贩卖药品等违法行为的处罚；负责对造成辖区内公共设施损坏行为的处罚；负责对社会生活噪声污染，餐饮服务业油烟、露天烧烤、露天焚烧秸秆落叶、城市焚烧沥青塑料垃圾等烟尘和恶臭污染，向城市河道和水域倾倒废弃物和垃圾等环境卫生破坏行为的处罚；负责安全生产方面下放的简易执法职责;配合做好卫生健康、殡葬、交通、水利、文化广电、市场监管、劳动监察等方面的执法工作。根据委托，负责对擅自修建临时建（构）筑物和其他设施、未经规划批准修建住宅、在城市河道和水域修建违法建筑物等行为的处罚，并对逾期不改正的违法建筑进行拆除。根据授权,负责承接城市管理自然资源和规划、农林畜禽养殖、生态环境、计划生育等方面直接赋权、委托下放、服务前移的行政执法事项。</w:t>
      </w:r>
    </w:p>
    <w:p w14:paraId="533F0FDE">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八</w:t>
      </w:r>
      <w:r>
        <w:rPr>
          <w:rFonts w:hint="eastAsia" w:ascii="仿宋" w:hAnsi="仿宋" w:eastAsia="仿宋" w:cs="仿宋_GB2312"/>
          <w:sz w:val="28"/>
          <w:szCs w:val="28"/>
        </w:rPr>
        <w:t>）社会事业综合服务中心：负责公共卫生事件的应急处置、传染病疫情的预防控制、职业健康、计划生育、流动人口婚育状况等有关事务；负责做好城乡居民社会养老保险登记、就业登记和失业登记；负责城乡居民基本医疗保险参保登记、缴费续保等工作。根据委托，负责承接教育、科学、文化、体育、广电、旅游、红十字会等方面的事务性工作和公益性服务。</w:t>
      </w:r>
    </w:p>
    <w:p w14:paraId="5BAF69C9">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九</w:t>
      </w:r>
      <w:r>
        <w:rPr>
          <w:rFonts w:hint="eastAsia" w:ascii="仿宋" w:hAnsi="仿宋" w:eastAsia="仿宋" w:cs="仿宋_GB2312"/>
          <w:sz w:val="28"/>
          <w:szCs w:val="28"/>
        </w:rPr>
        <w:t>）产业项目综合服务中心：协助经济发展办公室的工作；负责做好移民开发工作;负责协助推进二、三产业服务工作的落实；组织开展辖区内动物疫病预防控制、强制免疫，制止处置畜禽养殖环境污染行为，做好三类动物疫情发生的防治净化工作；负责农产品质量安全管理和事故处理工作；负责辖区内养犬的管理，组织人员捕杀狂犬、野犬。根据委托，承办辖区内征地拆迁安置、厂地协作、重点项目建设、农林畜牧水产、经济社会统计调查、科技工信、金融商贸等方面的事务性工作和公益性服务。</w:t>
      </w:r>
    </w:p>
    <w:p w14:paraId="6373A740">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十</w:t>
      </w:r>
      <w:r>
        <w:rPr>
          <w:rFonts w:hint="eastAsia" w:ascii="仿宋" w:hAnsi="仿宋" w:eastAsia="仿宋" w:cs="仿宋_GB2312"/>
          <w:sz w:val="28"/>
          <w:szCs w:val="28"/>
        </w:rPr>
        <w:t>）公共服务和网格化中心(政务〈便民〉服务中心;与“行政审批服务办公室”合署办公)：负责承办辖区内企业和群众相关政务服务和公共服务事项；负责梳理政务服务事项目录，优化办事流程，提升服务质量等；负责做好“互联网+政务服务”工作，实行政务服务事项“一网通办”“全域通办”；负责各类审批事项盖章办结、证件办理、证明开具，实行“一枚印章管审批（服务)”；负责协调推进优化营商环境工作；负责“12345”市长热线和市（区）长信箱工单处理；负责指导社区开展公共（便民）服务，对社区办事窗口服务进行监督考核；承担网格化管理的巡查、指挥、调度、督办等平台的事务性工作； 进一步拓展服务党组织和党员群众的功能。</w:t>
      </w:r>
    </w:p>
    <w:p w14:paraId="0D7C7153">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十一</w:t>
      </w:r>
      <w:r>
        <w:rPr>
          <w:rFonts w:hint="eastAsia" w:ascii="仿宋" w:hAnsi="仿宋" w:eastAsia="仿宋" w:cs="仿宋_GB2312"/>
          <w:sz w:val="28"/>
          <w:szCs w:val="28"/>
        </w:rPr>
        <w:t>）退役军人服务站。负责辖区内退役军人及军烈属就业创业、优抚帮扶、权益保障,走访慰问、信访接待、政策法律服务等方面的事务性工作;负责对符合条件的抚恤优待对象优待的办理，伤残抚恤人员残疾等级评定的申请受理、初审和管理服务工作；负责进入光荣院集中供养的申请受理；负责做好涉退役军人舆情的收集、引导工作;开展退役军人及其优抚对象的信息数据采集、资料管理、汇总分析等工作；指导社区退役军人服务站做好退役军人教育管理服务工作。</w:t>
      </w:r>
    </w:p>
    <w:p w14:paraId="2204D528">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十二</w:t>
      </w:r>
      <w:r>
        <w:rPr>
          <w:rFonts w:hint="eastAsia" w:ascii="仿宋" w:hAnsi="仿宋" w:eastAsia="仿宋" w:cs="仿宋_GB2312"/>
          <w:sz w:val="28"/>
          <w:szCs w:val="28"/>
        </w:rPr>
        <w:t>）财政所：负责街道财政资金预算、资金监管、税务、审计等工作；防止街道、社区举债，防范和化解债务风险，保持财政收支平衡等工作；指导和监管社区财务工作。</w:t>
      </w:r>
    </w:p>
    <w:p w14:paraId="7EDB3559">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十三</w:t>
      </w:r>
      <w:r>
        <w:rPr>
          <w:rFonts w:hint="eastAsia" w:ascii="仿宋" w:hAnsi="仿宋" w:eastAsia="仿宋" w:cs="仿宋_GB2312"/>
          <w:sz w:val="28"/>
          <w:szCs w:val="28"/>
        </w:rPr>
        <w:t>）司法所：负责基层法治建设，组织开展基层依法治理、法制宣传教育、公共法律服务等工作；负责街道法律顾问工作；负责行政调解和相关纠纷调解工作，指导社区做好人民调解工作；参与社会治安综合治理工作；配合和协助相关部门做好禁毒、戒毒（康复）工作；开展全民禁毒宣传 和预防教育；承担社区矫正、安置帮教等工作。</w:t>
      </w:r>
    </w:p>
    <w:p w14:paraId="14909DF0">
      <w:pPr>
        <w:ind w:firstLine="560" w:firstLineChars="200"/>
        <w:jc w:val="left"/>
        <w:rPr>
          <w:rFonts w:hint="eastAsia" w:ascii="仿宋" w:hAnsi="仿宋" w:eastAsia="仿宋" w:cs="Times New Roman"/>
          <w:color w:val="auto"/>
          <w:sz w:val="32"/>
          <w:szCs w:val="32"/>
          <w:highlight w:val="non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十四</w:t>
      </w:r>
      <w:r>
        <w:rPr>
          <w:rFonts w:hint="eastAsia" w:ascii="仿宋" w:hAnsi="仿宋" w:eastAsia="仿宋" w:cs="仿宋_GB2312"/>
          <w:sz w:val="28"/>
          <w:szCs w:val="28"/>
        </w:rPr>
        <w:t>）环境卫生服务中心：负责辖区内环境卫生、爱国卫生、爱卫创建、市容管理和小街巷的市政维护等工作</w:t>
      </w:r>
      <w:r>
        <w:rPr>
          <w:rFonts w:hint="eastAsia" w:ascii="仿宋" w:hAnsi="仿宋" w:eastAsia="仿宋" w:cs="Times New Roman"/>
          <w:color w:val="auto"/>
          <w:sz w:val="32"/>
          <w:szCs w:val="32"/>
          <w:highlight w:val="none"/>
        </w:rPr>
        <w:t>。</w:t>
      </w:r>
    </w:p>
    <w:p w14:paraId="6A14BBEE">
      <w:pPr>
        <w:keepNext w:val="0"/>
        <w:keepLines w:val="0"/>
        <w:pageBreakBefore w:val="0"/>
        <w:kinsoku/>
        <w:wordWrap/>
        <w:overflowPunct/>
        <w:topLinePunct w:val="0"/>
        <w:autoSpaceDE/>
        <w:autoSpaceDN/>
        <w:bidi w:val="0"/>
        <w:adjustRightInd/>
        <w:snapToGrid/>
        <w:spacing w:line="600" w:lineRule="exact"/>
        <w:ind w:firstLine="562" w:firstLineChars="200"/>
        <w:textAlignment w:val="auto"/>
        <w:rPr>
          <w:rFonts w:ascii="仿宋" w:hAnsi="仿宋" w:eastAsia="仿宋" w:cs="Times New Roman"/>
          <w:b/>
          <w:bCs/>
          <w:sz w:val="28"/>
          <w:szCs w:val="28"/>
        </w:rPr>
      </w:pPr>
      <w:r>
        <w:rPr>
          <w:rFonts w:hint="eastAsia" w:ascii="仿宋" w:hAnsi="仿宋" w:eastAsia="仿宋" w:cs="Times New Roman"/>
          <w:b/>
          <w:bCs/>
          <w:sz w:val="28"/>
          <w:szCs w:val="28"/>
        </w:rPr>
        <w:t>二、机构设置</w:t>
      </w:r>
    </w:p>
    <w:p w14:paraId="438F78B1">
      <w:pPr>
        <w:widowControl/>
        <w:spacing w:line="276" w:lineRule="auto"/>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eastAsia="zh-CN"/>
        </w:rPr>
        <w:t>岳阳市岳阳楼区岳阳楼街道办事处</w:t>
      </w:r>
      <w:r>
        <w:rPr>
          <w:rFonts w:hint="eastAsia" w:ascii="仿宋" w:hAnsi="仿宋" w:eastAsia="仿宋" w:cs="仿宋_GB2312"/>
          <w:sz w:val="28"/>
          <w:szCs w:val="28"/>
        </w:rPr>
        <w:t>单位内设机构包括：现有人数共</w:t>
      </w:r>
      <w:r>
        <w:rPr>
          <w:rFonts w:hint="eastAsia" w:ascii="仿宋" w:hAnsi="仿宋" w:eastAsia="仿宋" w:cs="仿宋_GB2312"/>
          <w:sz w:val="28"/>
          <w:szCs w:val="28"/>
          <w:lang w:val="en-US" w:eastAsia="zh-CN"/>
        </w:rPr>
        <w:t>120</w:t>
      </w:r>
      <w:r>
        <w:rPr>
          <w:rFonts w:hint="eastAsia" w:ascii="仿宋" w:hAnsi="仿宋" w:eastAsia="仿宋" w:cs="仿宋_GB2312"/>
          <w:sz w:val="28"/>
          <w:szCs w:val="28"/>
        </w:rPr>
        <w:t>人，其中：在职</w:t>
      </w:r>
      <w:r>
        <w:rPr>
          <w:rFonts w:hint="eastAsia" w:ascii="仿宋" w:hAnsi="仿宋" w:eastAsia="仿宋" w:cs="仿宋_GB2312"/>
          <w:sz w:val="28"/>
          <w:szCs w:val="28"/>
          <w:lang w:val="en-US" w:eastAsia="zh-CN"/>
        </w:rPr>
        <w:t>72</w:t>
      </w:r>
      <w:r>
        <w:rPr>
          <w:rFonts w:hint="eastAsia" w:ascii="仿宋" w:hAnsi="仿宋" w:eastAsia="仿宋" w:cs="仿宋_GB2312"/>
          <w:sz w:val="28"/>
          <w:szCs w:val="28"/>
        </w:rPr>
        <w:t>人；离退休</w:t>
      </w:r>
      <w:r>
        <w:rPr>
          <w:rFonts w:hint="eastAsia" w:ascii="仿宋" w:hAnsi="仿宋" w:eastAsia="仿宋" w:cs="仿宋_GB2312"/>
          <w:sz w:val="28"/>
          <w:szCs w:val="28"/>
          <w:lang w:val="en-US" w:eastAsia="zh-CN"/>
        </w:rPr>
        <w:t>48</w:t>
      </w:r>
      <w:r>
        <w:rPr>
          <w:rFonts w:hint="eastAsia" w:ascii="仿宋" w:hAnsi="仿宋" w:eastAsia="仿宋" w:cs="仿宋_GB2312"/>
          <w:sz w:val="28"/>
          <w:szCs w:val="28"/>
        </w:rPr>
        <w:t>人。我办事处机构设置共设有6个职能办公室（党政办公室、党建办公室、经济发展办公室、社会事务办公室、应急管理办公室、综治信访办公室），</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个站所（综合行政执法大队、社会事业综合服务中心、产业项目综合服务中心、公共服务和网格化中心、退役军人服务站）其他机构3个（财政所、司法所、环境卫生服务中心）</w:t>
      </w:r>
      <w:r>
        <w:rPr>
          <w:rFonts w:hint="eastAsia" w:ascii="仿宋" w:hAnsi="仿宋" w:eastAsia="仿宋" w:cs="仿宋_GB2312"/>
          <w:sz w:val="28"/>
          <w:szCs w:val="28"/>
          <w:lang w:val="en-US" w:eastAsia="zh-CN"/>
        </w:rPr>
        <w:t>。</w:t>
      </w:r>
    </w:p>
    <w:p w14:paraId="134B0628">
      <w:pPr>
        <w:ind w:firstLine="640" w:firstLineChars="200"/>
        <w:jc w:val="left"/>
        <w:rPr>
          <w:rFonts w:ascii="仿宋" w:hAnsi="仿宋" w:eastAsia="仿宋" w:cs="仿宋_GB2312"/>
          <w:sz w:val="28"/>
          <w:szCs w:val="28"/>
        </w:rPr>
      </w:pPr>
      <w:r>
        <w:rPr>
          <w:rFonts w:hint="eastAsia" w:ascii="黑体" w:hAnsi="黑体" w:eastAsia="黑体" w:cs="黑体"/>
          <w:color w:val="000000" w:themeColor="text1"/>
          <w:sz w:val="32"/>
          <w:szCs w:val="32"/>
          <w:highlight w:val="none"/>
          <w14:textFill>
            <w14:solidFill>
              <w14:schemeClr w14:val="tx1"/>
            </w14:solidFill>
          </w14:textFill>
        </w:rPr>
        <w:t>二、一般公共预算支出情况</w:t>
      </w:r>
    </w:p>
    <w:p w14:paraId="391587AD">
      <w:pPr>
        <w:ind w:firstLine="643" w:firstLineChars="200"/>
        <w:jc w:val="left"/>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(一)基本支出情况</w:t>
      </w:r>
    </w:p>
    <w:p w14:paraId="32E434B8">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1.202</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年基本支出</w:t>
      </w:r>
      <w:r>
        <w:rPr>
          <w:rFonts w:hint="eastAsia" w:ascii="仿宋" w:hAnsi="仿宋" w:eastAsia="仿宋" w:cs="仿宋_GB2312"/>
          <w:sz w:val="28"/>
          <w:szCs w:val="28"/>
          <w:lang w:val="en-US" w:eastAsia="zh-CN"/>
        </w:rPr>
        <w:t>1338.95</w:t>
      </w:r>
      <w:r>
        <w:rPr>
          <w:rFonts w:hint="eastAsia" w:ascii="仿宋" w:hAnsi="仿宋" w:eastAsia="仿宋" w:cs="仿宋_GB2312"/>
          <w:sz w:val="28"/>
          <w:szCs w:val="28"/>
        </w:rPr>
        <w:t>万元，其中人员经费支出</w:t>
      </w:r>
      <w:r>
        <w:rPr>
          <w:rFonts w:hint="eastAsia" w:ascii="仿宋" w:hAnsi="仿宋" w:eastAsia="仿宋" w:cs="仿宋_GB2312"/>
          <w:sz w:val="28"/>
          <w:szCs w:val="28"/>
          <w:lang w:val="en-US" w:eastAsia="zh-CN"/>
        </w:rPr>
        <w:t>1183.89</w:t>
      </w:r>
      <w:r>
        <w:rPr>
          <w:rFonts w:hint="eastAsia" w:ascii="仿宋" w:hAnsi="仿宋" w:eastAsia="仿宋" w:cs="仿宋_GB2312"/>
          <w:sz w:val="28"/>
          <w:szCs w:val="28"/>
        </w:rPr>
        <w:t>万元，公用经费支出</w:t>
      </w:r>
      <w:r>
        <w:rPr>
          <w:rFonts w:hint="eastAsia" w:ascii="仿宋" w:hAnsi="仿宋" w:eastAsia="仿宋" w:cs="仿宋_GB2312"/>
          <w:sz w:val="28"/>
          <w:szCs w:val="28"/>
          <w:lang w:val="en-US" w:eastAsia="zh-CN"/>
        </w:rPr>
        <w:t>155.06</w:t>
      </w:r>
      <w:r>
        <w:rPr>
          <w:rFonts w:hint="eastAsia" w:ascii="仿宋" w:hAnsi="仿宋" w:eastAsia="仿宋" w:cs="仿宋_GB2312"/>
          <w:sz w:val="28"/>
          <w:szCs w:val="28"/>
        </w:rPr>
        <w:t>万元（其中：三公经费支出</w:t>
      </w:r>
      <w:r>
        <w:rPr>
          <w:rFonts w:hint="eastAsia" w:ascii="仿宋" w:hAnsi="仿宋" w:eastAsia="仿宋" w:cs="仿宋_GB2312"/>
          <w:sz w:val="28"/>
          <w:szCs w:val="28"/>
          <w:lang w:val="en-US" w:eastAsia="zh-CN"/>
        </w:rPr>
        <w:t>0.00</w:t>
      </w:r>
      <w:r>
        <w:rPr>
          <w:rFonts w:hint="eastAsia" w:ascii="仿宋" w:hAnsi="仿宋" w:eastAsia="仿宋" w:cs="仿宋_GB2312"/>
          <w:sz w:val="28"/>
          <w:szCs w:val="28"/>
        </w:rPr>
        <w:t>万元）。</w:t>
      </w:r>
    </w:p>
    <w:p w14:paraId="3DC29B22">
      <w:pPr>
        <w:ind w:firstLine="643" w:firstLineChars="200"/>
        <w:jc w:val="left"/>
        <w:rPr>
          <w:rFonts w:hint="eastAsia" w:ascii="仿宋" w:hAnsi="仿宋" w:eastAsia="仿宋" w:cs="仿宋_GB2312"/>
          <w:sz w:val="28"/>
          <w:szCs w:val="28"/>
        </w:rPr>
      </w:pPr>
      <w:r>
        <w:rPr>
          <w:rFonts w:hint="eastAsia" w:ascii="楷体_GB2312" w:hAnsi="楷体_GB2312" w:eastAsia="楷体_GB2312" w:cs="楷体_GB2312"/>
          <w:b/>
          <w:bCs/>
          <w:color w:val="000000" w:themeColor="text1"/>
          <w:sz w:val="32"/>
          <w:szCs w:val="32"/>
          <w14:textFill>
            <w14:solidFill>
              <w14:schemeClr w14:val="tx1"/>
            </w14:solidFill>
          </w14:textFill>
        </w:rPr>
        <w:t>(</w:t>
      </w:r>
      <w:r>
        <w:rPr>
          <w:rFonts w:hint="eastAsia" w:ascii="楷体_GB2312" w:hAnsi="楷体_GB2312" w:eastAsia="楷体_GB2312" w:cs="楷体_GB2312"/>
          <w:b/>
          <w:bCs/>
          <w:color w:val="000000" w:themeColor="text1"/>
          <w:sz w:val="32"/>
          <w:szCs w:val="32"/>
          <w:highlight w:val="none"/>
          <w14:textFill>
            <w14:solidFill>
              <w14:schemeClr w14:val="tx1"/>
            </w14:solidFill>
          </w14:textFill>
        </w:rPr>
        <w:t>二)项目支出情况</w:t>
      </w:r>
    </w:p>
    <w:p w14:paraId="333D0144">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1、项目资金拨入情况分析  2024年岳阳楼区岳阳楼街道办事处项目资金到位率100％。</w:t>
      </w:r>
    </w:p>
    <w:p w14:paraId="75AD56A2">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2、项目资金使用情况分析  2024年度项目支出1631.27万元，主要为围绕办事处业务工作开展所需的补充性支出、乡街环卫清扫经费支出等。</w:t>
      </w:r>
    </w:p>
    <w:p w14:paraId="56B47C25">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三、政府性基金预算支出情况</w:t>
      </w:r>
    </w:p>
    <w:p w14:paraId="080E5376">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本单位</w:t>
      </w:r>
      <w:r>
        <w:rPr>
          <w:rFonts w:hint="eastAsia" w:ascii="仿宋" w:hAnsi="仿宋" w:eastAsia="仿宋" w:cs="仿宋_GB2312"/>
          <w:sz w:val="28"/>
          <w:szCs w:val="28"/>
          <w:lang w:val="en-US" w:eastAsia="zh-CN"/>
        </w:rPr>
        <w:t>2024年</w:t>
      </w:r>
      <w:r>
        <w:rPr>
          <w:rFonts w:hint="eastAsia" w:ascii="仿宋" w:hAnsi="仿宋" w:eastAsia="仿宋" w:cs="仿宋_GB2312"/>
          <w:sz w:val="28"/>
          <w:szCs w:val="28"/>
        </w:rPr>
        <w:t>政府性基金预算支出</w:t>
      </w:r>
      <w:r>
        <w:rPr>
          <w:rFonts w:hint="eastAsia" w:ascii="仿宋" w:hAnsi="仿宋" w:eastAsia="仿宋" w:cs="仿宋_GB2312"/>
          <w:sz w:val="28"/>
          <w:szCs w:val="28"/>
          <w:lang w:val="en-US" w:eastAsia="zh-CN"/>
        </w:rPr>
        <w:t>1.85万元，主要为</w:t>
      </w:r>
      <w:r>
        <w:rPr>
          <w:rFonts w:hint="eastAsia" w:ascii="仿宋" w:hAnsi="仿宋" w:eastAsia="仿宋" w:cs="仿宋_GB2312"/>
          <w:sz w:val="28"/>
          <w:szCs w:val="28"/>
        </w:rPr>
        <w:t>民政办殡葬整治开支。</w:t>
      </w:r>
    </w:p>
    <w:p w14:paraId="792E30A2">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四、国有资本经营预算支出情况</w:t>
      </w:r>
    </w:p>
    <w:p w14:paraId="7260C45D">
      <w:pPr>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本单位</w:t>
      </w:r>
      <w:r>
        <w:rPr>
          <w:rFonts w:hint="eastAsia" w:ascii="仿宋" w:hAnsi="仿宋" w:eastAsia="仿宋" w:cs="仿宋_GB2312"/>
          <w:sz w:val="28"/>
          <w:szCs w:val="28"/>
          <w:lang w:val="en-US" w:eastAsia="zh-CN"/>
        </w:rPr>
        <w:t>2024年</w:t>
      </w:r>
      <w:r>
        <w:rPr>
          <w:rFonts w:hint="eastAsia" w:ascii="仿宋" w:hAnsi="仿宋" w:eastAsia="仿宋" w:cs="仿宋_GB2312"/>
          <w:sz w:val="28"/>
          <w:szCs w:val="28"/>
        </w:rPr>
        <w:t>国有资本经营预算支</w:t>
      </w:r>
      <w:r>
        <w:rPr>
          <w:rFonts w:hint="eastAsia" w:ascii="仿宋" w:hAnsi="仿宋" w:eastAsia="仿宋" w:cs="仿宋_GB2312"/>
          <w:sz w:val="28"/>
          <w:szCs w:val="28"/>
          <w:lang w:val="en-US" w:eastAsia="zh-CN"/>
        </w:rPr>
        <w:t>出4.08万元，主要为</w:t>
      </w:r>
      <w:r>
        <w:rPr>
          <w:rFonts w:hint="eastAsia" w:ascii="仿宋" w:hAnsi="仿宋" w:eastAsia="仿宋" w:cs="仿宋_GB2312"/>
          <w:sz w:val="28"/>
          <w:szCs w:val="28"/>
        </w:rPr>
        <w:t>九华山企业改制小区管理经费。</w:t>
      </w:r>
    </w:p>
    <w:p w14:paraId="4E9E583A">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五、社会保险基金预算支出情况</w:t>
      </w:r>
    </w:p>
    <w:p w14:paraId="3D3C97DC">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本单位无社会保险基金预算支出。</w:t>
      </w:r>
    </w:p>
    <w:p w14:paraId="603A558A">
      <w:pPr>
        <w:ind w:firstLine="640" w:firstLineChars="200"/>
        <w:jc w:val="left"/>
        <w:rPr>
          <w:rFonts w:ascii="黑体" w:hAnsi="黑体" w:eastAsia="黑体" w:cs="黑体"/>
          <w:color w:val="000000" w:themeColor="text1"/>
          <w:sz w:val="32"/>
          <w:szCs w:val="32"/>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六、</w:t>
      </w:r>
      <w:r>
        <w:rPr>
          <w:rFonts w:hint="eastAsia" w:ascii="黑体" w:hAnsi="黑体" w:eastAsia="黑体" w:cs="黑体"/>
          <w:color w:val="000000" w:themeColor="text1"/>
          <w:sz w:val="32"/>
          <w:szCs w:val="32"/>
          <w:highlight w:val="none"/>
          <w:lang w:val="en-US" w:eastAsia="zh-CN"/>
          <w14:textFill>
            <w14:solidFill>
              <w14:schemeClr w14:val="tx1"/>
            </w14:solidFill>
          </w14:textFill>
        </w:rPr>
        <w:t>单位</w:t>
      </w:r>
      <w:r>
        <w:rPr>
          <w:rFonts w:hint="eastAsia" w:ascii="黑体" w:hAnsi="黑体" w:eastAsia="黑体" w:cs="黑体"/>
          <w:color w:val="000000" w:themeColor="text1"/>
          <w:sz w:val="32"/>
          <w:szCs w:val="32"/>
          <w:highlight w:val="none"/>
          <w14:textFill>
            <w14:solidFill>
              <w14:schemeClr w14:val="tx1"/>
            </w14:solidFill>
          </w14:textFill>
        </w:rPr>
        <w:t>整体支出绩效情况</w:t>
      </w:r>
    </w:p>
    <w:p w14:paraId="1C6148AD">
      <w:pPr>
        <w:ind w:firstLine="560" w:firstLineChars="200"/>
        <w:jc w:val="left"/>
        <w:rPr>
          <w:rFonts w:hint="eastAsia" w:ascii="仿宋" w:hAnsi="仿宋" w:eastAsia="仿宋" w:cs="仿宋_GB2312"/>
          <w:sz w:val="28"/>
          <w:szCs w:val="28"/>
          <w:lang w:eastAsia="zh-CN"/>
        </w:rPr>
      </w:pPr>
      <w:r>
        <w:rPr>
          <w:rFonts w:hint="eastAsia" w:ascii="仿宋" w:hAnsi="仿宋" w:eastAsia="仿宋" w:cs="仿宋_GB2312"/>
          <w:sz w:val="28"/>
          <w:szCs w:val="28"/>
          <w:lang w:eastAsia="zh-CN"/>
        </w:rPr>
        <w:t>（</w:t>
      </w:r>
      <w:r>
        <w:rPr>
          <w:rFonts w:hint="eastAsia" w:ascii="仿宋" w:hAnsi="仿宋" w:eastAsia="仿宋" w:cs="仿宋_GB2312"/>
          <w:sz w:val="28"/>
          <w:szCs w:val="28"/>
        </w:rPr>
        <w:t>一</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围绕一个“核心”，</w:t>
      </w:r>
      <w:r>
        <w:rPr>
          <w:rFonts w:hint="eastAsia" w:ascii="仿宋" w:hAnsi="仿宋" w:eastAsia="仿宋" w:cs="仿宋_GB2312"/>
          <w:sz w:val="28"/>
          <w:szCs w:val="28"/>
        </w:rPr>
        <w:t>强化</w:t>
      </w:r>
      <w:r>
        <w:rPr>
          <w:rFonts w:hint="eastAsia" w:ascii="仿宋" w:hAnsi="仿宋" w:eastAsia="仿宋" w:cs="仿宋_GB2312"/>
          <w:sz w:val="28"/>
          <w:szCs w:val="28"/>
          <w:lang w:val="en-US" w:eastAsia="zh-CN"/>
        </w:rPr>
        <w:t>党建</w:t>
      </w:r>
      <w:r>
        <w:rPr>
          <w:rFonts w:hint="eastAsia" w:ascii="仿宋" w:hAnsi="仿宋" w:eastAsia="仿宋" w:cs="仿宋_GB2312"/>
          <w:sz w:val="28"/>
          <w:szCs w:val="28"/>
        </w:rPr>
        <w:t>引领</w:t>
      </w:r>
      <w:r>
        <w:rPr>
          <w:rFonts w:hint="eastAsia" w:ascii="仿宋" w:hAnsi="仿宋" w:eastAsia="仿宋" w:cs="仿宋_GB2312"/>
          <w:sz w:val="28"/>
          <w:szCs w:val="28"/>
          <w:lang w:eastAsia="zh-CN"/>
        </w:rPr>
        <w:t>。</w:t>
      </w:r>
    </w:p>
    <w:p w14:paraId="568E68B5">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eastAsia="zh-CN"/>
        </w:rPr>
        <w:t>始终将党的政治建设作为首要任务，以党的政治建设为引领，推动高质量发展，确保各项工作的有序进行。</w:t>
      </w:r>
      <w:r>
        <w:rPr>
          <w:rFonts w:hint="eastAsia" w:ascii="仿宋" w:hAnsi="仿宋" w:eastAsia="仿宋" w:cs="仿宋_GB2312"/>
          <w:sz w:val="28"/>
          <w:szCs w:val="28"/>
          <w:lang w:val="en-US" w:eastAsia="zh-CN"/>
        </w:rPr>
        <w:t>一是党纪学习教育走深走实。结合“三会一课”、“一月一课一片一实践”主题党日活动，采用集中学习、交流研讨、实践参观等方式，全街道开展专题学习90余次，研讨交流2000余人次，各类警示教育活动50 余次，推动干部队伍擦亮对党忠诚的底色，巩固深化党纪学习教育成果，融入日常，把党纪学习教育成果持续转化为推动高质量发展的强大动力。二是意识形态保持严抓严管。制订年度贯彻落实意识形态工作责任制实施方案，把意识形态工作纳入到个人工作考评中，推进学习教育和实践活动常态化、制度化。定期召开宣传思想暨意识形态领域分析研判专题会议。以党工委理论中心组、青年理论学习小组、党支部主题党日活动、“第一议题”制度等方式为抓手扎实开展各类理论学习及实践活动20余次。三是党群阵地建好建强。严格落实《岳阳楼区社区（村）服务用房与平台建设三年行动计划》，依托旧改工程对东湖社区服务用房进行全面改造升级，预计今年年底全部建成投入使用；对接金茂集团，尽最大限度的对汴河社区服务用房进行功能性升级和规范化改造，提升便民服务能力。四是基层治理提质提效。坚决落实区级层面</w:t>
      </w:r>
      <w:r>
        <w:rPr>
          <w:rFonts w:hint="eastAsia" w:ascii="仿宋" w:hAnsi="仿宋" w:eastAsia="仿宋" w:cs="仿宋_GB2312"/>
          <w:sz w:val="28"/>
          <w:szCs w:val="28"/>
        </w:rPr>
        <w:t>基层党建“双提双增双创”行动</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持续探索推行片、组、邻、“三长制”，公平推选片长41名、组长71名、邻长648名。“群英断是非”工作法深度运用，街道范围内共137人被吸纳为省市区级“群英库”成员。深入开展基层减负工作，依托“党建+网格化微治理”街道基层治理能力不断提升。全年减少对社区各类考核考评事项20余件，发文会议总量精简近60%，开展各类型技能培训活动10余场，专职社区工作者综合能力不断提升。五是党建品牌更新更亮。施行</w:t>
      </w:r>
      <w:r>
        <w:rPr>
          <w:rFonts w:hint="eastAsia" w:ascii="仿宋" w:hAnsi="仿宋" w:eastAsia="仿宋" w:cs="仿宋_GB2312"/>
          <w:sz w:val="28"/>
          <w:szCs w:val="28"/>
        </w:rPr>
        <w:t>“</w:t>
      </w:r>
      <w:r>
        <w:rPr>
          <w:rFonts w:hint="eastAsia" w:ascii="仿宋" w:hAnsi="仿宋" w:eastAsia="仿宋" w:cs="仿宋_GB2312"/>
          <w:sz w:val="28"/>
          <w:szCs w:val="28"/>
          <w:lang w:val="en-US" w:eastAsia="zh-CN"/>
        </w:rPr>
        <w:t>一社区一品牌</w:t>
      </w:r>
      <w:r>
        <w:rPr>
          <w:rFonts w:hint="eastAsia" w:ascii="仿宋" w:hAnsi="仿宋" w:eastAsia="仿宋" w:cs="仿宋_GB2312"/>
          <w:sz w:val="28"/>
          <w:szCs w:val="28"/>
        </w:rPr>
        <w:t>”</w:t>
      </w:r>
      <w:r>
        <w:rPr>
          <w:rFonts w:hint="eastAsia" w:ascii="仿宋" w:hAnsi="仿宋" w:eastAsia="仿宋" w:cs="仿宋_GB2312"/>
          <w:sz w:val="28"/>
          <w:szCs w:val="28"/>
          <w:lang w:val="en-US" w:eastAsia="zh-CN"/>
        </w:rPr>
        <w:t>计划</w:t>
      </w:r>
      <w:r>
        <w:rPr>
          <w:rFonts w:hint="eastAsia" w:ascii="仿宋" w:hAnsi="仿宋" w:eastAsia="仿宋" w:cs="仿宋_GB2312"/>
          <w:sz w:val="28"/>
          <w:szCs w:val="28"/>
        </w:rPr>
        <w:t>，</w:t>
      </w:r>
      <w:r>
        <w:rPr>
          <w:rFonts w:hint="eastAsia" w:ascii="仿宋" w:hAnsi="仿宋" w:eastAsia="仿宋" w:cs="仿宋_GB2312"/>
          <w:sz w:val="28"/>
          <w:szCs w:val="28"/>
          <w:lang w:val="en-US" w:eastAsia="zh-CN"/>
        </w:rPr>
        <w:t>九华山社区以“党建引领+居民自治”助推北门新区无物业小区居民自治改革试点初显成效；岳阳楼社区“岳阳楼下党旗红”老字号品牌进一步巩固；东湖社区“情暖今夕映东湖”、庙前街社区“六邻红纽带”、郭亮社区“微光赓续别样红”等创新品牌逐渐涌现。</w:t>
      </w:r>
    </w:p>
    <w:p w14:paraId="2A0BA44A">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(二)聚焦一个“重心”，服务发展大局。</w:t>
      </w:r>
    </w:p>
    <w:p w14:paraId="3A289797">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rPr>
        <w:t>街道将经济发展置于首要位置，</w:t>
      </w:r>
      <w:r>
        <w:rPr>
          <w:rFonts w:hint="eastAsia" w:ascii="仿宋" w:hAnsi="仿宋" w:eastAsia="仿宋" w:cs="仿宋_GB2312"/>
          <w:sz w:val="28"/>
          <w:szCs w:val="28"/>
          <w:lang w:val="en-US" w:eastAsia="zh-CN"/>
        </w:rPr>
        <w:t>始终秉持“以优质景区服务为先导，推动项目发展为核心”的发展策略。一是经济发展初具成效。街道紧密围绕年初设定的目标，截至目前，已经成功引进了四个优质的乡友项目，实际到位的投资金额达到了1938万元。固定资产投资方面，完成了8个项目的入库工作，总投资金额达到10.67亿元。完成了与原洞庭办事处合并后的首次全面资产清查工作，确保资产的准确性和完整性。高标准地完成辖区内第五次全国经济普查工作，为制定中长期科学的发展规划提供了宝贵的一手资料。对西瓜山片区137户居民就招商情况进行三轮摸底，愿意出租的92户占比67.2%，邀请马栏山（长沙）视频文创园管理委员会考察该片区招商。二是项目推进平稳有序。科学规划精准施策，积极协调各方资源，确保各个项目的顺利推进。九华山片区棚改一、二期、汴河园路两侧、七里山周边棚改等8个项目已完成结算工作。湖光一路西南侧、吉家湖环境整治两个项目完成拆迁腾地、签约腾房任务。</w:t>
      </w:r>
      <w:r>
        <w:rPr>
          <w:rFonts w:hint="default" w:ascii="仿宋" w:hAnsi="仿宋" w:eastAsia="仿宋" w:cs="仿宋_GB2312"/>
          <w:sz w:val="28"/>
          <w:szCs w:val="28"/>
          <w:lang w:val="en-US" w:eastAsia="zh-CN"/>
        </w:rPr>
        <w:t>完成工商银行岳阳楼社区、自来水、岳阳楼小学家属区3个老旧小区改造建设项目</w:t>
      </w:r>
      <w:r>
        <w:rPr>
          <w:rFonts w:hint="eastAsia" w:ascii="仿宋" w:hAnsi="仿宋" w:eastAsia="仿宋" w:cs="仿宋_GB2312"/>
          <w:sz w:val="28"/>
          <w:szCs w:val="28"/>
          <w:lang w:val="en-US" w:eastAsia="zh-CN"/>
        </w:rPr>
        <w:t>。完成</w:t>
      </w:r>
      <w:r>
        <w:rPr>
          <w:rFonts w:hint="default" w:ascii="仿宋" w:hAnsi="仿宋" w:eastAsia="仿宋" w:cs="仿宋_GB2312"/>
          <w:sz w:val="28"/>
          <w:szCs w:val="28"/>
          <w:lang w:val="en-US" w:eastAsia="zh-CN"/>
        </w:rPr>
        <w:t>郭亮社区文化家园、东湖社区服务平台</w:t>
      </w:r>
      <w:r>
        <w:rPr>
          <w:rFonts w:hint="eastAsia" w:ascii="仿宋" w:hAnsi="仿宋" w:eastAsia="仿宋" w:cs="仿宋_GB2312"/>
          <w:sz w:val="28"/>
          <w:szCs w:val="28"/>
          <w:lang w:val="en-US" w:eastAsia="zh-CN"/>
        </w:rPr>
        <w:t>等</w:t>
      </w:r>
      <w:r>
        <w:rPr>
          <w:rFonts w:hint="default" w:ascii="仿宋" w:hAnsi="仿宋" w:eastAsia="仿宋" w:cs="仿宋_GB2312"/>
          <w:sz w:val="28"/>
          <w:szCs w:val="28"/>
          <w:lang w:val="en-US" w:eastAsia="zh-CN"/>
        </w:rPr>
        <w:t>9个配套基础设施建设项目。雏鹰幼儿园、郭亮片区市二幼、剪刀池片区生活垃圾分类</w:t>
      </w:r>
      <w:r>
        <w:rPr>
          <w:rFonts w:hint="eastAsia" w:ascii="仿宋" w:hAnsi="仿宋" w:eastAsia="仿宋" w:cs="仿宋_GB2312"/>
          <w:sz w:val="28"/>
          <w:szCs w:val="28"/>
          <w:lang w:val="en-US" w:eastAsia="zh-CN"/>
        </w:rPr>
        <w:t>等</w:t>
      </w:r>
      <w:r>
        <w:rPr>
          <w:rFonts w:hint="default" w:ascii="仿宋" w:hAnsi="仿宋" w:eastAsia="仿宋" w:cs="仿宋_GB2312"/>
          <w:sz w:val="28"/>
          <w:szCs w:val="28"/>
          <w:lang w:val="en-US" w:eastAsia="zh-CN"/>
        </w:rPr>
        <w:t>3个配套基础设施建设项目</w:t>
      </w:r>
      <w:r>
        <w:rPr>
          <w:rFonts w:hint="eastAsia" w:ascii="仿宋" w:hAnsi="仿宋" w:eastAsia="仿宋" w:cs="仿宋_GB2312"/>
          <w:sz w:val="28"/>
          <w:szCs w:val="28"/>
          <w:lang w:val="en-US" w:eastAsia="zh-CN"/>
        </w:rPr>
        <w:t>正在进行中，</w:t>
      </w:r>
      <w:r>
        <w:rPr>
          <w:rFonts w:hint="default" w:ascii="仿宋" w:hAnsi="仿宋" w:eastAsia="仿宋" w:cs="仿宋_GB2312"/>
          <w:sz w:val="28"/>
          <w:szCs w:val="28"/>
          <w:lang w:val="en-US" w:eastAsia="zh-CN"/>
        </w:rPr>
        <w:t>预计</w:t>
      </w:r>
      <w:r>
        <w:rPr>
          <w:rFonts w:hint="eastAsia" w:ascii="仿宋" w:hAnsi="仿宋" w:eastAsia="仿宋" w:cs="仿宋_GB2312"/>
          <w:sz w:val="28"/>
          <w:szCs w:val="28"/>
          <w:lang w:val="en-US" w:eastAsia="zh-CN"/>
        </w:rPr>
        <w:t>年</w:t>
      </w:r>
      <w:r>
        <w:rPr>
          <w:rFonts w:hint="default" w:ascii="仿宋" w:hAnsi="仿宋" w:eastAsia="仿宋" w:cs="仿宋_GB2312"/>
          <w:sz w:val="28"/>
          <w:szCs w:val="28"/>
          <w:lang w:val="en-US" w:eastAsia="zh-CN"/>
        </w:rPr>
        <w:t>底</w:t>
      </w:r>
      <w:r>
        <w:rPr>
          <w:rFonts w:hint="eastAsia" w:ascii="仿宋" w:hAnsi="仿宋" w:eastAsia="仿宋" w:cs="仿宋_GB2312"/>
          <w:sz w:val="28"/>
          <w:szCs w:val="28"/>
          <w:lang w:val="en-US" w:eastAsia="zh-CN"/>
        </w:rPr>
        <w:t>全部</w:t>
      </w:r>
      <w:r>
        <w:rPr>
          <w:rFonts w:hint="default" w:ascii="仿宋" w:hAnsi="仿宋" w:eastAsia="仿宋" w:cs="仿宋_GB2312"/>
          <w:sz w:val="28"/>
          <w:szCs w:val="28"/>
          <w:lang w:val="en-US" w:eastAsia="zh-CN"/>
        </w:rPr>
        <w:t>完工。</w:t>
      </w:r>
      <w:r>
        <w:rPr>
          <w:rFonts w:hint="eastAsia" w:ascii="仿宋" w:hAnsi="仿宋" w:eastAsia="仿宋" w:cs="仿宋_GB2312"/>
          <w:sz w:val="28"/>
          <w:szCs w:val="28"/>
          <w:lang w:val="en-US" w:eastAsia="zh-CN"/>
        </w:rPr>
        <w:t>三是景区服务优质顺畅。街道以助推景区经济发展为抓手，不断提升服务水平，优化游客体验。街道加强了对景区基础设施的建设和维护，提升了景区的整体形象。同时，街道还注重提升干部职工的服务意识，确保游客在景区能够享受到高质量的服务。通过这些措施，街道的景区服务得到了游客和业界的高度评价，为街道的经济发展做出了积极贡献。</w:t>
      </w:r>
    </w:p>
    <w:p w14:paraId="5BBAD037">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（三)体现一个“关心”，践行为民宗旨。</w:t>
      </w:r>
    </w:p>
    <w:p w14:paraId="4B004579">
      <w:pPr>
        <w:ind w:firstLine="560" w:firstLineChars="200"/>
        <w:jc w:val="left"/>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在</w:t>
      </w:r>
      <w:r>
        <w:rPr>
          <w:rFonts w:hint="default" w:ascii="仿宋" w:hAnsi="仿宋" w:eastAsia="仿宋" w:cs="仿宋_GB2312"/>
          <w:sz w:val="28"/>
          <w:szCs w:val="28"/>
          <w:lang w:val="en-US" w:eastAsia="zh-CN"/>
        </w:rPr>
        <w:t>践行党的群众路线和服务宗旨的过程中，我们始终将人民群众的利益放在首位，以实际行动回应民生关切。</w:t>
      </w:r>
      <w:r>
        <w:rPr>
          <w:rFonts w:hint="eastAsia" w:ascii="仿宋" w:hAnsi="仿宋" w:eastAsia="仿宋" w:cs="仿宋_GB2312"/>
          <w:sz w:val="28"/>
          <w:szCs w:val="28"/>
          <w:lang w:val="en-US" w:eastAsia="zh-CN"/>
        </w:rPr>
        <w:t>一是落实巡视要求展现态度。</w:t>
      </w:r>
      <w:r>
        <w:rPr>
          <w:rFonts w:hint="eastAsia" w:ascii="仿宋" w:hAnsi="仿宋" w:eastAsia="仿宋" w:cs="仿宋_GB2312"/>
          <w:sz w:val="28"/>
          <w:szCs w:val="28"/>
          <w:lang w:eastAsia="zh-CN"/>
        </w:rPr>
        <w:t>根据省委第十一巡视组反馈的“</w:t>
      </w:r>
      <w:r>
        <w:rPr>
          <w:rFonts w:hint="eastAsia" w:ascii="仿宋" w:hAnsi="仿宋" w:eastAsia="仿宋" w:cs="仿宋_GB2312"/>
          <w:sz w:val="28"/>
          <w:szCs w:val="28"/>
          <w:lang w:val="en-US" w:eastAsia="zh-CN"/>
        </w:rPr>
        <w:t>关于保利洞庭东岸小区土地征购遗留问题未解决”交办事项</w:t>
      </w:r>
      <w:r>
        <w:rPr>
          <w:rFonts w:hint="eastAsia" w:ascii="仿宋" w:hAnsi="仿宋" w:eastAsia="仿宋" w:cs="仿宋_GB2312"/>
          <w:sz w:val="28"/>
          <w:szCs w:val="28"/>
          <w:lang w:eastAsia="zh-CN"/>
        </w:rPr>
        <w:t>，迅速采取行动，确保问题得到妥善解决。</w:t>
      </w:r>
      <w:r>
        <w:rPr>
          <w:rFonts w:hint="eastAsia" w:ascii="仿宋" w:hAnsi="仿宋" w:eastAsia="仿宋" w:cs="仿宋_GB2312"/>
          <w:sz w:val="28"/>
          <w:szCs w:val="28"/>
          <w:lang w:val="en-US" w:eastAsia="zh-CN"/>
        </w:rPr>
        <w:t>梳理前期一手资料，落实工作专班职责。在前期工作基础上，2024年10月19日上午，在岳阳市湘北公证处的全程公证下，指导各单位</w:t>
      </w:r>
      <w:r>
        <w:rPr>
          <w:rFonts w:hint="eastAsia" w:ascii="仿宋" w:hAnsi="仿宋" w:eastAsia="仿宋" w:cs="仿宋_GB2312"/>
          <w:sz w:val="28"/>
          <w:szCs w:val="28"/>
          <w:lang w:eastAsia="zh-CN"/>
        </w:rPr>
        <w:t>组织召开了保利小区业主大会</w:t>
      </w:r>
      <w:r>
        <w:rPr>
          <w:rFonts w:hint="eastAsia" w:ascii="仿宋" w:hAnsi="仿宋" w:eastAsia="仿宋" w:cs="仿宋_GB2312"/>
          <w:sz w:val="28"/>
          <w:szCs w:val="28"/>
          <w:lang w:val="en-US" w:eastAsia="zh-CN"/>
        </w:rPr>
        <w:t>，对土地征购拨付和分配方式进行投票表决，公示《关于保利洞庭东岸小区业主大会会议决定的公示》。下一步将及时了解及督导保利洞庭东岸第二届业委会筹备情况,加快完成征购款拨付工作。针对巡视组交办的“岳阳楼小学周校外午托机构问题”，在辖区内30余家托管机构开展全面摸底清查、整顿整改存在的人员超荷、消防整改、食品安全等问题，截止目前以完成整改销号。二是防汛抗灾害彰显担当。</w:t>
      </w:r>
      <w:r>
        <w:rPr>
          <w:rFonts w:hint="eastAsia" w:ascii="仿宋" w:hAnsi="仿宋" w:eastAsia="仿宋" w:cs="仿宋_GB2312"/>
          <w:sz w:val="28"/>
          <w:szCs w:val="28"/>
          <w:lang w:eastAsia="zh-CN"/>
        </w:rPr>
        <w:t>年初</w:t>
      </w:r>
      <w:r>
        <w:rPr>
          <w:rFonts w:hint="eastAsia" w:ascii="仿宋" w:hAnsi="仿宋" w:eastAsia="仿宋" w:cs="仿宋_GB2312"/>
          <w:sz w:val="28"/>
          <w:szCs w:val="28"/>
          <w:lang w:val="en-US" w:eastAsia="zh-CN"/>
        </w:rPr>
        <w:t>因</w:t>
      </w:r>
      <w:r>
        <w:rPr>
          <w:rFonts w:hint="eastAsia" w:ascii="仿宋" w:hAnsi="仿宋" w:eastAsia="仿宋" w:cs="仿宋_GB2312"/>
          <w:sz w:val="28"/>
          <w:szCs w:val="28"/>
          <w:lang w:eastAsia="zh-CN"/>
        </w:rPr>
        <w:t>极端低温天气引发</w:t>
      </w:r>
      <w:r>
        <w:rPr>
          <w:rFonts w:hint="eastAsia" w:ascii="仿宋" w:hAnsi="仿宋" w:eastAsia="仿宋" w:cs="仿宋_GB2312"/>
          <w:sz w:val="28"/>
          <w:szCs w:val="28"/>
          <w:lang w:val="en-US" w:eastAsia="zh-CN"/>
        </w:rPr>
        <w:t>冰冻灾害</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街道及社区在辖区范围开展扫雪除冰活动20余次</w:t>
      </w:r>
      <w:r>
        <w:rPr>
          <w:rFonts w:hint="eastAsia" w:ascii="仿宋" w:hAnsi="仿宋" w:eastAsia="仿宋" w:cs="仿宋_GB2312"/>
          <w:sz w:val="28"/>
          <w:szCs w:val="28"/>
          <w:lang w:eastAsia="zh-CN"/>
        </w:rPr>
        <w:t>；五、六月份连续强降雨，</w:t>
      </w:r>
      <w:r>
        <w:rPr>
          <w:rFonts w:hint="eastAsia" w:ascii="仿宋" w:hAnsi="仿宋" w:eastAsia="仿宋" w:cs="仿宋_GB2312"/>
          <w:sz w:val="28"/>
          <w:szCs w:val="28"/>
          <w:lang w:val="en-US" w:eastAsia="zh-CN"/>
        </w:rPr>
        <w:t>引起城市内涝，增派力量紧急抽排6次，临时安置受灾群众30余人；</w:t>
      </w:r>
      <w:r>
        <w:rPr>
          <w:rFonts w:hint="eastAsia" w:ascii="仿宋" w:hAnsi="仿宋" w:eastAsia="仿宋" w:cs="仿宋_GB2312"/>
          <w:sz w:val="28"/>
          <w:szCs w:val="28"/>
          <w:lang w:eastAsia="zh-CN"/>
        </w:rPr>
        <w:t>七月</w:t>
      </w:r>
      <w:r>
        <w:rPr>
          <w:rFonts w:hint="eastAsia" w:ascii="仿宋" w:hAnsi="仿宋" w:eastAsia="仿宋" w:cs="仿宋_GB2312"/>
          <w:sz w:val="28"/>
          <w:szCs w:val="28"/>
          <w:lang w:val="en-US" w:eastAsia="zh-CN"/>
        </w:rPr>
        <w:t>面临凶猛汛情</w:t>
      </w:r>
      <w:r>
        <w:rPr>
          <w:rFonts w:hint="eastAsia" w:ascii="仿宋" w:hAnsi="仿宋" w:eastAsia="仿宋" w:cs="仿宋_GB2312"/>
          <w:sz w:val="28"/>
          <w:szCs w:val="28"/>
          <w:lang w:eastAsia="zh-CN"/>
        </w:rPr>
        <w:t>，</w:t>
      </w:r>
      <w:r>
        <w:rPr>
          <w:rFonts w:hint="eastAsia" w:ascii="仿宋" w:hAnsi="仿宋" w:eastAsia="仿宋" w:cs="仿宋_GB2312"/>
          <w:sz w:val="28"/>
          <w:szCs w:val="28"/>
          <w:lang w:val="en-US" w:eastAsia="zh-CN"/>
        </w:rPr>
        <w:t>街道组织</w:t>
      </w:r>
      <w:r>
        <w:rPr>
          <w:rFonts w:hint="eastAsia" w:ascii="仿宋" w:hAnsi="仿宋" w:eastAsia="仿宋" w:cs="仿宋_GB2312"/>
          <w:sz w:val="28"/>
          <w:szCs w:val="28"/>
          <w:lang w:eastAsia="zh-CN"/>
        </w:rPr>
        <w:t>干部们上堤驻守，从6月28日至8月5日Ⅳ级响应解除，历时长达39天，顺利完成任务没有出现重大疏漏。在自然灾害面前，展现了卓越的团队协作精神和强烈的责任感。迅速采取的有效措施，确保了人民群众的生命和财产安全。</w:t>
      </w:r>
      <w:r>
        <w:rPr>
          <w:rFonts w:hint="eastAsia" w:ascii="仿宋" w:hAnsi="仿宋" w:eastAsia="仿宋" w:cs="仿宋_GB2312"/>
          <w:sz w:val="28"/>
          <w:szCs w:val="28"/>
          <w:lang w:val="en-US" w:eastAsia="zh-CN"/>
        </w:rPr>
        <w:t>三是民生实事办理体现温度。</w:t>
      </w:r>
      <w:r>
        <w:rPr>
          <w:rFonts w:hint="eastAsia" w:ascii="仿宋" w:hAnsi="仿宋" w:eastAsia="仿宋" w:cs="仿宋_GB2312"/>
          <w:sz w:val="28"/>
          <w:szCs w:val="28"/>
          <w:lang w:eastAsia="zh-CN"/>
        </w:rPr>
        <w:t>关注群众需求，以“精心组织、精细管理、精准服务”为作风，推动基础设施、公共服务、生活环境、社会治理等方面的发展</w:t>
      </w:r>
      <w:r>
        <w:rPr>
          <w:rFonts w:hint="eastAsia" w:ascii="仿宋" w:hAnsi="仿宋" w:eastAsia="仿宋" w:cs="仿宋_GB2312"/>
          <w:sz w:val="28"/>
          <w:szCs w:val="28"/>
          <w:lang w:val="en-US" w:eastAsia="zh-CN"/>
        </w:rPr>
        <w:t>；</w:t>
      </w:r>
      <w:r>
        <w:rPr>
          <w:rFonts w:hint="eastAsia" w:ascii="仿宋" w:hAnsi="仿宋" w:eastAsia="仿宋" w:cs="仿宋_GB2312"/>
          <w:sz w:val="28"/>
          <w:szCs w:val="28"/>
          <w:lang w:eastAsia="zh-CN"/>
        </w:rPr>
        <w:t>多个老旧小区改造项目完工，极大地改善居民的生活环境</w:t>
      </w:r>
      <w:r>
        <w:rPr>
          <w:rFonts w:hint="eastAsia" w:ascii="仿宋" w:hAnsi="仿宋" w:eastAsia="仿宋" w:cs="仿宋_GB2312"/>
          <w:sz w:val="28"/>
          <w:szCs w:val="28"/>
          <w:lang w:val="en-US" w:eastAsia="zh-CN"/>
        </w:rPr>
        <w:t>；</w:t>
      </w:r>
      <w:r>
        <w:rPr>
          <w:rFonts w:hint="eastAsia" w:ascii="仿宋" w:hAnsi="仿宋" w:eastAsia="仿宋" w:cs="仿宋_GB2312"/>
          <w:sz w:val="28"/>
          <w:szCs w:val="28"/>
          <w:lang w:eastAsia="zh-CN"/>
        </w:rPr>
        <w:t>践行“群英断是非”基层工作法，成功调解多起矛盾纠纷，维护了社区的和谐稳定；市、区两级政协委员积极履职开展“东森景园小区周边环境整治”，以高效民主监督助力居民环境改善</w:t>
      </w:r>
      <w:r>
        <w:rPr>
          <w:rFonts w:hint="eastAsia" w:ascii="仿宋" w:hAnsi="仿宋" w:eastAsia="仿宋" w:cs="仿宋_GB2312"/>
          <w:sz w:val="28"/>
          <w:szCs w:val="28"/>
          <w:lang w:val="en-US" w:eastAsia="zh-CN"/>
        </w:rPr>
        <w:t>;郭亮社区深入推进中国计生协地方综合改革试点项目，紧抓改革转型契机，服务人民群众；开展</w:t>
      </w:r>
      <w:r>
        <w:rPr>
          <w:rFonts w:hint="eastAsia" w:ascii="仿宋" w:hAnsi="仿宋" w:eastAsia="仿宋" w:cs="仿宋_GB2312"/>
          <w:sz w:val="28"/>
          <w:szCs w:val="28"/>
          <w:lang w:eastAsia="zh-CN"/>
        </w:rPr>
        <w:t>就业指导，</w:t>
      </w:r>
      <w:r>
        <w:rPr>
          <w:rFonts w:hint="eastAsia" w:ascii="仿宋" w:hAnsi="仿宋" w:eastAsia="仿宋" w:cs="仿宋_GB2312"/>
          <w:sz w:val="28"/>
          <w:szCs w:val="28"/>
          <w:lang w:val="en-US" w:eastAsia="zh-CN"/>
        </w:rPr>
        <w:t>今年来共开展帮扶就业大型专题活动9次、涉及780余人，指导就业成功400余人，九华山社区职业指导工作室“精准职业指导提升高校毕业生就业质量”获湖南省第三届公共就业服务专项业务竞赛湖南省选拔赛优秀就业服务案例三等奖。扎实推进医保征缴，截至目前完成征缴17000余人，较预期目标完成比例达157%，稳居全区第一。</w:t>
      </w:r>
    </w:p>
    <w:p w14:paraId="0C5A938E">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（四）筑牢一个“决心”，守护平安稳定。</w:t>
      </w:r>
    </w:p>
    <w:p w14:paraId="0F31B521">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eastAsia="zh-CN"/>
        </w:rPr>
        <w:t>街道始终将</w:t>
      </w:r>
      <w:r>
        <w:rPr>
          <w:rFonts w:hint="eastAsia" w:ascii="仿宋" w:hAnsi="仿宋" w:eastAsia="仿宋" w:cs="仿宋_GB2312"/>
          <w:sz w:val="28"/>
          <w:szCs w:val="28"/>
          <w:lang w:val="en-US" w:eastAsia="zh-CN"/>
        </w:rPr>
        <w:t>平安建设作为</w:t>
      </w:r>
      <w:r>
        <w:rPr>
          <w:rFonts w:hint="eastAsia" w:ascii="仿宋" w:hAnsi="仿宋" w:eastAsia="仿宋" w:cs="仿宋_GB2312"/>
          <w:sz w:val="28"/>
          <w:szCs w:val="28"/>
          <w:lang w:eastAsia="zh-CN"/>
        </w:rPr>
        <w:t>首要</w:t>
      </w:r>
      <w:r>
        <w:rPr>
          <w:rFonts w:hint="eastAsia" w:ascii="仿宋" w:hAnsi="仿宋" w:eastAsia="仿宋" w:cs="仿宋_GB2312"/>
          <w:sz w:val="28"/>
          <w:szCs w:val="28"/>
          <w:lang w:val="en-US" w:eastAsia="zh-CN"/>
        </w:rPr>
        <w:t>任务。一是竭尽全力抓好安全生产。</w:t>
      </w:r>
      <w:r>
        <w:rPr>
          <w:rFonts w:hint="eastAsia" w:ascii="仿宋" w:hAnsi="仿宋" w:eastAsia="仿宋" w:cs="仿宋_GB2312"/>
          <w:sz w:val="28"/>
          <w:szCs w:val="28"/>
          <w:lang w:eastAsia="zh-CN"/>
        </w:rPr>
        <w:t>牢固树立安全生产意识，</w:t>
      </w:r>
      <w:r>
        <w:rPr>
          <w:rFonts w:hint="eastAsia" w:ascii="仿宋" w:hAnsi="仿宋" w:eastAsia="仿宋" w:cs="仿宋_GB2312"/>
          <w:sz w:val="28"/>
          <w:szCs w:val="28"/>
          <w:lang w:val="en-US" w:eastAsia="zh-CN"/>
        </w:rPr>
        <w:t>严格执行</w:t>
      </w:r>
      <w:r>
        <w:rPr>
          <w:rFonts w:hint="eastAsia" w:ascii="仿宋" w:hAnsi="仿宋" w:eastAsia="仿宋" w:cs="仿宋_GB2312"/>
          <w:sz w:val="28"/>
          <w:szCs w:val="28"/>
          <w:lang w:eastAsia="zh-CN"/>
        </w:rPr>
        <w:t>安全生产的各项政策和措施。通过加强对自建房和经营性自建房场所的消防安全执法检查，确保消防安全的严格管理。</w:t>
      </w:r>
      <w:r>
        <w:rPr>
          <w:rFonts w:hint="eastAsia" w:ascii="仿宋" w:hAnsi="仿宋" w:eastAsia="仿宋" w:cs="仿宋_GB2312"/>
          <w:sz w:val="28"/>
          <w:szCs w:val="28"/>
          <w:lang w:val="en-US" w:eastAsia="zh-CN"/>
        </w:rPr>
        <w:t>全年开展18次安全生产排查整治行动，对30余处存在安全隐患的情况及时发现并有效整改，</w:t>
      </w:r>
      <w:r>
        <w:rPr>
          <w:rFonts w:hint="eastAsia" w:ascii="仿宋" w:hAnsi="仿宋" w:eastAsia="仿宋" w:cs="仿宋_GB2312"/>
          <w:sz w:val="28"/>
          <w:szCs w:val="28"/>
        </w:rPr>
        <w:t>全年实现无一例安全生产事故，</w:t>
      </w:r>
      <w:r>
        <w:rPr>
          <w:rFonts w:hint="eastAsia" w:ascii="仿宋" w:hAnsi="仿宋" w:eastAsia="仿宋" w:cs="仿宋_GB2312"/>
          <w:sz w:val="28"/>
          <w:szCs w:val="28"/>
          <w:lang w:eastAsia="zh-CN"/>
        </w:rPr>
        <w:t>今年</w:t>
      </w:r>
      <w:r>
        <w:rPr>
          <w:rFonts w:hint="eastAsia" w:ascii="仿宋" w:hAnsi="仿宋" w:eastAsia="仿宋" w:cs="仿宋_GB2312"/>
          <w:sz w:val="28"/>
          <w:szCs w:val="28"/>
          <w:lang w:val="en-US" w:eastAsia="zh-CN"/>
        </w:rPr>
        <w:t>3月获评</w:t>
      </w:r>
      <w:r>
        <w:rPr>
          <w:rFonts w:hint="eastAsia" w:ascii="仿宋" w:hAnsi="仿宋" w:eastAsia="仿宋" w:cs="仿宋_GB2312"/>
          <w:sz w:val="28"/>
          <w:szCs w:val="28"/>
        </w:rPr>
        <w:t>全省安全</w:t>
      </w:r>
      <w:r>
        <w:rPr>
          <w:rFonts w:hint="eastAsia" w:ascii="仿宋" w:hAnsi="仿宋" w:eastAsia="仿宋" w:cs="仿宋_GB2312"/>
          <w:sz w:val="28"/>
          <w:szCs w:val="28"/>
          <w:lang w:val="en-US" w:eastAsia="zh-CN"/>
        </w:rPr>
        <w:t>发展工作</w:t>
      </w:r>
      <w:r>
        <w:rPr>
          <w:rFonts w:hint="eastAsia" w:ascii="仿宋" w:hAnsi="仿宋" w:eastAsia="仿宋" w:cs="仿宋_GB2312"/>
          <w:sz w:val="28"/>
          <w:szCs w:val="28"/>
        </w:rPr>
        <w:t>示范街道称号</w:t>
      </w:r>
      <w:r>
        <w:rPr>
          <w:rFonts w:hint="eastAsia" w:ascii="仿宋" w:hAnsi="仿宋" w:eastAsia="仿宋" w:cs="仿宋_GB2312"/>
          <w:sz w:val="28"/>
          <w:szCs w:val="28"/>
          <w:lang w:val="en-US" w:eastAsia="zh-CN"/>
        </w:rPr>
        <w:t>。二是守牢底线巩固信访维稳。通过加强排查整治，确保问题能够被提前发现并迅速解决。建立社区矛盾纠纷信息网络和定期摸排，实施零报告制度。明确各级工作责任，领导亲自带头，鼓励共同参与，建立专业队伍，形成齐抓共管的良好局面。完善预警机制，对重点区域合法安装监控设备，实时掌握动态。强化人文关怀，通过多方面参与调解，用心沟通，为上访者提供帮助，增进相互理解，有效消除问题。今年来，街道共接待了125次群众来信来访，成功稳控了8名重点人员，并对3个重点群体进行了特别关注。三是全力以赴抓好环境保护。践行“守护好一江碧水”殷殷嘱托，</w:t>
      </w:r>
      <w:r>
        <w:rPr>
          <w:rFonts w:hint="eastAsia" w:ascii="仿宋" w:hAnsi="仿宋" w:eastAsia="仿宋" w:cs="仿宋_GB2312"/>
          <w:sz w:val="28"/>
          <w:szCs w:val="28"/>
        </w:rPr>
        <w:t>拆除违法棚亭3750平方米、清理垃圾2600余吨，取缔5家排污码头及8艘僵尸船</w:t>
      </w:r>
      <w:r>
        <w:rPr>
          <w:rFonts w:hint="eastAsia" w:ascii="仿宋" w:hAnsi="仿宋" w:eastAsia="仿宋" w:cs="仿宋_GB2312"/>
          <w:sz w:val="28"/>
          <w:szCs w:val="28"/>
          <w:lang w:eastAsia="zh-CN"/>
        </w:rPr>
        <w:t>，</w:t>
      </w:r>
      <w:r>
        <w:rPr>
          <w:rFonts w:hint="eastAsia" w:ascii="仿宋" w:hAnsi="仿宋" w:eastAsia="仿宋" w:cs="仿宋_GB2312"/>
          <w:sz w:val="28"/>
          <w:szCs w:val="28"/>
        </w:rPr>
        <w:t>投入1100万元实施堤岸加固和绿化美化。</w:t>
      </w:r>
      <w:r>
        <w:rPr>
          <w:rFonts w:hint="eastAsia" w:ascii="仿宋" w:hAnsi="仿宋" w:eastAsia="仿宋" w:cs="仿宋_GB2312"/>
          <w:sz w:val="28"/>
          <w:szCs w:val="28"/>
          <w:lang w:eastAsia="zh-CN"/>
        </w:rPr>
        <w:t>水环境质量持续好转、</w:t>
      </w:r>
      <w:r>
        <w:rPr>
          <w:rFonts w:hint="eastAsia" w:ascii="仿宋" w:hAnsi="仿宋" w:eastAsia="仿宋" w:cs="仿宋_GB2312"/>
          <w:sz w:val="28"/>
          <w:szCs w:val="28"/>
          <w:lang w:val="en-US" w:eastAsia="zh-CN"/>
        </w:rPr>
        <w:t>大气环境质量更加优良。落实市级领导要求，针对吉家湖周边开展水环境综合整治工作，完成既定任务，为后续项目建设打好基础。</w:t>
      </w:r>
      <w:r>
        <w:rPr>
          <w:rFonts w:hint="eastAsia" w:ascii="仿宋" w:hAnsi="仿宋" w:eastAsia="仿宋" w:cs="仿宋_GB2312"/>
          <w:sz w:val="28"/>
          <w:szCs w:val="28"/>
          <w:lang w:eastAsia="zh-CN"/>
        </w:rPr>
        <w:t>成立工作领导小组并制定工作考评方案，形成班子成员定点调研生态环境问题，先后对汴河园路污水问题、九龙堤小区和东森景园小区黑臭水体等生态环境问题进行了跟踪督办、有效治理。对</w:t>
      </w:r>
      <w:r>
        <w:rPr>
          <w:rFonts w:hint="eastAsia" w:ascii="仿宋" w:hAnsi="仿宋" w:eastAsia="仿宋" w:cs="仿宋_GB2312"/>
          <w:sz w:val="28"/>
          <w:szCs w:val="28"/>
          <w:lang w:val="en-US" w:eastAsia="zh-CN"/>
        </w:rPr>
        <w:t>1家非法生产洗砂的制石场进行了关停，对捕捞社区大湖内4个废气管道进行了封堵填埋。建立长效监管机制，对水环境、餐饮排放和建筑工地扬尘进行日常巡查。四是紧盯不放做好禁危拆违。围绕“新增违建为零，存量违建三年清零”目标，压实责任、加大巡防与执法力度，创新机制，健全防控体系。通过召开部署会、签订责任状、建立巡查机制、实施一日四巡、网格化管理及严格考核等措施，成功拆除全部三年计划存量违法建设，并有效处置新增违建6处、协助旧改项目拆除1处、拆除过期工棚生活区2处等。下一步，将继续严格落实责任、完善巡防体系、确保执法力度，对重点隐患进行排查，开展专项整治，坚决遏制违法建设蔓延，确保禁违拆违治违工作取得更大成效。</w:t>
      </w:r>
    </w:p>
    <w:p w14:paraId="185CB067">
      <w:pPr>
        <w:ind w:firstLine="560" w:firstLineChars="200"/>
        <w:jc w:val="left"/>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（五）坚守一个“初心”，擦亮楼区名片。</w:t>
      </w:r>
    </w:p>
    <w:p w14:paraId="23879EB2">
      <w:pPr>
        <w:ind w:firstLine="560" w:firstLineChars="200"/>
        <w:jc w:val="left"/>
        <w:rPr>
          <w:rFonts w:hint="eastAsia" w:ascii="仿宋_GB2312" w:hAnsi="仿宋_GB2312" w:eastAsia="仿宋_GB2312" w:cs="仿宋_GB2312"/>
          <w:color w:val="000000"/>
          <w:spacing w:val="0"/>
          <w:w w:val="100"/>
          <w:position w:val="0"/>
          <w:sz w:val="28"/>
          <w:szCs w:val="28"/>
          <w:lang w:val="en-US" w:eastAsia="zh-CN"/>
        </w:rPr>
      </w:pPr>
      <w:r>
        <w:rPr>
          <w:rFonts w:hint="eastAsia" w:ascii="仿宋" w:hAnsi="仿宋" w:eastAsia="仿宋" w:cs="仿宋_GB2312"/>
          <w:sz w:val="28"/>
          <w:szCs w:val="28"/>
          <w:lang w:val="en-US" w:eastAsia="zh-CN"/>
        </w:rPr>
        <w:t>街道致力于将岳阳楼街道打造成为美丽、文明、和谐、安全的5A级示范街道。通过精心的规划与管理，为游客提供如家般的温馨体验。积极倡导文明礼仪，激励公众维护街道的清洁与秩序，共同营造一个文明和谐的社区环境。一是践行守护一江碧水。做为首倡地，将“守护好一江碧水”的殷殷嘱托，通过张贴宣传横幅、发放宣传资料、树立禁钓提示牌以及联合城管、派出所开展专项行动等方式，做到深入人心。联合城管局、市场监督管理局等部门对涉水生野生动物销售的经营业主进行专项整治，确保无野生水生动物贩卖运输，为保护洞庭湖渔业资源发挥了积极作用。二是焕新城市面容。围绕“常态长效、精致精美”目标，深化“市容治乱、环卫治脏”工作，取得显著成绩。全年共召开市容环境工作部署会20余次，组织近500人开展大扫除，清理垃圾400余车（含水面岸边垃圾50车）、乱堆放物80车、建筑垃圾70车、牛皮癣3200余处；修建围挡1000余米，抓获违法倾倒渣土三轮车3辆。巩固省级高标准生活垃圾分类示范街道荣誉，举办讲座活动40余次，制作宣传册15000余份，开展培训28次，参与人数1800人次。组织环卫工人健康检查，节日慰问150名一线环卫工人，开展“夏日送清凉”活动15余次，全面关爱环卫工人。三是巩固文明城市建设。通过深化文明礼仪教育，加强城市文化建设，不断提升市民素质。积极开展志愿服务活动，营造互助友爱的社会风尚。今年以来，街道积极对接上级部门，加强文化体育设施和社区书屋的维护管理，并组织和发动社区、社会团体开展丰富的文化活动，获评全省特级综合文化站。开展近100次文明实践活动和20余次志愿服务活动，惠及80万人次。“文明旅游、文明交通”等活动获领导表扬和媒体报道。利用传统节日组织文艺汇演，进行文化、科普、法律等宣传，丰富群众业余文化生活，活跃基层文化氛围，为新时代精神文明建设提供了有力支撑</w:t>
      </w:r>
      <w:r>
        <w:rPr>
          <w:rFonts w:hint="eastAsia" w:ascii="仿宋_GB2312" w:hAnsi="仿宋_GB2312" w:eastAsia="仿宋_GB2312" w:cs="仿宋_GB2312"/>
          <w:b w:val="0"/>
          <w:bCs w:val="0"/>
          <w:color w:val="auto"/>
          <w:kern w:val="44"/>
          <w:sz w:val="28"/>
          <w:szCs w:val="28"/>
          <w:lang w:val="en-US" w:eastAsia="zh-CN" w:bidi="ar"/>
        </w:rPr>
        <w:t>。</w:t>
      </w:r>
    </w:p>
    <w:p w14:paraId="43B13D96">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七、存在的问题及原因分析</w:t>
      </w:r>
    </w:p>
    <w:p w14:paraId="360E5BB5">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ascii="仿宋" w:hAnsi="仿宋" w:eastAsia="仿宋" w:cs="仿宋_GB2312"/>
          <w:sz w:val="28"/>
          <w:szCs w:val="28"/>
        </w:rPr>
      </w:pPr>
      <w:r>
        <w:rPr>
          <w:rFonts w:hint="eastAsia" w:ascii="仿宋" w:hAnsi="仿宋" w:eastAsia="仿宋" w:cs="仿宋_GB2312"/>
          <w:sz w:val="28"/>
          <w:szCs w:val="28"/>
          <w:lang w:val="en-US" w:eastAsia="zh-CN"/>
        </w:rPr>
        <w:t>肯定成绩的同时，也要清醒的认识到面临的问题和挑战，主要体现在：一是理论学习存在差距。街道党工委理论学习中心组、社区党组织、机关全体党员干部，围绕习近平新时代中国特色社会主义思想，党的二十大和二十届三中全会精神，习近平总书记考察湖南重要讲话和指示精神等专题内容开展了多轮次的教育学习活动，但还存在学习范围不够全面、领悟精髓不够透彻、学用结合不够紧密等情况。二是招商引资存在短板。通过各方努力，全年邀请十余家企业及大批乡友代表赴辖区考察，但最终入驻企业及引进的优质项目数量较少，投资金额总量不多。招商引资过程中存在新项目看不懂、大项目看不准、小项目看不上、好项目谈不拢等情况。三是干部队伍建设有待加强。队伍中专业技术型人才缺乏，法律、经济等专业的干部较少；培训方式不多样，理论课程讲授多、实践提升方法少；轮岗交流力度不大，长期在同一岗位任职，出现工作交接空档期和工作消极懈怠等现象；激励担当作为举措不多，依赖考核考评等方式，在激发内生动力，提升主动性上缺乏思考；宗旨意识有待提高，随着基层减负工作的深入推进，让干部把时间精力用于提高工作效率、服务居民群众的办法不多、监督不够。廉洁自律仍需强化，党员领导干部的率先垂范要进一步彰显，单位规章制度的执行要进一步规范到位，依法用权、为民用权的理念要进一步树牢。四是文旅发展思考有待提升。岳阳楼景区及洞庭南路片区作为城市名片，平常和节假日存在人流多、车流大、环卫和治安压力大等情况，多存在各自管理没有形成单位和部门联动；郭亮片区旧改后，在挖掘本土人文景观、引入地方特色产品打造文旅融合示范区建设上需要持续发力；在完善旅游公共服务信息、改善公共交通服务、强化应急救援处理服务等方面还存在不足，旅游公共服务水平还有待提升。五是劝钓禁钓压力较大。街道湖岸线较长，全年经常性迎接中央及省市区级相关检查等重大活动，受执法权限的因素，街道及社区在工作中不能形成惩戒力度，仅靠口头劝导效果十分有限</w:t>
      </w:r>
      <w:r>
        <w:rPr>
          <w:rFonts w:hint="eastAsia" w:ascii="仿宋_GB2312" w:hAnsi="仿宋_GB2312" w:eastAsia="仿宋_GB2312" w:cs="仿宋_GB2312"/>
          <w:b w:val="0"/>
          <w:bCs w:val="0"/>
          <w:sz w:val="28"/>
          <w:szCs w:val="28"/>
          <w:lang w:val="en-US" w:eastAsia="zh-CN"/>
        </w:rPr>
        <w:t>。</w:t>
      </w:r>
    </w:p>
    <w:p w14:paraId="30D97C0F">
      <w:pPr>
        <w:ind w:firstLine="640" w:firstLineChars="200"/>
        <w:jc w:val="left"/>
        <w:rPr>
          <w:rFonts w:hint="default"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八、下一步改进措施</w:t>
      </w:r>
      <w:r>
        <w:rPr>
          <w:rFonts w:hint="eastAsia" w:ascii="黑体" w:hAnsi="黑体" w:eastAsia="黑体" w:cs="黑体"/>
          <w:color w:val="000000" w:themeColor="text1"/>
          <w:sz w:val="32"/>
          <w:szCs w:val="32"/>
          <w:lang w:eastAsia="zh-CN"/>
          <w14:textFill>
            <w14:solidFill>
              <w14:schemeClr w14:val="tx1"/>
            </w14:solidFill>
          </w14:textFill>
        </w:rPr>
        <w:t>、</w:t>
      </w:r>
      <w:r>
        <w:rPr>
          <w:rFonts w:hint="eastAsia" w:ascii="黑体" w:hAnsi="黑体" w:eastAsia="黑体" w:cs="黑体"/>
          <w:color w:val="000000" w:themeColor="text1"/>
          <w:sz w:val="32"/>
          <w:szCs w:val="32"/>
          <w:lang w:val="en-US" w:eastAsia="zh-CN"/>
          <w14:textFill>
            <w14:solidFill>
              <w14:schemeClr w14:val="tx1"/>
            </w14:solidFill>
          </w14:textFill>
        </w:rPr>
        <w:t>工作建议</w:t>
      </w:r>
    </w:p>
    <w:p w14:paraId="0AA0136F">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一是加大党建知识学习范围，在实践中，学用结合。</w:t>
      </w:r>
    </w:p>
    <w:p w14:paraId="5550857C">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二是发挥校友会、商会、协会等社会团体积极作用，“招”服务于“商”，对于招商引资加强从全局性、系统性和本地适应性的思考。</w:t>
      </w:r>
    </w:p>
    <w:p w14:paraId="07DD93EF">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三是加强干部队伍建设专业技术性培训。</w:t>
      </w:r>
    </w:p>
    <w:p w14:paraId="242FABF3">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四是加强部门之间的联动，全方面做好公共服务。</w:t>
      </w:r>
    </w:p>
    <w:p w14:paraId="0B8E7056">
      <w:pPr>
        <w:keepNext w:val="0"/>
        <w:keepLines w:val="0"/>
        <w:pageBreakBefore w:val="0"/>
        <w:widowControl/>
        <w:suppressLineNumbers w:val="0"/>
        <w:kinsoku/>
        <w:wordWrap/>
        <w:overflowPunct/>
        <w:topLinePunct w:val="0"/>
        <w:autoSpaceDE/>
        <w:autoSpaceDN/>
        <w:bidi w:val="0"/>
        <w:adjustRightInd/>
        <w:snapToGrid/>
        <w:spacing w:line="600" w:lineRule="exact"/>
        <w:ind w:firstLine="560" w:firstLineChars="200"/>
        <w:jc w:val="both"/>
        <w:textAlignment w:val="auto"/>
        <w:rPr>
          <w:rFonts w:hint="default" w:ascii="仿宋_GB2312" w:hAnsi="仿宋_GB2312" w:eastAsia="仿宋_GB2312" w:cs="仿宋_GB2312"/>
          <w:b w:val="0"/>
          <w:bCs w:val="0"/>
          <w:sz w:val="28"/>
          <w:szCs w:val="28"/>
          <w:lang w:val="en-US" w:eastAsia="zh-CN"/>
        </w:rPr>
      </w:pPr>
      <w:r>
        <w:rPr>
          <w:rFonts w:hint="eastAsia" w:ascii="仿宋" w:hAnsi="仿宋" w:eastAsia="仿宋" w:cs="仿宋_GB2312"/>
          <w:sz w:val="28"/>
          <w:szCs w:val="28"/>
          <w:lang w:val="en-US" w:eastAsia="zh-CN"/>
        </w:rPr>
        <w:t>五是加强渔民的就业指导力度，建立劝钓禁钓长效机制，统筹安排人员力量及经费使用，增配车辆、无人机等设备，将沿湖部门单位纳入到常规劝钓禁钓队伍，协同开展相关工作</w:t>
      </w:r>
      <w:r>
        <w:rPr>
          <w:rFonts w:hint="eastAsia" w:ascii="仿宋_GB2312" w:hAnsi="仿宋_GB2312" w:eastAsia="仿宋_GB2312" w:cs="仿宋_GB2312"/>
          <w:b w:val="0"/>
          <w:bCs w:val="0"/>
          <w:sz w:val="28"/>
          <w:szCs w:val="28"/>
          <w:lang w:val="en-US" w:eastAsia="zh-CN"/>
        </w:rPr>
        <w:t>。</w:t>
      </w:r>
    </w:p>
    <w:p w14:paraId="5725D703">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九、</w:t>
      </w:r>
      <w:r>
        <w:rPr>
          <w:rFonts w:hint="eastAsia" w:ascii="黑体" w:hAnsi="黑体" w:eastAsia="黑体" w:cs="黑体"/>
          <w:color w:val="000000" w:themeColor="text1"/>
          <w:sz w:val="32"/>
          <w:szCs w:val="32"/>
          <w:lang w:val="en-US" w:eastAsia="zh-CN"/>
          <w14:textFill>
            <w14:solidFill>
              <w14:schemeClr w14:val="tx1"/>
            </w14:solidFill>
          </w14:textFill>
        </w:rPr>
        <w:t>单位</w:t>
      </w:r>
      <w:r>
        <w:rPr>
          <w:rFonts w:hint="eastAsia" w:ascii="黑体" w:hAnsi="黑体" w:eastAsia="黑体" w:cs="黑体"/>
          <w:color w:val="000000" w:themeColor="text1"/>
          <w:sz w:val="32"/>
          <w:szCs w:val="32"/>
          <w14:textFill>
            <w14:solidFill>
              <w14:schemeClr w14:val="tx1"/>
            </w14:solidFill>
          </w14:textFill>
        </w:rPr>
        <w:t>整体支出绩效自评结果拟应用和公开情况</w:t>
      </w:r>
    </w:p>
    <w:p w14:paraId="1F6529AA">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我单位高度重视此项绩效自评工作，积极落实主体责任，切实加强了组织领导，按照绩效评价相关制度规定，明确了具体责任人，认真开展自评，并撰写了绩效评价报告，确保绩效自评工作顺利实施，并将按照要求进行信息公开，对存在的问题积极整改。</w:t>
      </w:r>
    </w:p>
    <w:p w14:paraId="7ED6A495">
      <w:pPr>
        <w:ind w:firstLine="640" w:firstLineChars="200"/>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w:t>
      </w:r>
      <w:r>
        <w:rPr>
          <w:rFonts w:hint="eastAsia" w:ascii="黑体" w:hAnsi="黑体" w:eastAsia="黑体" w:cs="黑体"/>
          <w:color w:val="000000" w:themeColor="text1"/>
          <w:sz w:val="32"/>
          <w:szCs w:val="32"/>
          <w14:textFill>
            <w14:solidFill>
              <w14:schemeClr w14:val="tx1"/>
            </w14:solidFill>
          </w14:textFill>
        </w:rPr>
        <w:t>其他需要说明的情况</w:t>
      </w:r>
    </w:p>
    <w:p w14:paraId="3D888A00">
      <w:pPr>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无。</w:t>
      </w:r>
    </w:p>
    <w:p w14:paraId="36328637">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p w14:paraId="53A2875D">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bookmarkStart w:id="0" w:name="_GoBack"/>
      <w:bookmarkEnd w:id="0"/>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附件：</w:t>
      </w:r>
    </w:p>
    <w:p w14:paraId="1941B2AA">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1、单位</w:t>
      </w:r>
      <w:r>
        <w:rPr>
          <w:rFonts w:hint="eastAsia" w:ascii="仿宋_GB2312" w:hAnsi="仿宋_GB2312" w:eastAsia="仿宋_GB2312" w:cs="仿宋_GB2312"/>
          <w:color w:val="000000" w:themeColor="text1"/>
          <w:spacing w:val="0"/>
          <w:position w:val="0"/>
          <w:sz w:val="32"/>
          <w:szCs w:val="32"/>
          <w:lang w:val="en-US" w:eastAsia="en-US"/>
          <w14:textFill>
            <w14:solidFill>
              <w14:schemeClr w14:val="tx1"/>
            </w14:solidFill>
          </w14:textFill>
        </w:rPr>
        <w:t>整体支出绩效评价基础数据表</w:t>
      </w:r>
    </w:p>
    <w:p w14:paraId="7FFEB962">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2、单位</w:t>
      </w:r>
      <w:r>
        <w:rPr>
          <w:rFonts w:hint="eastAsia" w:ascii="仿宋_GB2312" w:hAnsi="仿宋_GB2312" w:eastAsia="仿宋_GB2312" w:cs="仿宋_GB2312"/>
          <w:color w:val="000000" w:themeColor="text1"/>
          <w:spacing w:val="0"/>
          <w:position w:val="0"/>
          <w:sz w:val="32"/>
          <w:szCs w:val="32"/>
          <w:lang w:val="en-US" w:eastAsia="en-US"/>
          <w14:textFill>
            <w14:solidFill>
              <w14:schemeClr w14:val="tx1"/>
            </w14:solidFill>
          </w14:textFill>
        </w:rPr>
        <w:t>整体支出绩效自评表</w:t>
      </w:r>
    </w:p>
    <w:p w14:paraId="6B19EE2E">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pacing w:val="0"/>
          <w:position w:val="0"/>
          <w:sz w:val="32"/>
          <w:szCs w:val="32"/>
          <w:lang w:val="en-US" w:eastAsia="en-US"/>
          <w14:textFill>
            <w14:solidFill>
              <w14:schemeClr w14:val="tx1"/>
            </w14:solidFill>
          </w14:textFill>
        </w:rPr>
        <w:t>项目支出绩效自评表</w:t>
      </w:r>
    </w:p>
    <w:p w14:paraId="091E2B74">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4、政府性基金预算支出情况表</w:t>
      </w:r>
    </w:p>
    <w:p w14:paraId="480EE03B">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5、国有资本经营预算支出情况表</w:t>
      </w:r>
    </w:p>
    <w:p w14:paraId="4043B3F0">
      <w:pPr>
        <w:keepNext w:val="0"/>
        <w:keepLines w:val="0"/>
        <w:pageBreakBefore w:val="0"/>
        <w:widowControl w:val="0"/>
        <w:kinsoku/>
        <w:wordWrap/>
        <w:overflowPunct/>
        <w:topLinePunct w:val="0"/>
        <w:autoSpaceDE/>
        <w:autoSpaceDN/>
        <w:bidi w:val="0"/>
        <w:adjustRightInd/>
        <w:snapToGrid/>
        <w:ind w:left="0" w:firstLine="640" w:firstLineChars="200"/>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t>6、社会保险基金预算支出情况表</w:t>
      </w:r>
    </w:p>
    <w:p w14:paraId="033985F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themeColor="text1"/>
          <w:spacing w:val="10"/>
          <w:sz w:val="32"/>
          <w:szCs w:val="32"/>
          <w:lang w:val="en-US" w:eastAsia="zh-CN"/>
          <w14:textFill>
            <w14:solidFill>
              <w14:schemeClr w14:val="tx1"/>
            </w14:solidFill>
          </w14:textFill>
        </w:rPr>
      </w:pPr>
    </w:p>
    <w:p w14:paraId="0EA5AAFD">
      <w:pPr>
        <w:keepNext w:val="0"/>
        <w:keepLines w:val="0"/>
        <w:pageBreakBefore w:val="0"/>
        <w:widowControl w:val="0"/>
        <w:kinsoku/>
        <w:wordWrap/>
        <w:overflowPunct/>
        <w:topLinePunct w:val="0"/>
        <w:autoSpaceDE/>
        <w:autoSpaceDN/>
        <w:bidi w:val="0"/>
        <w:adjustRightInd/>
        <w:snapToGrid/>
        <w:jc w:val="left"/>
        <w:textAlignment w:val="auto"/>
        <w:rPr>
          <w:rFonts w:hint="eastAsia" w:ascii="仿宋_GB2312" w:hAnsi="仿宋_GB2312" w:eastAsia="仿宋_GB2312" w:cs="仿宋_GB2312"/>
          <w:color w:val="000000" w:themeColor="text1"/>
          <w:spacing w:val="0"/>
          <w:position w:val="0"/>
          <w:sz w:val="32"/>
          <w:szCs w:val="32"/>
          <w:lang w:val="en-US" w:eastAsia="zh-CN"/>
          <w14:textFill>
            <w14:solidFill>
              <w14:schemeClr w14:val="tx1"/>
            </w14:solidFill>
          </w14:textFill>
        </w:rPr>
      </w:pPr>
    </w:p>
    <w:sectPr>
      <w:pgSz w:w="11906" w:h="16838"/>
      <w:pgMar w:top="1701" w:right="1701" w:bottom="170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600000000000000"/>
    <w:charset w:val="86"/>
    <w:family w:val="auto"/>
    <w:pitch w:val="default"/>
    <w:sig w:usb0="00000000" w:usb1="00000000" w:usb2="00000012" w:usb3="00000000" w:csb0="00160001" w:csb1="1203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KSOF439EEF50">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72C1B">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A4C32B">
                          <w:pPr>
                            <w:pStyle w:val="6"/>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A4C32B">
                    <w:pPr>
                      <w:pStyle w:val="6"/>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3B674">
    <w:pPr>
      <w:widowControl w:val="0"/>
      <w:spacing w:before="1" w:line="174" w:lineRule="auto"/>
      <w:ind w:left="574"/>
      <w:jc w:val="both"/>
      <w:rPr>
        <w:rFonts w:ascii="仿宋" w:hAnsi="仿宋" w:eastAsia="仿宋" w:cs="仿宋"/>
        <w:kern w:val="2"/>
        <w:sz w:val="28"/>
        <w:szCs w:val="28"/>
        <w:lang w:val="en-US" w:eastAsia="en-US" w:bidi="ar-SA"/>
      </w:rPr>
    </w:pPr>
    <w:r>
      <w:rPr>
        <w:rFonts w:ascii="仿宋" w:hAnsi="仿宋" w:eastAsia="仿宋" w:cs="仿宋"/>
        <w:kern w:val="2"/>
        <w:sz w:val="28"/>
        <w:szCs w:val="35"/>
        <w:lang w:val="en-US" w:eastAsia="en-US"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E7C7D7">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47E7C7D7">
                    <w:pPr>
                      <w:widowControl w:val="0"/>
                      <w:tabs>
                        <w:tab w:val="center" w:pos="4153"/>
                        <w:tab w:val="right" w:pos="8306"/>
                      </w:tabs>
                      <w:snapToGrid w:val="0"/>
                      <w:jc w:val="left"/>
                      <w:rPr>
                        <w:rFonts w:hint="eastAsia" w:ascii="宋体" w:hAnsi="宋体" w:eastAsia="宋体" w:cs="宋体"/>
                        <w:kern w:val="2"/>
                        <w:sz w:val="28"/>
                        <w:szCs w:val="28"/>
                        <w:lang w:val="en-US" w:eastAsia="zh-CN" w:bidi="ar-SA"/>
                      </w:rPr>
                    </w:pPr>
                    <w:r>
                      <w:rPr>
                        <w:rFonts w:hint="eastAsia" w:ascii="宋体" w:hAnsi="宋体" w:eastAsia="宋体" w:cs="宋体"/>
                        <w:kern w:val="2"/>
                        <w:sz w:val="28"/>
                        <w:szCs w:val="28"/>
                        <w:lang w:val="en-US" w:eastAsia="zh-CN" w:bidi="ar-SA"/>
                      </w:rPr>
                      <w:t xml:space="preserve">— </w:t>
                    </w:r>
                    <w:r>
                      <w:rPr>
                        <w:rFonts w:hint="eastAsia" w:ascii="宋体" w:hAnsi="宋体" w:eastAsia="宋体" w:cs="宋体"/>
                        <w:kern w:val="2"/>
                        <w:sz w:val="28"/>
                        <w:szCs w:val="28"/>
                        <w:lang w:val="en-US" w:eastAsia="zh-CN" w:bidi="ar-SA"/>
                      </w:rPr>
                      <w:fldChar w:fldCharType="begin"/>
                    </w:r>
                    <w:r>
                      <w:rPr>
                        <w:rFonts w:hint="eastAsia" w:ascii="宋体" w:hAnsi="宋体" w:eastAsia="宋体" w:cs="宋体"/>
                        <w:kern w:val="2"/>
                        <w:sz w:val="28"/>
                        <w:szCs w:val="28"/>
                        <w:lang w:val="en-US" w:eastAsia="zh-CN" w:bidi="ar-SA"/>
                      </w:rPr>
                      <w:instrText xml:space="preserve"> PAGE  \* MERGEFORMAT </w:instrText>
                    </w:r>
                    <w:r>
                      <w:rPr>
                        <w:rFonts w:hint="eastAsia" w:ascii="宋体" w:hAnsi="宋体" w:eastAsia="宋体" w:cs="宋体"/>
                        <w:kern w:val="2"/>
                        <w:sz w:val="28"/>
                        <w:szCs w:val="28"/>
                        <w:lang w:val="en-US" w:eastAsia="zh-CN" w:bidi="ar-SA"/>
                      </w:rPr>
                      <w:fldChar w:fldCharType="separate"/>
                    </w:r>
                    <w:r>
                      <w:rPr>
                        <w:rFonts w:hint="eastAsia" w:ascii="宋体" w:hAnsi="宋体" w:eastAsia="宋体" w:cs="宋体"/>
                        <w:kern w:val="2"/>
                        <w:sz w:val="28"/>
                        <w:szCs w:val="28"/>
                        <w:lang w:val="en-US" w:eastAsia="zh-CN" w:bidi="ar-SA"/>
                      </w:rPr>
                      <w:t>10</w:t>
                    </w:r>
                    <w:r>
                      <w:rPr>
                        <w:rFonts w:hint="eastAsia" w:ascii="宋体" w:hAnsi="宋体" w:eastAsia="宋体" w:cs="宋体"/>
                        <w:kern w:val="2"/>
                        <w:sz w:val="28"/>
                        <w:szCs w:val="28"/>
                        <w:lang w:val="en-US" w:eastAsia="zh-CN" w:bidi="ar-SA"/>
                      </w:rPr>
                      <w:fldChar w:fldCharType="end"/>
                    </w:r>
                    <w:r>
                      <w:rPr>
                        <w:rFonts w:hint="eastAsia" w:ascii="宋体" w:hAnsi="宋体" w:eastAsia="宋体" w:cs="宋体"/>
                        <w:kern w:val="2"/>
                        <w:sz w:val="28"/>
                        <w:szCs w:val="28"/>
                        <w:lang w:val="en-US" w:eastAsia="zh-CN" w:bidi="ar-SA"/>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53FC3987"/>
    <w:rsid w:val="000A3765"/>
    <w:rsid w:val="000E7B1F"/>
    <w:rsid w:val="001D7282"/>
    <w:rsid w:val="0039081D"/>
    <w:rsid w:val="00416C14"/>
    <w:rsid w:val="005A0D91"/>
    <w:rsid w:val="005E6ECB"/>
    <w:rsid w:val="00744EA1"/>
    <w:rsid w:val="009269A2"/>
    <w:rsid w:val="009419CA"/>
    <w:rsid w:val="00955854"/>
    <w:rsid w:val="009C7330"/>
    <w:rsid w:val="00A00FBB"/>
    <w:rsid w:val="00BF0721"/>
    <w:rsid w:val="00C03795"/>
    <w:rsid w:val="00CE3756"/>
    <w:rsid w:val="00D27A74"/>
    <w:rsid w:val="00D549A8"/>
    <w:rsid w:val="00E831C8"/>
    <w:rsid w:val="00EF287A"/>
    <w:rsid w:val="00FF56BA"/>
    <w:rsid w:val="01057CDE"/>
    <w:rsid w:val="01084D00"/>
    <w:rsid w:val="010B4A82"/>
    <w:rsid w:val="01192786"/>
    <w:rsid w:val="011E0CC3"/>
    <w:rsid w:val="01201E6A"/>
    <w:rsid w:val="01204D6E"/>
    <w:rsid w:val="012D57C0"/>
    <w:rsid w:val="01457029"/>
    <w:rsid w:val="014900E3"/>
    <w:rsid w:val="014F5749"/>
    <w:rsid w:val="01521E95"/>
    <w:rsid w:val="01727F7E"/>
    <w:rsid w:val="01764DBE"/>
    <w:rsid w:val="01806F8C"/>
    <w:rsid w:val="0182483A"/>
    <w:rsid w:val="01853E11"/>
    <w:rsid w:val="01863406"/>
    <w:rsid w:val="018D011E"/>
    <w:rsid w:val="019614B0"/>
    <w:rsid w:val="019C71AC"/>
    <w:rsid w:val="01A319FB"/>
    <w:rsid w:val="01BE3E05"/>
    <w:rsid w:val="01BF03AA"/>
    <w:rsid w:val="01C33E74"/>
    <w:rsid w:val="01DF3C26"/>
    <w:rsid w:val="01EE0A2C"/>
    <w:rsid w:val="0200044D"/>
    <w:rsid w:val="020654E4"/>
    <w:rsid w:val="020C72F8"/>
    <w:rsid w:val="02121B7C"/>
    <w:rsid w:val="021813DE"/>
    <w:rsid w:val="021B6B30"/>
    <w:rsid w:val="02363BD8"/>
    <w:rsid w:val="023809F7"/>
    <w:rsid w:val="02431066"/>
    <w:rsid w:val="02595CF1"/>
    <w:rsid w:val="025C47D6"/>
    <w:rsid w:val="0263675C"/>
    <w:rsid w:val="02656E75"/>
    <w:rsid w:val="026D5E00"/>
    <w:rsid w:val="027431E5"/>
    <w:rsid w:val="02AE1145"/>
    <w:rsid w:val="02B544DB"/>
    <w:rsid w:val="02CB5D99"/>
    <w:rsid w:val="02F254D6"/>
    <w:rsid w:val="02F61D91"/>
    <w:rsid w:val="02FC4679"/>
    <w:rsid w:val="02FE5E0A"/>
    <w:rsid w:val="033E5E81"/>
    <w:rsid w:val="0347190C"/>
    <w:rsid w:val="034760CE"/>
    <w:rsid w:val="03487959"/>
    <w:rsid w:val="03505BE1"/>
    <w:rsid w:val="036D41A2"/>
    <w:rsid w:val="037F229C"/>
    <w:rsid w:val="038F42E8"/>
    <w:rsid w:val="03911277"/>
    <w:rsid w:val="039A540B"/>
    <w:rsid w:val="03BD010E"/>
    <w:rsid w:val="03BE1C74"/>
    <w:rsid w:val="03E21758"/>
    <w:rsid w:val="03E2685C"/>
    <w:rsid w:val="03E272F9"/>
    <w:rsid w:val="03E66326"/>
    <w:rsid w:val="03FF6E0F"/>
    <w:rsid w:val="0404259A"/>
    <w:rsid w:val="04051601"/>
    <w:rsid w:val="04150B3B"/>
    <w:rsid w:val="04294F27"/>
    <w:rsid w:val="042C2C6A"/>
    <w:rsid w:val="04327F62"/>
    <w:rsid w:val="04344800"/>
    <w:rsid w:val="045F666C"/>
    <w:rsid w:val="0460075C"/>
    <w:rsid w:val="04613BEE"/>
    <w:rsid w:val="0462054D"/>
    <w:rsid w:val="04675C34"/>
    <w:rsid w:val="046C0B29"/>
    <w:rsid w:val="04816E5C"/>
    <w:rsid w:val="048924DD"/>
    <w:rsid w:val="04914D95"/>
    <w:rsid w:val="0495144B"/>
    <w:rsid w:val="049F51EA"/>
    <w:rsid w:val="04AC07A1"/>
    <w:rsid w:val="04AF72D6"/>
    <w:rsid w:val="04B35139"/>
    <w:rsid w:val="04C63115"/>
    <w:rsid w:val="04CF5236"/>
    <w:rsid w:val="04CF5AF0"/>
    <w:rsid w:val="04D24FF1"/>
    <w:rsid w:val="04DE1BAB"/>
    <w:rsid w:val="04E411E4"/>
    <w:rsid w:val="04F37BBA"/>
    <w:rsid w:val="04F441A3"/>
    <w:rsid w:val="05085366"/>
    <w:rsid w:val="05145F64"/>
    <w:rsid w:val="051E55C3"/>
    <w:rsid w:val="053E4A03"/>
    <w:rsid w:val="054037EF"/>
    <w:rsid w:val="054D7AB2"/>
    <w:rsid w:val="054E7FFF"/>
    <w:rsid w:val="05621117"/>
    <w:rsid w:val="058C5045"/>
    <w:rsid w:val="059C7C89"/>
    <w:rsid w:val="05A50C70"/>
    <w:rsid w:val="05B525CA"/>
    <w:rsid w:val="05C4448F"/>
    <w:rsid w:val="05D93DC0"/>
    <w:rsid w:val="05E616EC"/>
    <w:rsid w:val="05EA49F7"/>
    <w:rsid w:val="05FB5B05"/>
    <w:rsid w:val="06146BAF"/>
    <w:rsid w:val="061A6BAB"/>
    <w:rsid w:val="06286BB6"/>
    <w:rsid w:val="06405E9C"/>
    <w:rsid w:val="064D5380"/>
    <w:rsid w:val="064E0F6B"/>
    <w:rsid w:val="06617309"/>
    <w:rsid w:val="06627981"/>
    <w:rsid w:val="06650E6A"/>
    <w:rsid w:val="06854A05"/>
    <w:rsid w:val="068B5259"/>
    <w:rsid w:val="06986D10"/>
    <w:rsid w:val="06A14716"/>
    <w:rsid w:val="06C90184"/>
    <w:rsid w:val="06C9437B"/>
    <w:rsid w:val="06ED564C"/>
    <w:rsid w:val="06F22A7B"/>
    <w:rsid w:val="07023424"/>
    <w:rsid w:val="07043735"/>
    <w:rsid w:val="0725074E"/>
    <w:rsid w:val="07313C60"/>
    <w:rsid w:val="07331F0A"/>
    <w:rsid w:val="073D135E"/>
    <w:rsid w:val="076971BD"/>
    <w:rsid w:val="076D43AE"/>
    <w:rsid w:val="077323CA"/>
    <w:rsid w:val="0775145F"/>
    <w:rsid w:val="07967DE0"/>
    <w:rsid w:val="07970994"/>
    <w:rsid w:val="079B5FAE"/>
    <w:rsid w:val="07A31495"/>
    <w:rsid w:val="07B913B4"/>
    <w:rsid w:val="07BA1C6A"/>
    <w:rsid w:val="07BD44A3"/>
    <w:rsid w:val="07CE6155"/>
    <w:rsid w:val="07D258D6"/>
    <w:rsid w:val="07DC6755"/>
    <w:rsid w:val="07E11DA2"/>
    <w:rsid w:val="07E40515"/>
    <w:rsid w:val="07EE6091"/>
    <w:rsid w:val="08017E70"/>
    <w:rsid w:val="0805190B"/>
    <w:rsid w:val="080D2DB2"/>
    <w:rsid w:val="082A5F7E"/>
    <w:rsid w:val="083410B5"/>
    <w:rsid w:val="08391F38"/>
    <w:rsid w:val="083A18D9"/>
    <w:rsid w:val="083B503A"/>
    <w:rsid w:val="0848472A"/>
    <w:rsid w:val="084C7436"/>
    <w:rsid w:val="084D20E7"/>
    <w:rsid w:val="085345D0"/>
    <w:rsid w:val="08674899"/>
    <w:rsid w:val="08754155"/>
    <w:rsid w:val="087B77E7"/>
    <w:rsid w:val="087D3D34"/>
    <w:rsid w:val="0889236C"/>
    <w:rsid w:val="088E051E"/>
    <w:rsid w:val="089259D4"/>
    <w:rsid w:val="08935A7B"/>
    <w:rsid w:val="08A91E6C"/>
    <w:rsid w:val="08AC0788"/>
    <w:rsid w:val="08B53F7B"/>
    <w:rsid w:val="08BA1B19"/>
    <w:rsid w:val="08D059DD"/>
    <w:rsid w:val="08D77648"/>
    <w:rsid w:val="08DC08E7"/>
    <w:rsid w:val="090146C5"/>
    <w:rsid w:val="092A567E"/>
    <w:rsid w:val="092D1C9E"/>
    <w:rsid w:val="09377E5E"/>
    <w:rsid w:val="09383E9F"/>
    <w:rsid w:val="0939426E"/>
    <w:rsid w:val="09504F8C"/>
    <w:rsid w:val="09616470"/>
    <w:rsid w:val="096C1F5A"/>
    <w:rsid w:val="096C76C1"/>
    <w:rsid w:val="09806698"/>
    <w:rsid w:val="09906B28"/>
    <w:rsid w:val="09912E95"/>
    <w:rsid w:val="099C1A23"/>
    <w:rsid w:val="09A948AF"/>
    <w:rsid w:val="09A950D4"/>
    <w:rsid w:val="09AC2A76"/>
    <w:rsid w:val="09B04837"/>
    <w:rsid w:val="09C95891"/>
    <w:rsid w:val="09D8005F"/>
    <w:rsid w:val="0A002E0D"/>
    <w:rsid w:val="0A0A554A"/>
    <w:rsid w:val="0A140987"/>
    <w:rsid w:val="0A241A5C"/>
    <w:rsid w:val="0A2E3566"/>
    <w:rsid w:val="0A393280"/>
    <w:rsid w:val="0A3E54A5"/>
    <w:rsid w:val="0A40250C"/>
    <w:rsid w:val="0A5F2F6C"/>
    <w:rsid w:val="0A670B4E"/>
    <w:rsid w:val="0A6D57DB"/>
    <w:rsid w:val="0A7669ED"/>
    <w:rsid w:val="0A851E03"/>
    <w:rsid w:val="0A95018D"/>
    <w:rsid w:val="0A982E07"/>
    <w:rsid w:val="0A985A6F"/>
    <w:rsid w:val="0AA808AF"/>
    <w:rsid w:val="0ABD142C"/>
    <w:rsid w:val="0AC644AE"/>
    <w:rsid w:val="0ACB61B4"/>
    <w:rsid w:val="0ACD4157"/>
    <w:rsid w:val="0AE47DFA"/>
    <w:rsid w:val="0AE964B0"/>
    <w:rsid w:val="0B163034"/>
    <w:rsid w:val="0B1F5B6D"/>
    <w:rsid w:val="0B2F4AF7"/>
    <w:rsid w:val="0B3312B6"/>
    <w:rsid w:val="0B4064B3"/>
    <w:rsid w:val="0B495EAF"/>
    <w:rsid w:val="0B6E529C"/>
    <w:rsid w:val="0B701D27"/>
    <w:rsid w:val="0B7245CE"/>
    <w:rsid w:val="0B8F6FD3"/>
    <w:rsid w:val="0B943886"/>
    <w:rsid w:val="0B9A1CDB"/>
    <w:rsid w:val="0B9C3CD1"/>
    <w:rsid w:val="0B9E7886"/>
    <w:rsid w:val="0BB324D8"/>
    <w:rsid w:val="0BB672C7"/>
    <w:rsid w:val="0BC07BBF"/>
    <w:rsid w:val="0BC429EF"/>
    <w:rsid w:val="0BCE65D1"/>
    <w:rsid w:val="0BD60937"/>
    <w:rsid w:val="0BD80F6F"/>
    <w:rsid w:val="0BD912A4"/>
    <w:rsid w:val="0BE135FA"/>
    <w:rsid w:val="0BE70F30"/>
    <w:rsid w:val="0BEE4F6B"/>
    <w:rsid w:val="0C03261E"/>
    <w:rsid w:val="0C0439FA"/>
    <w:rsid w:val="0C066C1B"/>
    <w:rsid w:val="0C0A7882"/>
    <w:rsid w:val="0C0B17DF"/>
    <w:rsid w:val="0C0F382B"/>
    <w:rsid w:val="0C160980"/>
    <w:rsid w:val="0C1B4EF7"/>
    <w:rsid w:val="0C1C297E"/>
    <w:rsid w:val="0C1D4988"/>
    <w:rsid w:val="0C297E69"/>
    <w:rsid w:val="0C3F14E5"/>
    <w:rsid w:val="0C55038F"/>
    <w:rsid w:val="0C5E3669"/>
    <w:rsid w:val="0C6B7DF9"/>
    <w:rsid w:val="0C6E2A56"/>
    <w:rsid w:val="0C7A708D"/>
    <w:rsid w:val="0C9C59E3"/>
    <w:rsid w:val="0CC06645"/>
    <w:rsid w:val="0CC55A09"/>
    <w:rsid w:val="0CCA7495"/>
    <w:rsid w:val="0CD16BA2"/>
    <w:rsid w:val="0CD745A0"/>
    <w:rsid w:val="0CDE4E30"/>
    <w:rsid w:val="0CE20369"/>
    <w:rsid w:val="0D012A51"/>
    <w:rsid w:val="0D094F84"/>
    <w:rsid w:val="0D1B390C"/>
    <w:rsid w:val="0D280615"/>
    <w:rsid w:val="0D2C07EB"/>
    <w:rsid w:val="0D2F57DE"/>
    <w:rsid w:val="0D353632"/>
    <w:rsid w:val="0D392C4E"/>
    <w:rsid w:val="0D482FA9"/>
    <w:rsid w:val="0D4A4299"/>
    <w:rsid w:val="0D5154EF"/>
    <w:rsid w:val="0D5F1E28"/>
    <w:rsid w:val="0D671080"/>
    <w:rsid w:val="0D6C4F7F"/>
    <w:rsid w:val="0D783B34"/>
    <w:rsid w:val="0D7D4536"/>
    <w:rsid w:val="0D81754C"/>
    <w:rsid w:val="0DBE6AB7"/>
    <w:rsid w:val="0DBF116A"/>
    <w:rsid w:val="0DC00E38"/>
    <w:rsid w:val="0DC41553"/>
    <w:rsid w:val="0DC74BB1"/>
    <w:rsid w:val="0DC8400B"/>
    <w:rsid w:val="0DCE7C62"/>
    <w:rsid w:val="0DD34552"/>
    <w:rsid w:val="0DE03EAA"/>
    <w:rsid w:val="0DE12394"/>
    <w:rsid w:val="0DF36262"/>
    <w:rsid w:val="0E1E619E"/>
    <w:rsid w:val="0E267F81"/>
    <w:rsid w:val="0E365DE9"/>
    <w:rsid w:val="0E4822EE"/>
    <w:rsid w:val="0E4E185D"/>
    <w:rsid w:val="0E4F5ED2"/>
    <w:rsid w:val="0E5139F9"/>
    <w:rsid w:val="0E522FBE"/>
    <w:rsid w:val="0E5D141B"/>
    <w:rsid w:val="0E7542F5"/>
    <w:rsid w:val="0E8648D6"/>
    <w:rsid w:val="0E8C08DC"/>
    <w:rsid w:val="0E8E43C0"/>
    <w:rsid w:val="0E964CBE"/>
    <w:rsid w:val="0E9C01D8"/>
    <w:rsid w:val="0EA00768"/>
    <w:rsid w:val="0EB05323"/>
    <w:rsid w:val="0EBE40CB"/>
    <w:rsid w:val="0EC36A56"/>
    <w:rsid w:val="0EC62499"/>
    <w:rsid w:val="0ECA521F"/>
    <w:rsid w:val="0ECE4E6F"/>
    <w:rsid w:val="0EDA5C56"/>
    <w:rsid w:val="0EE04D7C"/>
    <w:rsid w:val="0EEE7499"/>
    <w:rsid w:val="0EFE4287"/>
    <w:rsid w:val="0F0D525E"/>
    <w:rsid w:val="0F2A2A37"/>
    <w:rsid w:val="0F2E6C95"/>
    <w:rsid w:val="0F3D73C4"/>
    <w:rsid w:val="0F4675CA"/>
    <w:rsid w:val="0F471A79"/>
    <w:rsid w:val="0F4E7F38"/>
    <w:rsid w:val="0F500384"/>
    <w:rsid w:val="0F5B4015"/>
    <w:rsid w:val="0F6071C8"/>
    <w:rsid w:val="0F7B0394"/>
    <w:rsid w:val="0FA00CB6"/>
    <w:rsid w:val="0FA434D3"/>
    <w:rsid w:val="0FB471F7"/>
    <w:rsid w:val="0FC95739"/>
    <w:rsid w:val="0FC95C51"/>
    <w:rsid w:val="0FC965F5"/>
    <w:rsid w:val="0FCD6B4B"/>
    <w:rsid w:val="0FCF7138"/>
    <w:rsid w:val="0FD35AB6"/>
    <w:rsid w:val="0FE017B9"/>
    <w:rsid w:val="0FE04B17"/>
    <w:rsid w:val="0FEC2891"/>
    <w:rsid w:val="0FF71EB7"/>
    <w:rsid w:val="10141182"/>
    <w:rsid w:val="10225AB2"/>
    <w:rsid w:val="102D74F0"/>
    <w:rsid w:val="10305890"/>
    <w:rsid w:val="103C47DA"/>
    <w:rsid w:val="103D5CB0"/>
    <w:rsid w:val="1043497A"/>
    <w:rsid w:val="104B6B58"/>
    <w:rsid w:val="10501A8E"/>
    <w:rsid w:val="105552F6"/>
    <w:rsid w:val="107F195B"/>
    <w:rsid w:val="108449FF"/>
    <w:rsid w:val="108979C5"/>
    <w:rsid w:val="108B34B0"/>
    <w:rsid w:val="109E2943"/>
    <w:rsid w:val="10A32505"/>
    <w:rsid w:val="10C8346E"/>
    <w:rsid w:val="10FE6AB1"/>
    <w:rsid w:val="1112624E"/>
    <w:rsid w:val="11153798"/>
    <w:rsid w:val="11297158"/>
    <w:rsid w:val="113373E5"/>
    <w:rsid w:val="114B2C9B"/>
    <w:rsid w:val="114C494B"/>
    <w:rsid w:val="115D0906"/>
    <w:rsid w:val="115D78BB"/>
    <w:rsid w:val="116001E2"/>
    <w:rsid w:val="11793618"/>
    <w:rsid w:val="11813452"/>
    <w:rsid w:val="11913DD4"/>
    <w:rsid w:val="11961E43"/>
    <w:rsid w:val="11987ED2"/>
    <w:rsid w:val="119969A0"/>
    <w:rsid w:val="11A91B68"/>
    <w:rsid w:val="11AE2F10"/>
    <w:rsid w:val="11B76464"/>
    <w:rsid w:val="11BC2DF3"/>
    <w:rsid w:val="11C43676"/>
    <w:rsid w:val="11EA3CA0"/>
    <w:rsid w:val="11F403BB"/>
    <w:rsid w:val="11FA6A1C"/>
    <w:rsid w:val="12042B30"/>
    <w:rsid w:val="120B6973"/>
    <w:rsid w:val="12155876"/>
    <w:rsid w:val="12183A1B"/>
    <w:rsid w:val="122A11A6"/>
    <w:rsid w:val="123D1BD2"/>
    <w:rsid w:val="123E6D4D"/>
    <w:rsid w:val="125613C2"/>
    <w:rsid w:val="125D4EF7"/>
    <w:rsid w:val="12637C4E"/>
    <w:rsid w:val="127030C8"/>
    <w:rsid w:val="128C65E7"/>
    <w:rsid w:val="12B310FA"/>
    <w:rsid w:val="12B7582D"/>
    <w:rsid w:val="12C621E8"/>
    <w:rsid w:val="12CF0716"/>
    <w:rsid w:val="12D95227"/>
    <w:rsid w:val="12E33197"/>
    <w:rsid w:val="12EA2943"/>
    <w:rsid w:val="12EE1C9C"/>
    <w:rsid w:val="12F60AE4"/>
    <w:rsid w:val="12F863E6"/>
    <w:rsid w:val="13094CA6"/>
    <w:rsid w:val="132156D8"/>
    <w:rsid w:val="132911E2"/>
    <w:rsid w:val="133868AE"/>
    <w:rsid w:val="1343554A"/>
    <w:rsid w:val="135133AE"/>
    <w:rsid w:val="13914897"/>
    <w:rsid w:val="13A55CD5"/>
    <w:rsid w:val="13B654E3"/>
    <w:rsid w:val="13B819E6"/>
    <w:rsid w:val="13BB1914"/>
    <w:rsid w:val="13BC4189"/>
    <w:rsid w:val="13C169EC"/>
    <w:rsid w:val="13CA717D"/>
    <w:rsid w:val="13CE022A"/>
    <w:rsid w:val="13DF25B8"/>
    <w:rsid w:val="13E2403C"/>
    <w:rsid w:val="14047D3B"/>
    <w:rsid w:val="141A00EA"/>
    <w:rsid w:val="143A1FCF"/>
    <w:rsid w:val="14430D66"/>
    <w:rsid w:val="14477E65"/>
    <w:rsid w:val="144D5C20"/>
    <w:rsid w:val="146717C6"/>
    <w:rsid w:val="1470712F"/>
    <w:rsid w:val="14710CBF"/>
    <w:rsid w:val="14791934"/>
    <w:rsid w:val="147D213D"/>
    <w:rsid w:val="14A04833"/>
    <w:rsid w:val="14B12779"/>
    <w:rsid w:val="14B37576"/>
    <w:rsid w:val="14C27361"/>
    <w:rsid w:val="14E07884"/>
    <w:rsid w:val="14F4219E"/>
    <w:rsid w:val="150135C1"/>
    <w:rsid w:val="150A4645"/>
    <w:rsid w:val="151C632A"/>
    <w:rsid w:val="152E4EB1"/>
    <w:rsid w:val="153E3566"/>
    <w:rsid w:val="154034C3"/>
    <w:rsid w:val="156B6CDB"/>
    <w:rsid w:val="15716961"/>
    <w:rsid w:val="15726626"/>
    <w:rsid w:val="15820278"/>
    <w:rsid w:val="15914EE6"/>
    <w:rsid w:val="159F14ED"/>
    <w:rsid w:val="15A42FA4"/>
    <w:rsid w:val="15A6418F"/>
    <w:rsid w:val="15A85BD2"/>
    <w:rsid w:val="15AA091B"/>
    <w:rsid w:val="15BC6BD3"/>
    <w:rsid w:val="15C9146F"/>
    <w:rsid w:val="15CF095E"/>
    <w:rsid w:val="15D752C3"/>
    <w:rsid w:val="15DA784E"/>
    <w:rsid w:val="15DB017B"/>
    <w:rsid w:val="15E6370B"/>
    <w:rsid w:val="15E835FB"/>
    <w:rsid w:val="15E84717"/>
    <w:rsid w:val="15EC4007"/>
    <w:rsid w:val="160F0091"/>
    <w:rsid w:val="16144614"/>
    <w:rsid w:val="16305F82"/>
    <w:rsid w:val="163E3AB2"/>
    <w:rsid w:val="16507CC6"/>
    <w:rsid w:val="165E3F72"/>
    <w:rsid w:val="166938A9"/>
    <w:rsid w:val="166D0110"/>
    <w:rsid w:val="167050F1"/>
    <w:rsid w:val="16713DA7"/>
    <w:rsid w:val="16797776"/>
    <w:rsid w:val="16952546"/>
    <w:rsid w:val="169D3553"/>
    <w:rsid w:val="16AB3FBF"/>
    <w:rsid w:val="16AC1654"/>
    <w:rsid w:val="16B07D64"/>
    <w:rsid w:val="16B12C6E"/>
    <w:rsid w:val="16B971D8"/>
    <w:rsid w:val="16BF0789"/>
    <w:rsid w:val="16CD5BA2"/>
    <w:rsid w:val="16D42F73"/>
    <w:rsid w:val="16D76A65"/>
    <w:rsid w:val="16DA34D2"/>
    <w:rsid w:val="16DA4E41"/>
    <w:rsid w:val="16F042AC"/>
    <w:rsid w:val="16F626B5"/>
    <w:rsid w:val="16FB005D"/>
    <w:rsid w:val="16FC4F3B"/>
    <w:rsid w:val="170E1AC5"/>
    <w:rsid w:val="171630EB"/>
    <w:rsid w:val="17375756"/>
    <w:rsid w:val="17435DB3"/>
    <w:rsid w:val="174849B3"/>
    <w:rsid w:val="175054EB"/>
    <w:rsid w:val="175075E0"/>
    <w:rsid w:val="1752433D"/>
    <w:rsid w:val="175D3461"/>
    <w:rsid w:val="175F4C67"/>
    <w:rsid w:val="175F580B"/>
    <w:rsid w:val="17665207"/>
    <w:rsid w:val="17780248"/>
    <w:rsid w:val="17794395"/>
    <w:rsid w:val="178D50A9"/>
    <w:rsid w:val="178F0FE3"/>
    <w:rsid w:val="17926A1D"/>
    <w:rsid w:val="179C3402"/>
    <w:rsid w:val="17B85018"/>
    <w:rsid w:val="17C1077B"/>
    <w:rsid w:val="17CC5060"/>
    <w:rsid w:val="17D42FA4"/>
    <w:rsid w:val="17DF23C2"/>
    <w:rsid w:val="17E339CC"/>
    <w:rsid w:val="17F33C57"/>
    <w:rsid w:val="180E155B"/>
    <w:rsid w:val="181D4FAC"/>
    <w:rsid w:val="182B38C1"/>
    <w:rsid w:val="18351597"/>
    <w:rsid w:val="18353961"/>
    <w:rsid w:val="183E4E91"/>
    <w:rsid w:val="18474510"/>
    <w:rsid w:val="18487737"/>
    <w:rsid w:val="184F1D16"/>
    <w:rsid w:val="1852374B"/>
    <w:rsid w:val="185629F1"/>
    <w:rsid w:val="18685D91"/>
    <w:rsid w:val="188F0DAB"/>
    <w:rsid w:val="18905464"/>
    <w:rsid w:val="18910B5C"/>
    <w:rsid w:val="18A62960"/>
    <w:rsid w:val="18A64941"/>
    <w:rsid w:val="18BD3DC4"/>
    <w:rsid w:val="18C149F3"/>
    <w:rsid w:val="18D233DB"/>
    <w:rsid w:val="18D717DF"/>
    <w:rsid w:val="18DC433F"/>
    <w:rsid w:val="18DD0C18"/>
    <w:rsid w:val="18DE4BF6"/>
    <w:rsid w:val="18E84F59"/>
    <w:rsid w:val="18EC1CA5"/>
    <w:rsid w:val="18F23C9D"/>
    <w:rsid w:val="18F554AB"/>
    <w:rsid w:val="18FE49D5"/>
    <w:rsid w:val="190F3527"/>
    <w:rsid w:val="19100497"/>
    <w:rsid w:val="19135D94"/>
    <w:rsid w:val="19183CAC"/>
    <w:rsid w:val="191E6BCD"/>
    <w:rsid w:val="193957B5"/>
    <w:rsid w:val="193964B7"/>
    <w:rsid w:val="1948786D"/>
    <w:rsid w:val="19521C94"/>
    <w:rsid w:val="195657BB"/>
    <w:rsid w:val="195C76F5"/>
    <w:rsid w:val="196B19EB"/>
    <w:rsid w:val="196D5E77"/>
    <w:rsid w:val="19717C66"/>
    <w:rsid w:val="19731396"/>
    <w:rsid w:val="198E7C2B"/>
    <w:rsid w:val="19927F79"/>
    <w:rsid w:val="19971CFA"/>
    <w:rsid w:val="199945D5"/>
    <w:rsid w:val="199B5065"/>
    <w:rsid w:val="19B24E29"/>
    <w:rsid w:val="19D07AE3"/>
    <w:rsid w:val="19D37D58"/>
    <w:rsid w:val="19DD0438"/>
    <w:rsid w:val="1A0A04E6"/>
    <w:rsid w:val="1A0D279E"/>
    <w:rsid w:val="1A187AC0"/>
    <w:rsid w:val="1A1C41CE"/>
    <w:rsid w:val="1A213466"/>
    <w:rsid w:val="1A3F3F76"/>
    <w:rsid w:val="1A4B4BAE"/>
    <w:rsid w:val="1A5F35C0"/>
    <w:rsid w:val="1A8006B2"/>
    <w:rsid w:val="1A8B7A46"/>
    <w:rsid w:val="1A8C7B66"/>
    <w:rsid w:val="1A8D640E"/>
    <w:rsid w:val="1A974192"/>
    <w:rsid w:val="1AA93651"/>
    <w:rsid w:val="1ACA62AD"/>
    <w:rsid w:val="1ADA675E"/>
    <w:rsid w:val="1AE11CDA"/>
    <w:rsid w:val="1B087B35"/>
    <w:rsid w:val="1B113A6D"/>
    <w:rsid w:val="1B144B8D"/>
    <w:rsid w:val="1B17013D"/>
    <w:rsid w:val="1B1B14D3"/>
    <w:rsid w:val="1B1D634E"/>
    <w:rsid w:val="1B1F6AF1"/>
    <w:rsid w:val="1B213459"/>
    <w:rsid w:val="1B250DAE"/>
    <w:rsid w:val="1B265149"/>
    <w:rsid w:val="1B2A34EB"/>
    <w:rsid w:val="1B2B0F4C"/>
    <w:rsid w:val="1B2D2734"/>
    <w:rsid w:val="1B340A7C"/>
    <w:rsid w:val="1B3860E1"/>
    <w:rsid w:val="1B3F36F6"/>
    <w:rsid w:val="1B422830"/>
    <w:rsid w:val="1B4B369E"/>
    <w:rsid w:val="1B5271D4"/>
    <w:rsid w:val="1B602618"/>
    <w:rsid w:val="1B6D7C0D"/>
    <w:rsid w:val="1B73270A"/>
    <w:rsid w:val="1B811695"/>
    <w:rsid w:val="1B84594F"/>
    <w:rsid w:val="1B884364"/>
    <w:rsid w:val="1BA912AB"/>
    <w:rsid w:val="1BC74329"/>
    <w:rsid w:val="1BC90A36"/>
    <w:rsid w:val="1BD0347B"/>
    <w:rsid w:val="1BD40AF3"/>
    <w:rsid w:val="1BD802A4"/>
    <w:rsid w:val="1BDF236A"/>
    <w:rsid w:val="1BFE2DFC"/>
    <w:rsid w:val="1C0435DD"/>
    <w:rsid w:val="1C044A22"/>
    <w:rsid w:val="1C0500B1"/>
    <w:rsid w:val="1C165874"/>
    <w:rsid w:val="1C1D4C3D"/>
    <w:rsid w:val="1C212C7F"/>
    <w:rsid w:val="1C4B43EB"/>
    <w:rsid w:val="1C4C28F3"/>
    <w:rsid w:val="1C71314E"/>
    <w:rsid w:val="1C8036FB"/>
    <w:rsid w:val="1C82672C"/>
    <w:rsid w:val="1C89138D"/>
    <w:rsid w:val="1C8E76D2"/>
    <w:rsid w:val="1C937172"/>
    <w:rsid w:val="1C975C4B"/>
    <w:rsid w:val="1C99656B"/>
    <w:rsid w:val="1CA27BB1"/>
    <w:rsid w:val="1CAA3340"/>
    <w:rsid w:val="1CAF7DCF"/>
    <w:rsid w:val="1CB07D7A"/>
    <w:rsid w:val="1CB777C8"/>
    <w:rsid w:val="1CDA4D56"/>
    <w:rsid w:val="1CE608F8"/>
    <w:rsid w:val="1CF810AC"/>
    <w:rsid w:val="1CFF5EAA"/>
    <w:rsid w:val="1D0B3755"/>
    <w:rsid w:val="1D124C24"/>
    <w:rsid w:val="1D2C6C65"/>
    <w:rsid w:val="1D402518"/>
    <w:rsid w:val="1D4E7169"/>
    <w:rsid w:val="1D554265"/>
    <w:rsid w:val="1D5726AE"/>
    <w:rsid w:val="1D69344A"/>
    <w:rsid w:val="1D6A2AB4"/>
    <w:rsid w:val="1D6B31E8"/>
    <w:rsid w:val="1D6B7F83"/>
    <w:rsid w:val="1D776C3D"/>
    <w:rsid w:val="1D9224F8"/>
    <w:rsid w:val="1D95321A"/>
    <w:rsid w:val="1DB85E5C"/>
    <w:rsid w:val="1DC46662"/>
    <w:rsid w:val="1DCA5E3A"/>
    <w:rsid w:val="1DCF5405"/>
    <w:rsid w:val="1DD75183"/>
    <w:rsid w:val="1DDB32DF"/>
    <w:rsid w:val="1DDE2626"/>
    <w:rsid w:val="1DFD7C50"/>
    <w:rsid w:val="1E057CF2"/>
    <w:rsid w:val="1E080AB5"/>
    <w:rsid w:val="1E0E0D58"/>
    <w:rsid w:val="1E2A197B"/>
    <w:rsid w:val="1E35255F"/>
    <w:rsid w:val="1E3C5A5F"/>
    <w:rsid w:val="1E475D36"/>
    <w:rsid w:val="1E4E24A0"/>
    <w:rsid w:val="1E502588"/>
    <w:rsid w:val="1E53413D"/>
    <w:rsid w:val="1E550992"/>
    <w:rsid w:val="1E5A7A32"/>
    <w:rsid w:val="1E671817"/>
    <w:rsid w:val="1E6C3B44"/>
    <w:rsid w:val="1E7A4122"/>
    <w:rsid w:val="1E8879EE"/>
    <w:rsid w:val="1EB95D76"/>
    <w:rsid w:val="1EBF46A7"/>
    <w:rsid w:val="1EC54236"/>
    <w:rsid w:val="1ED464CA"/>
    <w:rsid w:val="1EDA5DF7"/>
    <w:rsid w:val="1EED4A44"/>
    <w:rsid w:val="1EFA39EA"/>
    <w:rsid w:val="1F00206F"/>
    <w:rsid w:val="1F0177DA"/>
    <w:rsid w:val="1F18467A"/>
    <w:rsid w:val="1F232A42"/>
    <w:rsid w:val="1F234F3D"/>
    <w:rsid w:val="1F2645A8"/>
    <w:rsid w:val="1F4B71B8"/>
    <w:rsid w:val="1F4C39A9"/>
    <w:rsid w:val="1F5665AD"/>
    <w:rsid w:val="1F5A4CBF"/>
    <w:rsid w:val="1F692382"/>
    <w:rsid w:val="1F6968D5"/>
    <w:rsid w:val="1F7315FD"/>
    <w:rsid w:val="1F85085E"/>
    <w:rsid w:val="1F8815CD"/>
    <w:rsid w:val="1F8D1995"/>
    <w:rsid w:val="1F935BDD"/>
    <w:rsid w:val="1F9730E6"/>
    <w:rsid w:val="1FC70503"/>
    <w:rsid w:val="1FCA360B"/>
    <w:rsid w:val="1FD63AA5"/>
    <w:rsid w:val="1FDE0273"/>
    <w:rsid w:val="1FE553C2"/>
    <w:rsid w:val="1FEF73C9"/>
    <w:rsid w:val="20020491"/>
    <w:rsid w:val="200308CB"/>
    <w:rsid w:val="203C7C11"/>
    <w:rsid w:val="20421AEB"/>
    <w:rsid w:val="20471AED"/>
    <w:rsid w:val="20487E48"/>
    <w:rsid w:val="20654B32"/>
    <w:rsid w:val="20666EBF"/>
    <w:rsid w:val="206F239E"/>
    <w:rsid w:val="2086258B"/>
    <w:rsid w:val="20A45C99"/>
    <w:rsid w:val="20AD18F5"/>
    <w:rsid w:val="20B30ABE"/>
    <w:rsid w:val="20B77D0F"/>
    <w:rsid w:val="20BB288C"/>
    <w:rsid w:val="20BB2F53"/>
    <w:rsid w:val="20BD5DB3"/>
    <w:rsid w:val="20D06EB4"/>
    <w:rsid w:val="20E40557"/>
    <w:rsid w:val="20EF04D3"/>
    <w:rsid w:val="210C69CF"/>
    <w:rsid w:val="21107C1A"/>
    <w:rsid w:val="213018E1"/>
    <w:rsid w:val="21392BC1"/>
    <w:rsid w:val="21423675"/>
    <w:rsid w:val="21431802"/>
    <w:rsid w:val="21463D2C"/>
    <w:rsid w:val="2151198F"/>
    <w:rsid w:val="21617F9F"/>
    <w:rsid w:val="21703D3E"/>
    <w:rsid w:val="21716344"/>
    <w:rsid w:val="2172070D"/>
    <w:rsid w:val="217B2C80"/>
    <w:rsid w:val="217D2EA2"/>
    <w:rsid w:val="217F21D3"/>
    <w:rsid w:val="21851E83"/>
    <w:rsid w:val="21861507"/>
    <w:rsid w:val="219020E3"/>
    <w:rsid w:val="21916EE8"/>
    <w:rsid w:val="219A308D"/>
    <w:rsid w:val="219F5834"/>
    <w:rsid w:val="21A35D48"/>
    <w:rsid w:val="21C12688"/>
    <w:rsid w:val="21CC4855"/>
    <w:rsid w:val="21E233A3"/>
    <w:rsid w:val="21E23F6C"/>
    <w:rsid w:val="21E345FD"/>
    <w:rsid w:val="21E91608"/>
    <w:rsid w:val="22171E1E"/>
    <w:rsid w:val="22383B4D"/>
    <w:rsid w:val="223F181A"/>
    <w:rsid w:val="22466CD3"/>
    <w:rsid w:val="225D1D49"/>
    <w:rsid w:val="225D33C8"/>
    <w:rsid w:val="226239FE"/>
    <w:rsid w:val="22626562"/>
    <w:rsid w:val="226A76AE"/>
    <w:rsid w:val="22733EB6"/>
    <w:rsid w:val="227930C6"/>
    <w:rsid w:val="22863917"/>
    <w:rsid w:val="22906578"/>
    <w:rsid w:val="22973E77"/>
    <w:rsid w:val="22AB58F3"/>
    <w:rsid w:val="22AE4272"/>
    <w:rsid w:val="22C07DB6"/>
    <w:rsid w:val="22C13FD4"/>
    <w:rsid w:val="22C24771"/>
    <w:rsid w:val="22C97BAA"/>
    <w:rsid w:val="22CB0895"/>
    <w:rsid w:val="22E93075"/>
    <w:rsid w:val="230D587E"/>
    <w:rsid w:val="231527D7"/>
    <w:rsid w:val="23185AD8"/>
    <w:rsid w:val="231A5BB1"/>
    <w:rsid w:val="232A462D"/>
    <w:rsid w:val="23336451"/>
    <w:rsid w:val="23350B0E"/>
    <w:rsid w:val="233F60BE"/>
    <w:rsid w:val="23474320"/>
    <w:rsid w:val="23492735"/>
    <w:rsid w:val="235A2EF8"/>
    <w:rsid w:val="235B5F37"/>
    <w:rsid w:val="235C3EA6"/>
    <w:rsid w:val="23604810"/>
    <w:rsid w:val="237A7609"/>
    <w:rsid w:val="23BE4330"/>
    <w:rsid w:val="23BF0A62"/>
    <w:rsid w:val="23C070E9"/>
    <w:rsid w:val="23C263BB"/>
    <w:rsid w:val="23CB7693"/>
    <w:rsid w:val="23D04F68"/>
    <w:rsid w:val="23D50A64"/>
    <w:rsid w:val="23FC0268"/>
    <w:rsid w:val="240611C5"/>
    <w:rsid w:val="240B4621"/>
    <w:rsid w:val="241061D3"/>
    <w:rsid w:val="24114322"/>
    <w:rsid w:val="24122F3C"/>
    <w:rsid w:val="24181A61"/>
    <w:rsid w:val="241A4D23"/>
    <w:rsid w:val="24305262"/>
    <w:rsid w:val="244328F6"/>
    <w:rsid w:val="245032E9"/>
    <w:rsid w:val="24536196"/>
    <w:rsid w:val="2455546D"/>
    <w:rsid w:val="24626203"/>
    <w:rsid w:val="24715D06"/>
    <w:rsid w:val="247573F6"/>
    <w:rsid w:val="247A4BE7"/>
    <w:rsid w:val="24806762"/>
    <w:rsid w:val="24814D5C"/>
    <w:rsid w:val="24831C33"/>
    <w:rsid w:val="248601CB"/>
    <w:rsid w:val="24917BA8"/>
    <w:rsid w:val="24954A36"/>
    <w:rsid w:val="24977CDD"/>
    <w:rsid w:val="24981483"/>
    <w:rsid w:val="249B0370"/>
    <w:rsid w:val="24A24AC6"/>
    <w:rsid w:val="24B93055"/>
    <w:rsid w:val="24C252E5"/>
    <w:rsid w:val="24C93BB5"/>
    <w:rsid w:val="24D02E03"/>
    <w:rsid w:val="24E71EFA"/>
    <w:rsid w:val="24F86BC7"/>
    <w:rsid w:val="2507093D"/>
    <w:rsid w:val="250F44FD"/>
    <w:rsid w:val="2514288A"/>
    <w:rsid w:val="25373A99"/>
    <w:rsid w:val="253D5BE5"/>
    <w:rsid w:val="255A35DF"/>
    <w:rsid w:val="25627E42"/>
    <w:rsid w:val="256419ED"/>
    <w:rsid w:val="256609A5"/>
    <w:rsid w:val="25781237"/>
    <w:rsid w:val="257A6914"/>
    <w:rsid w:val="2588530F"/>
    <w:rsid w:val="25963C8A"/>
    <w:rsid w:val="25AB3731"/>
    <w:rsid w:val="25AB633E"/>
    <w:rsid w:val="25B464A2"/>
    <w:rsid w:val="25BA0209"/>
    <w:rsid w:val="25BB4BF0"/>
    <w:rsid w:val="25CE50C9"/>
    <w:rsid w:val="25E1520A"/>
    <w:rsid w:val="25E62DA9"/>
    <w:rsid w:val="25F465E7"/>
    <w:rsid w:val="25F6641C"/>
    <w:rsid w:val="25F74FA1"/>
    <w:rsid w:val="25FC3091"/>
    <w:rsid w:val="25FD11FA"/>
    <w:rsid w:val="25FF3210"/>
    <w:rsid w:val="26043A6C"/>
    <w:rsid w:val="2611098A"/>
    <w:rsid w:val="261279A1"/>
    <w:rsid w:val="264221C6"/>
    <w:rsid w:val="26437C73"/>
    <w:rsid w:val="26532AF6"/>
    <w:rsid w:val="265D3370"/>
    <w:rsid w:val="26666555"/>
    <w:rsid w:val="26880E9B"/>
    <w:rsid w:val="268B7C99"/>
    <w:rsid w:val="268C4A4A"/>
    <w:rsid w:val="26997893"/>
    <w:rsid w:val="269A7501"/>
    <w:rsid w:val="26A3584F"/>
    <w:rsid w:val="26A66B0A"/>
    <w:rsid w:val="26A73989"/>
    <w:rsid w:val="26A86D42"/>
    <w:rsid w:val="26BB3CAD"/>
    <w:rsid w:val="26C30557"/>
    <w:rsid w:val="26CB2EBC"/>
    <w:rsid w:val="26CB4B73"/>
    <w:rsid w:val="26E34A7B"/>
    <w:rsid w:val="26E9756C"/>
    <w:rsid w:val="26FA4570"/>
    <w:rsid w:val="26FD6574"/>
    <w:rsid w:val="27217FF0"/>
    <w:rsid w:val="27242893"/>
    <w:rsid w:val="273612F4"/>
    <w:rsid w:val="27383550"/>
    <w:rsid w:val="27445146"/>
    <w:rsid w:val="27580E03"/>
    <w:rsid w:val="277602F5"/>
    <w:rsid w:val="278038CA"/>
    <w:rsid w:val="27805ED0"/>
    <w:rsid w:val="279374D9"/>
    <w:rsid w:val="279938C3"/>
    <w:rsid w:val="27C33BB0"/>
    <w:rsid w:val="27C55F98"/>
    <w:rsid w:val="27CC0CD0"/>
    <w:rsid w:val="27CC5B3D"/>
    <w:rsid w:val="27D0185E"/>
    <w:rsid w:val="27D071BC"/>
    <w:rsid w:val="27D4538F"/>
    <w:rsid w:val="27DE15AE"/>
    <w:rsid w:val="27E03A2F"/>
    <w:rsid w:val="280D297A"/>
    <w:rsid w:val="28276A98"/>
    <w:rsid w:val="282C4737"/>
    <w:rsid w:val="284D700E"/>
    <w:rsid w:val="285710C8"/>
    <w:rsid w:val="285C4BAF"/>
    <w:rsid w:val="285D0F42"/>
    <w:rsid w:val="28703320"/>
    <w:rsid w:val="28893937"/>
    <w:rsid w:val="289539A5"/>
    <w:rsid w:val="289F019A"/>
    <w:rsid w:val="28CC6ED5"/>
    <w:rsid w:val="28F010D9"/>
    <w:rsid w:val="28F05C88"/>
    <w:rsid w:val="29082E70"/>
    <w:rsid w:val="291343EF"/>
    <w:rsid w:val="29166F16"/>
    <w:rsid w:val="291E49C7"/>
    <w:rsid w:val="294D5371"/>
    <w:rsid w:val="295A5964"/>
    <w:rsid w:val="29626133"/>
    <w:rsid w:val="29702C6A"/>
    <w:rsid w:val="29824A43"/>
    <w:rsid w:val="298756CC"/>
    <w:rsid w:val="29877239"/>
    <w:rsid w:val="29A81FA5"/>
    <w:rsid w:val="29AB297C"/>
    <w:rsid w:val="29B9024C"/>
    <w:rsid w:val="29BB2216"/>
    <w:rsid w:val="29BD7D3C"/>
    <w:rsid w:val="29C535D7"/>
    <w:rsid w:val="29C65905"/>
    <w:rsid w:val="29CA4207"/>
    <w:rsid w:val="29DA5777"/>
    <w:rsid w:val="29DF2425"/>
    <w:rsid w:val="2A0C757B"/>
    <w:rsid w:val="2A0E6FDD"/>
    <w:rsid w:val="2A142C99"/>
    <w:rsid w:val="2A1E4871"/>
    <w:rsid w:val="2A214539"/>
    <w:rsid w:val="2A367BB2"/>
    <w:rsid w:val="2A3D54FD"/>
    <w:rsid w:val="2A3F4BF5"/>
    <w:rsid w:val="2A410FE5"/>
    <w:rsid w:val="2A4173A1"/>
    <w:rsid w:val="2A596631"/>
    <w:rsid w:val="2A5A05BF"/>
    <w:rsid w:val="2A5F2983"/>
    <w:rsid w:val="2A601F6F"/>
    <w:rsid w:val="2A7A07C0"/>
    <w:rsid w:val="2A8D5961"/>
    <w:rsid w:val="2A9D4760"/>
    <w:rsid w:val="2AB17620"/>
    <w:rsid w:val="2AB30FEA"/>
    <w:rsid w:val="2AB657B1"/>
    <w:rsid w:val="2AD318B8"/>
    <w:rsid w:val="2AE07913"/>
    <w:rsid w:val="2AE6112D"/>
    <w:rsid w:val="2AEA3FC0"/>
    <w:rsid w:val="2AEA4AC4"/>
    <w:rsid w:val="2B0E64B5"/>
    <w:rsid w:val="2B166BF6"/>
    <w:rsid w:val="2B233D09"/>
    <w:rsid w:val="2B2B0DE1"/>
    <w:rsid w:val="2B3E1E16"/>
    <w:rsid w:val="2B405858"/>
    <w:rsid w:val="2B5D0E3B"/>
    <w:rsid w:val="2B5E2134"/>
    <w:rsid w:val="2B6F3EEE"/>
    <w:rsid w:val="2B70774D"/>
    <w:rsid w:val="2B7D446F"/>
    <w:rsid w:val="2B8D4A3E"/>
    <w:rsid w:val="2BCC1BD6"/>
    <w:rsid w:val="2BDF0CFB"/>
    <w:rsid w:val="2BE234F2"/>
    <w:rsid w:val="2BE33AA6"/>
    <w:rsid w:val="2BE40B44"/>
    <w:rsid w:val="2BEF68A7"/>
    <w:rsid w:val="2BF22DBE"/>
    <w:rsid w:val="2BF73785"/>
    <w:rsid w:val="2C0F30B3"/>
    <w:rsid w:val="2C1235EB"/>
    <w:rsid w:val="2C162BEC"/>
    <w:rsid w:val="2C2F0BC4"/>
    <w:rsid w:val="2C391765"/>
    <w:rsid w:val="2C3D18DD"/>
    <w:rsid w:val="2C3D5EB9"/>
    <w:rsid w:val="2C4C0F0A"/>
    <w:rsid w:val="2C5254C3"/>
    <w:rsid w:val="2C526E62"/>
    <w:rsid w:val="2C530719"/>
    <w:rsid w:val="2C532EF2"/>
    <w:rsid w:val="2C5C500F"/>
    <w:rsid w:val="2C5F157F"/>
    <w:rsid w:val="2C621140"/>
    <w:rsid w:val="2C622E1D"/>
    <w:rsid w:val="2C6E3526"/>
    <w:rsid w:val="2C6F1E54"/>
    <w:rsid w:val="2C8E2B74"/>
    <w:rsid w:val="2C993631"/>
    <w:rsid w:val="2C9B7E11"/>
    <w:rsid w:val="2CAF1058"/>
    <w:rsid w:val="2CB32C99"/>
    <w:rsid w:val="2CB573F1"/>
    <w:rsid w:val="2CBC36F5"/>
    <w:rsid w:val="2CBC4385"/>
    <w:rsid w:val="2CC907F0"/>
    <w:rsid w:val="2CCC5126"/>
    <w:rsid w:val="2CF756B7"/>
    <w:rsid w:val="2CF9252D"/>
    <w:rsid w:val="2CF97782"/>
    <w:rsid w:val="2CFB648A"/>
    <w:rsid w:val="2CFE48F4"/>
    <w:rsid w:val="2D0D6E6E"/>
    <w:rsid w:val="2D107154"/>
    <w:rsid w:val="2D143281"/>
    <w:rsid w:val="2D1C79F8"/>
    <w:rsid w:val="2D324177"/>
    <w:rsid w:val="2D5A7835"/>
    <w:rsid w:val="2D6578A0"/>
    <w:rsid w:val="2D7343C9"/>
    <w:rsid w:val="2D7E06DF"/>
    <w:rsid w:val="2DE44256"/>
    <w:rsid w:val="2DE557EB"/>
    <w:rsid w:val="2E01707A"/>
    <w:rsid w:val="2E0E6D42"/>
    <w:rsid w:val="2E0F4249"/>
    <w:rsid w:val="2E2F0A58"/>
    <w:rsid w:val="2E447583"/>
    <w:rsid w:val="2E4B4467"/>
    <w:rsid w:val="2E5520B9"/>
    <w:rsid w:val="2E63548C"/>
    <w:rsid w:val="2E640C1C"/>
    <w:rsid w:val="2E6A6D7F"/>
    <w:rsid w:val="2E6B523D"/>
    <w:rsid w:val="2E7A02FF"/>
    <w:rsid w:val="2E7A08F9"/>
    <w:rsid w:val="2E7B33BD"/>
    <w:rsid w:val="2E7D5CEC"/>
    <w:rsid w:val="2E836803"/>
    <w:rsid w:val="2E96363C"/>
    <w:rsid w:val="2EB86707"/>
    <w:rsid w:val="2EC92184"/>
    <w:rsid w:val="2ECD27F6"/>
    <w:rsid w:val="2F0E1C14"/>
    <w:rsid w:val="2F25085E"/>
    <w:rsid w:val="2F2F6AC9"/>
    <w:rsid w:val="2F366FC1"/>
    <w:rsid w:val="2F4800A8"/>
    <w:rsid w:val="2F48454C"/>
    <w:rsid w:val="2F5034C7"/>
    <w:rsid w:val="2F522CD5"/>
    <w:rsid w:val="2F656EAC"/>
    <w:rsid w:val="2F866106"/>
    <w:rsid w:val="2FA3249D"/>
    <w:rsid w:val="2FC05B92"/>
    <w:rsid w:val="2FCF7117"/>
    <w:rsid w:val="2FDE3BE4"/>
    <w:rsid w:val="2FE04785"/>
    <w:rsid w:val="2FEC1413"/>
    <w:rsid w:val="2FEF5C51"/>
    <w:rsid w:val="30085A89"/>
    <w:rsid w:val="301F1E0F"/>
    <w:rsid w:val="302E6295"/>
    <w:rsid w:val="303329F0"/>
    <w:rsid w:val="303818E5"/>
    <w:rsid w:val="303F1851"/>
    <w:rsid w:val="303F594F"/>
    <w:rsid w:val="303F79AD"/>
    <w:rsid w:val="30492212"/>
    <w:rsid w:val="304C3A2B"/>
    <w:rsid w:val="30596318"/>
    <w:rsid w:val="306029C1"/>
    <w:rsid w:val="306F339C"/>
    <w:rsid w:val="30762710"/>
    <w:rsid w:val="307750E9"/>
    <w:rsid w:val="30814CF1"/>
    <w:rsid w:val="308E4163"/>
    <w:rsid w:val="30C20BA4"/>
    <w:rsid w:val="30C478ED"/>
    <w:rsid w:val="30E318D0"/>
    <w:rsid w:val="30EC01FB"/>
    <w:rsid w:val="30F54D00"/>
    <w:rsid w:val="31026564"/>
    <w:rsid w:val="3103547C"/>
    <w:rsid w:val="310A5122"/>
    <w:rsid w:val="312107CD"/>
    <w:rsid w:val="31210CA8"/>
    <w:rsid w:val="31215285"/>
    <w:rsid w:val="312D0344"/>
    <w:rsid w:val="31346C1B"/>
    <w:rsid w:val="314657DC"/>
    <w:rsid w:val="314A407E"/>
    <w:rsid w:val="31554E5B"/>
    <w:rsid w:val="317038BB"/>
    <w:rsid w:val="317958D0"/>
    <w:rsid w:val="318D218C"/>
    <w:rsid w:val="31964319"/>
    <w:rsid w:val="319A32FE"/>
    <w:rsid w:val="31A53AB7"/>
    <w:rsid w:val="31A801F9"/>
    <w:rsid w:val="31B63FAB"/>
    <w:rsid w:val="31B7077C"/>
    <w:rsid w:val="31C57FB2"/>
    <w:rsid w:val="31C932E2"/>
    <w:rsid w:val="31E42732"/>
    <w:rsid w:val="31F61F62"/>
    <w:rsid w:val="320358D0"/>
    <w:rsid w:val="32052FE4"/>
    <w:rsid w:val="320B77FD"/>
    <w:rsid w:val="321976B1"/>
    <w:rsid w:val="321D6876"/>
    <w:rsid w:val="3220390C"/>
    <w:rsid w:val="322B51BC"/>
    <w:rsid w:val="322F26BF"/>
    <w:rsid w:val="32313F22"/>
    <w:rsid w:val="324C089B"/>
    <w:rsid w:val="324C6101"/>
    <w:rsid w:val="32546D64"/>
    <w:rsid w:val="32643522"/>
    <w:rsid w:val="326470BA"/>
    <w:rsid w:val="32744A8B"/>
    <w:rsid w:val="32753DA5"/>
    <w:rsid w:val="32886DB3"/>
    <w:rsid w:val="32895C45"/>
    <w:rsid w:val="32931F82"/>
    <w:rsid w:val="3293788C"/>
    <w:rsid w:val="32A43D99"/>
    <w:rsid w:val="32AE0B6A"/>
    <w:rsid w:val="32B141E0"/>
    <w:rsid w:val="32B44D2D"/>
    <w:rsid w:val="32C8290C"/>
    <w:rsid w:val="32C90A49"/>
    <w:rsid w:val="32DD4C92"/>
    <w:rsid w:val="32F76540"/>
    <w:rsid w:val="32FA2D7F"/>
    <w:rsid w:val="32FC6C4E"/>
    <w:rsid w:val="33085CC5"/>
    <w:rsid w:val="331309CD"/>
    <w:rsid w:val="33262CBA"/>
    <w:rsid w:val="332B323C"/>
    <w:rsid w:val="332E3189"/>
    <w:rsid w:val="33376D8F"/>
    <w:rsid w:val="333E69DD"/>
    <w:rsid w:val="335B62EC"/>
    <w:rsid w:val="335E79BA"/>
    <w:rsid w:val="3360061D"/>
    <w:rsid w:val="336549AB"/>
    <w:rsid w:val="33753436"/>
    <w:rsid w:val="33782709"/>
    <w:rsid w:val="3392025F"/>
    <w:rsid w:val="33A8285D"/>
    <w:rsid w:val="33AC1E29"/>
    <w:rsid w:val="33AE3B69"/>
    <w:rsid w:val="33B17041"/>
    <w:rsid w:val="33B202F3"/>
    <w:rsid w:val="33B20F64"/>
    <w:rsid w:val="33EE53FA"/>
    <w:rsid w:val="33FD7485"/>
    <w:rsid w:val="34012F1B"/>
    <w:rsid w:val="34467089"/>
    <w:rsid w:val="34523AB5"/>
    <w:rsid w:val="346B4B47"/>
    <w:rsid w:val="346E4F77"/>
    <w:rsid w:val="34713D3E"/>
    <w:rsid w:val="34762AAC"/>
    <w:rsid w:val="348402A8"/>
    <w:rsid w:val="34B510BB"/>
    <w:rsid w:val="34BB2714"/>
    <w:rsid w:val="34C25EF7"/>
    <w:rsid w:val="34D20F28"/>
    <w:rsid w:val="34E22DC0"/>
    <w:rsid w:val="34E6283D"/>
    <w:rsid w:val="350233D4"/>
    <w:rsid w:val="35195F01"/>
    <w:rsid w:val="35313A72"/>
    <w:rsid w:val="35493C91"/>
    <w:rsid w:val="355C0228"/>
    <w:rsid w:val="356358A2"/>
    <w:rsid w:val="357800DF"/>
    <w:rsid w:val="358527FB"/>
    <w:rsid w:val="358B5BCF"/>
    <w:rsid w:val="358D688D"/>
    <w:rsid w:val="3590706C"/>
    <w:rsid w:val="359A77E8"/>
    <w:rsid w:val="35A1790B"/>
    <w:rsid w:val="35A45B99"/>
    <w:rsid w:val="35B01090"/>
    <w:rsid w:val="35DD2073"/>
    <w:rsid w:val="35DF75FB"/>
    <w:rsid w:val="35EB21A5"/>
    <w:rsid w:val="35F52D00"/>
    <w:rsid w:val="35F86DCB"/>
    <w:rsid w:val="35FF153A"/>
    <w:rsid w:val="3606622C"/>
    <w:rsid w:val="36077316"/>
    <w:rsid w:val="3613278E"/>
    <w:rsid w:val="36356D4F"/>
    <w:rsid w:val="36405687"/>
    <w:rsid w:val="36414112"/>
    <w:rsid w:val="36481456"/>
    <w:rsid w:val="365F3D60"/>
    <w:rsid w:val="36645530"/>
    <w:rsid w:val="367851C1"/>
    <w:rsid w:val="368045CB"/>
    <w:rsid w:val="368220F2"/>
    <w:rsid w:val="369510BC"/>
    <w:rsid w:val="36973632"/>
    <w:rsid w:val="369E2CA4"/>
    <w:rsid w:val="36A30194"/>
    <w:rsid w:val="36B77CE8"/>
    <w:rsid w:val="36D21A02"/>
    <w:rsid w:val="36D82130"/>
    <w:rsid w:val="37104DEB"/>
    <w:rsid w:val="371C328C"/>
    <w:rsid w:val="372D0977"/>
    <w:rsid w:val="37337382"/>
    <w:rsid w:val="374D5647"/>
    <w:rsid w:val="374F42A7"/>
    <w:rsid w:val="37506DBE"/>
    <w:rsid w:val="3759338C"/>
    <w:rsid w:val="37654002"/>
    <w:rsid w:val="376B2A66"/>
    <w:rsid w:val="378E3E66"/>
    <w:rsid w:val="37943E0C"/>
    <w:rsid w:val="3799691B"/>
    <w:rsid w:val="37C244FC"/>
    <w:rsid w:val="37D95C79"/>
    <w:rsid w:val="37E81F7B"/>
    <w:rsid w:val="37FB0B2E"/>
    <w:rsid w:val="38026A1B"/>
    <w:rsid w:val="380E46D0"/>
    <w:rsid w:val="38197832"/>
    <w:rsid w:val="383903C6"/>
    <w:rsid w:val="383C423B"/>
    <w:rsid w:val="38415136"/>
    <w:rsid w:val="38467ACD"/>
    <w:rsid w:val="386C1D38"/>
    <w:rsid w:val="387A25A5"/>
    <w:rsid w:val="38963295"/>
    <w:rsid w:val="389D2F53"/>
    <w:rsid w:val="38A945B7"/>
    <w:rsid w:val="38AA1DD4"/>
    <w:rsid w:val="38CC2A09"/>
    <w:rsid w:val="38D677A2"/>
    <w:rsid w:val="38D770AE"/>
    <w:rsid w:val="38F4304F"/>
    <w:rsid w:val="38F70050"/>
    <w:rsid w:val="38FC33FC"/>
    <w:rsid w:val="38FD0E84"/>
    <w:rsid w:val="38FF1B5B"/>
    <w:rsid w:val="390273B1"/>
    <w:rsid w:val="39153767"/>
    <w:rsid w:val="39217BFC"/>
    <w:rsid w:val="39225CA9"/>
    <w:rsid w:val="3923070B"/>
    <w:rsid w:val="392C49BB"/>
    <w:rsid w:val="39381E2B"/>
    <w:rsid w:val="393D49F6"/>
    <w:rsid w:val="3942282F"/>
    <w:rsid w:val="394A4F39"/>
    <w:rsid w:val="3953338B"/>
    <w:rsid w:val="39547B69"/>
    <w:rsid w:val="396B7002"/>
    <w:rsid w:val="396C2A15"/>
    <w:rsid w:val="39776BAE"/>
    <w:rsid w:val="39AC01F9"/>
    <w:rsid w:val="39AF32B8"/>
    <w:rsid w:val="39B73BAC"/>
    <w:rsid w:val="39B7517F"/>
    <w:rsid w:val="39BA3B51"/>
    <w:rsid w:val="39C20795"/>
    <w:rsid w:val="39C72511"/>
    <w:rsid w:val="39D834D9"/>
    <w:rsid w:val="39E90E2B"/>
    <w:rsid w:val="39E94D86"/>
    <w:rsid w:val="39F1638E"/>
    <w:rsid w:val="39F91339"/>
    <w:rsid w:val="39FC5BB4"/>
    <w:rsid w:val="3A001C79"/>
    <w:rsid w:val="3A0579C1"/>
    <w:rsid w:val="3A075AFE"/>
    <w:rsid w:val="3A1513BA"/>
    <w:rsid w:val="3A2E618D"/>
    <w:rsid w:val="3A4109A1"/>
    <w:rsid w:val="3A62745C"/>
    <w:rsid w:val="3A736762"/>
    <w:rsid w:val="3A742C8C"/>
    <w:rsid w:val="3A7B2702"/>
    <w:rsid w:val="3A896EEE"/>
    <w:rsid w:val="3AAA2893"/>
    <w:rsid w:val="3ABB15C7"/>
    <w:rsid w:val="3AD8279E"/>
    <w:rsid w:val="3AE73EDB"/>
    <w:rsid w:val="3AED7D56"/>
    <w:rsid w:val="3B08641D"/>
    <w:rsid w:val="3B0F23C2"/>
    <w:rsid w:val="3B1C7A19"/>
    <w:rsid w:val="3B2350FC"/>
    <w:rsid w:val="3B2B5582"/>
    <w:rsid w:val="3B4234D4"/>
    <w:rsid w:val="3B5B356B"/>
    <w:rsid w:val="3B7622BA"/>
    <w:rsid w:val="3B7C1C88"/>
    <w:rsid w:val="3B8107C8"/>
    <w:rsid w:val="3B8972AA"/>
    <w:rsid w:val="3B9F72A2"/>
    <w:rsid w:val="3BA219B8"/>
    <w:rsid w:val="3BA96003"/>
    <w:rsid w:val="3BC61A51"/>
    <w:rsid w:val="3BC94845"/>
    <w:rsid w:val="3BDD1B6F"/>
    <w:rsid w:val="3BE14893"/>
    <w:rsid w:val="3BE8265C"/>
    <w:rsid w:val="3BE92A35"/>
    <w:rsid w:val="3BEB460F"/>
    <w:rsid w:val="3BEF1DA2"/>
    <w:rsid w:val="3BF64635"/>
    <w:rsid w:val="3BF956C3"/>
    <w:rsid w:val="3C0E5CDB"/>
    <w:rsid w:val="3C351E3D"/>
    <w:rsid w:val="3C3D4818"/>
    <w:rsid w:val="3C44609B"/>
    <w:rsid w:val="3C485B8B"/>
    <w:rsid w:val="3C4D3B02"/>
    <w:rsid w:val="3C5B1D89"/>
    <w:rsid w:val="3C677638"/>
    <w:rsid w:val="3C6B3BDD"/>
    <w:rsid w:val="3C85498F"/>
    <w:rsid w:val="3C8946A5"/>
    <w:rsid w:val="3C920BB5"/>
    <w:rsid w:val="3C9E03C2"/>
    <w:rsid w:val="3CA372A1"/>
    <w:rsid w:val="3CA600E0"/>
    <w:rsid w:val="3CB419F3"/>
    <w:rsid w:val="3CB765A9"/>
    <w:rsid w:val="3CBA4326"/>
    <w:rsid w:val="3CBC0BE3"/>
    <w:rsid w:val="3CC614DA"/>
    <w:rsid w:val="3CD01DA9"/>
    <w:rsid w:val="3CDA38F5"/>
    <w:rsid w:val="3CDD517D"/>
    <w:rsid w:val="3CDE30E2"/>
    <w:rsid w:val="3CE33FC3"/>
    <w:rsid w:val="3CEA3B31"/>
    <w:rsid w:val="3CF9401E"/>
    <w:rsid w:val="3CFC6325"/>
    <w:rsid w:val="3D093C71"/>
    <w:rsid w:val="3D1A22C0"/>
    <w:rsid w:val="3D294B1B"/>
    <w:rsid w:val="3D2B034D"/>
    <w:rsid w:val="3D2D136F"/>
    <w:rsid w:val="3D506476"/>
    <w:rsid w:val="3D5A60CA"/>
    <w:rsid w:val="3D9F4364"/>
    <w:rsid w:val="3DA702BF"/>
    <w:rsid w:val="3DAA3342"/>
    <w:rsid w:val="3DB92106"/>
    <w:rsid w:val="3DC84308"/>
    <w:rsid w:val="3DCF457D"/>
    <w:rsid w:val="3DE91F16"/>
    <w:rsid w:val="3DF169A7"/>
    <w:rsid w:val="3DF2399F"/>
    <w:rsid w:val="3DF40FE4"/>
    <w:rsid w:val="3E0519AD"/>
    <w:rsid w:val="3E120657"/>
    <w:rsid w:val="3E4A1D40"/>
    <w:rsid w:val="3E4C287B"/>
    <w:rsid w:val="3E565E71"/>
    <w:rsid w:val="3E633FD2"/>
    <w:rsid w:val="3E6F32D2"/>
    <w:rsid w:val="3E742C66"/>
    <w:rsid w:val="3E7E19E7"/>
    <w:rsid w:val="3E8572BF"/>
    <w:rsid w:val="3E917B82"/>
    <w:rsid w:val="3E9656A5"/>
    <w:rsid w:val="3E997463"/>
    <w:rsid w:val="3E9F7600"/>
    <w:rsid w:val="3EB97D8F"/>
    <w:rsid w:val="3ECD5479"/>
    <w:rsid w:val="3ED470D7"/>
    <w:rsid w:val="3ED62B90"/>
    <w:rsid w:val="3EE34DD3"/>
    <w:rsid w:val="3EF434CC"/>
    <w:rsid w:val="3EFB6FF7"/>
    <w:rsid w:val="3EFF0A75"/>
    <w:rsid w:val="3F1054CE"/>
    <w:rsid w:val="3F2534F3"/>
    <w:rsid w:val="3F3A1B65"/>
    <w:rsid w:val="3F3A5EB9"/>
    <w:rsid w:val="3F522210"/>
    <w:rsid w:val="3F544AF6"/>
    <w:rsid w:val="3F5C361D"/>
    <w:rsid w:val="3F5E64F5"/>
    <w:rsid w:val="3F656E2C"/>
    <w:rsid w:val="3F6D5029"/>
    <w:rsid w:val="3F6F173A"/>
    <w:rsid w:val="3F6F78D3"/>
    <w:rsid w:val="3F755459"/>
    <w:rsid w:val="3F802C87"/>
    <w:rsid w:val="3F92376D"/>
    <w:rsid w:val="3F9C1CD6"/>
    <w:rsid w:val="3FB035B9"/>
    <w:rsid w:val="3FB672B0"/>
    <w:rsid w:val="3FC03C8B"/>
    <w:rsid w:val="3FC45A80"/>
    <w:rsid w:val="3FDE13B9"/>
    <w:rsid w:val="3FE029F1"/>
    <w:rsid w:val="3FE457AE"/>
    <w:rsid w:val="3FE57701"/>
    <w:rsid w:val="3FEE5970"/>
    <w:rsid w:val="40010EF3"/>
    <w:rsid w:val="400C0C7E"/>
    <w:rsid w:val="400C4E03"/>
    <w:rsid w:val="40126EBB"/>
    <w:rsid w:val="401A4D54"/>
    <w:rsid w:val="40262C07"/>
    <w:rsid w:val="40313F72"/>
    <w:rsid w:val="4041376F"/>
    <w:rsid w:val="404209E3"/>
    <w:rsid w:val="40451C67"/>
    <w:rsid w:val="404A1B2B"/>
    <w:rsid w:val="404A601E"/>
    <w:rsid w:val="404C52F4"/>
    <w:rsid w:val="405C0FC1"/>
    <w:rsid w:val="40622AED"/>
    <w:rsid w:val="40733CBA"/>
    <w:rsid w:val="407A4DF7"/>
    <w:rsid w:val="40AC03DF"/>
    <w:rsid w:val="40B16CC2"/>
    <w:rsid w:val="40B81BAD"/>
    <w:rsid w:val="40BB2365"/>
    <w:rsid w:val="40C15F0C"/>
    <w:rsid w:val="40D23962"/>
    <w:rsid w:val="40D519B8"/>
    <w:rsid w:val="40D61BC8"/>
    <w:rsid w:val="40DC4F1D"/>
    <w:rsid w:val="40DF2097"/>
    <w:rsid w:val="40E71ABD"/>
    <w:rsid w:val="40FE2984"/>
    <w:rsid w:val="413C11C7"/>
    <w:rsid w:val="41447F0E"/>
    <w:rsid w:val="414733E0"/>
    <w:rsid w:val="41566753"/>
    <w:rsid w:val="416A21FA"/>
    <w:rsid w:val="416B09D7"/>
    <w:rsid w:val="417D1E08"/>
    <w:rsid w:val="417D5552"/>
    <w:rsid w:val="418074D9"/>
    <w:rsid w:val="4188208C"/>
    <w:rsid w:val="419A3E69"/>
    <w:rsid w:val="419B51EE"/>
    <w:rsid w:val="41B11897"/>
    <w:rsid w:val="41C57D35"/>
    <w:rsid w:val="41D350D4"/>
    <w:rsid w:val="41F34606"/>
    <w:rsid w:val="4200399D"/>
    <w:rsid w:val="42034148"/>
    <w:rsid w:val="420E20BD"/>
    <w:rsid w:val="421647B9"/>
    <w:rsid w:val="42263E3B"/>
    <w:rsid w:val="422C70F1"/>
    <w:rsid w:val="423C6CFA"/>
    <w:rsid w:val="42442693"/>
    <w:rsid w:val="42554263"/>
    <w:rsid w:val="428277C6"/>
    <w:rsid w:val="42894808"/>
    <w:rsid w:val="428D1B97"/>
    <w:rsid w:val="42B608A5"/>
    <w:rsid w:val="42BC6C8F"/>
    <w:rsid w:val="42C5446D"/>
    <w:rsid w:val="42E94337"/>
    <w:rsid w:val="43031943"/>
    <w:rsid w:val="431327F1"/>
    <w:rsid w:val="43182DB2"/>
    <w:rsid w:val="4368794F"/>
    <w:rsid w:val="436D0FB5"/>
    <w:rsid w:val="437518D1"/>
    <w:rsid w:val="43762FDE"/>
    <w:rsid w:val="438D1E49"/>
    <w:rsid w:val="43B23B98"/>
    <w:rsid w:val="43C80076"/>
    <w:rsid w:val="43D8550E"/>
    <w:rsid w:val="43DC0C7D"/>
    <w:rsid w:val="43DF3EBA"/>
    <w:rsid w:val="43E52254"/>
    <w:rsid w:val="43EA69D8"/>
    <w:rsid w:val="440B2A75"/>
    <w:rsid w:val="44226CC2"/>
    <w:rsid w:val="44356D2F"/>
    <w:rsid w:val="44390E25"/>
    <w:rsid w:val="44433468"/>
    <w:rsid w:val="44437F9F"/>
    <w:rsid w:val="444F5C68"/>
    <w:rsid w:val="4456039D"/>
    <w:rsid w:val="44613E6E"/>
    <w:rsid w:val="44622564"/>
    <w:rsid w:val="44672438"/>
    <w:rsid w:val="446A5324"/>
    <w:rsid w:val="447E7804"/>
    <w:rsid w:val="44943661"/>
    <w:rsid w:val="44A05C5C"/>
    <w:rsid w:val="44AC7417"/>
    <w:rsid w:val="44B16853"/>
    <w:rsid w:val="44E12089"/>
    <w:rsid w:val="44E67CEF"/>
    <w:rsid w:val="450D5FAD"/>
    <w:rsid w:val="45172F07"/>
    <w:rsid w:val="451C1963"/>
    <w:rsid w:val="451D5184"/>
    <w:rsid w:val="452F3716"/>
    <w:rsid w:val="453C65FD"/>
    <w:rsid w:val="454B256E"/>
    <w:rsid w:val="455D76E4"/>
    <w:rsid w:val="45646F33"/>
    <w:rsid w:val="45671007"/>
    <w:rsid w:val="456C331B"/>
    <w:rsid w:val="45A26739"/>
    <w:rsid w:val="45B07140"/>
    <w:rsid w:val="45C43431"/>
    <w:rsid w:val="45C85647"/>
    <w:rsid w:val="45CA5C29"/>
    <w:rsid w:val="45EE3358"/>
    <w:rsid w:val="46066722"/>
    <w:rsid w:val="461976C3"/>
    <w:rsid w:val="461C0664"/>
    <w:rsid w:val="463D42BA"/>
    <w:rsid w:val="46521A41"/>
    <w:rsid w:val="465D50F1"/>
    <w:rsid w:val="46715CDF"/>
    <w:rsid w:val="46771C91"/>
    <w:rsid w:val="467F06A4"/>
    <w:rsid w:val="468A276F"/>
    <w:rsid w:val="4694259D"/>
    <w:rsid w:val="46A460B4"/>
    <w:rsid w:val="46A64B43"/>
    <w:rsid w:val="46AA5A85"/>
    <w:rsid w:val="46AC6264"/>
    <w:rsid w:val="46C01696"/>
    <w:rsid w:val="46C52BE0"/>
    <w:rsid w:val="46D118AB"/>
    <w:rsid w:val="46E719AA"/>
    <w:rsid w:val="46F04E55"/>
    <w:rsid w:val="46F30AEE"/>
    <w:rsid w:val="47123940"/>
    <w:rsid w:val="471640E6"/>
    <w:rsid w:val="47204C1C"/>
    <w:rsid w:val="47213261"/>
    <w:rsid w:val="4726595C"/>
    <w:rsid w:val="47600773"/>
    <w:rsid w:val="47661F26"/>
    <w:rsid w:val="476E25F3"/>
    <w:rsid w:val="47783B12"/>
    <w:rsid w:val="4779224E"/>
    <w:rsid w:val="477D5156"/>
    <w:rsid w:val="477F2265"/>
    <w:rsid w:val="47890AD6"/>
    <w:rsid w:val="478D2FF6"/>
    <w:rsid w:val="478F6037"/>
    <w:rsid w:val="4798720D"/>
    <w:rsid w:val="479D2386"/>
    <w:rsid w:val="47BF7C9C"/>
    <w:rsid w:val="47C2246C"/>
    <w:rsid w:val="47C85DD2"/>
    <w:rsid w:val="47CA5F05"/>
    <w:rsid w:val="47DA1720"/>
    <w:rsid w:val="47DB78B4"/>
    <w:rsid w:val="47E11737"/>
    <w:rsid w:val="47E77D53"/>
    <w:rsid w:val="47EE48C0"/>
    <w:rsid w:val="47F35E3E"/>
    <w:rsid w:val="47F95F8C"/>
    <w:rsid w:val="47FB766F"/>
    <w:rsid w:val="48064E6E"/>
    <w:rsid w:val="4808575C"/>
    <w:rsid w:val="480B439D"/>
    <w:rsid w:val="482F10F4"/>
    <w:rsid w:val="48606A0B"/>
    <w:rsid w:val="486D78BB"/>
    <w:rsid w:val="48811991"/>
    <w:rsid w:val="48915636"/>
    <w:rsid w:val="48985F31"/>
    <w:rsid w:val="48AC6E35"/>
    <w:rsid w:val="48BD43A0"/>
    <w:rsid w:val="48C96968"/>
    <w:rsid w:val="48F84416"/>
    <w:rsid w:val="490874C4"/>
    <w:rsid w:val="490F044B"/>
    <w:rsid w:val="491A6A98"/>
    <w:rsid w:val="491D4AAF"/>
    <w:rsid w:val="4924528A"/>
    <w:rsid w:val="4926292B"/>
    <w:rsid w:val="49371235"/>
    <w:rsid w:val="494324F6"/>
    <w:rsid w:val="49455D20"/>
    <w:rsid w:val="495A4E17"/>
    <w:rsid w:val="496B160A"/>
    <w:rsid w:val="497B341F"/>
    <w:rsid w:val="498C7B7B"/>
    <w:rsid w:val="49B415EE"/>
    <w:rsid w:val="49B63FD6"/>
    <w:rsid w:val="49BF4D00"/>
    <w:rsid w:val="49D1562B"/>
    <w:rsid w:val="49D4261E"/>
    <w:rsid w:val="49DE1EF5"/>
    <w:rsid w:val="49E579C4"/>
    <w:rsid w:val="49EA2381"/>
    <w:rsid w:val="49F43753"/>
    <w:rsid w:val="49F54A10"/>
    <w:rsid w:val="49F56105"/>
    <w:rsid w:val="49F94CE9"/>
    <w:rsid w:val="49FE0E45"/>
    <w:rsid w:val="4A040938"/>
    <w:rsid w:val="4A11169A"/>
    <w:rsid w:val="4A13296C"/>
    <w:rsid w:val="4A1873CB"/>
    <w:rsid w:val="4A212635"/>
    <w:rsid w:val="4A2175B6"/>
    <w:rsid w:val="4A4260CB"/>
    <w:rsid w:val="4A4759DF"/>
    <w:rsid w:val="4A541B9F"/>
    <w:rsid w:val="4A611E1A"/>
    <w:rsid w:val="4A7055A6"/>
    <w:rsid w:val="4A8E5235"/>
    <w:rsid w:val="4A9C47ED"/>
    <w:rsid w:val="4AA71D5E"/>
    <w:rsid w:val="4AAA6CA9"/>
    <w:rsid w:val="4ABD006F"/>
    <w:rsid w:val="4AD75C2B"/>
    <w:rsid w:val="4ADA02F6"/>
    <w:rsid w:val="4AE008D2"/>
    <w:rsid w:val="4AE01685"/>
    <w:rsid w:val="4AE7656F"/>
    <w:rsid w:val="4AEA38A9"/>
    <w:rsid w:val="4AFA62A3"/>
    <w:rsid w:val="4B0B3617"/>
    <w:rsid w:val="4B2815DF"/>
    <w:rsid w:val="4B473F5E"/>
    <w:rsid w:val="4B49191E"/>
    <w:rsid w:val="4B507FB2"/>
    <w:rsid w:val="4B577E26"/>
    <w:rsid w:val="4B5D4AEF"/>
    <w:rsid w:val="4B647620"/>
    <w:rsid w:val="4B695935"/>
    <w:rsid w:val="4B6E282F"/>
    <w:rsid w:val="4B7A55E6"/>
    <w:rsid w:val="4B82653E"/>
    <w:rsid w:val="4B894031"/>
    <w:rsid w:val="4B8C1A83"/>
    <w:rsid w:val="4B946154"/>
    <w:rsid w:val="4BA91A77"/>
    <w:rsid w:val="4BB12731"/>
    <w:rsid w:val="4BDB4D6F"/>
    <w:rsid w:val="4BE10A59"/>
    <w:rsid w:val="4BE123D1"/>
    <w:rsid w:val="4C0A534C"/>
    <w:rsid w:val="4C0F01F9"/>
    <w:rsid w:val="4C270B31"/>
    <w:rsid w:val="4C3202E6"/>
    <w:rsid w:val="4C6370A1"/>
    <w:rsid w:val="4C736886"/>
    <w:rsid w:val="4C7F7CEF"/>
    <w:rsid w:val="4C821AA7"/>
    <w:rsid w:val="4CA43125"/>
    <w:rsid w:val="4CAC2A11"/>
    <w:rsid w:val="4CB01CB9"/>
    <w:rsid w:val="4CB93F3C"/>
    <w:rsid w:val="4CBB4158"/>
    <w:rsid w:val="4CC21042"/>
    <w:rsid w:val="4CCD33EA"/>
    <w:rsid w:val="4CCF426B"/>
    <w:rsid w:val="4CF95339"/>
    <w:rsid w:val="4CFE069C"/>
    <w:rsid w:val="4D033F9C"/>
    <w:rsid w:val="4D055E23"/>
    <w:rsid w:val="4D11527E"/>
    <w:rsid w:val="4D2433AC"/>
    <w:rsid w:val="4D4A4A28"/>
    <w:rsid w:val="4D5D7D7F"/>
    <w:rsid w:val="4D625C01"/>
    <w:rsid w:val="4D8D25C3"/>
    <w:rsid w:val="4D8F350E"/>
    <w:rsid w:val="4D924E46"/>
    <w:rsid w:val="4D9877E4"/>
    <w:rsid w:val="4DBD22E7"/>
    <w:rsid w:val="4DC106BD"/>
    <w:rsid w:val="4DC73507"/>
    <w:rsid w:val="4DDA6A5F"/>
    <w:rsid w:val="4DDB7205"/>
    <w:rsid w:val="4DDF772B"/>
    <w:rsid w:val="4DEB15AD"/>
    <w:rsid w:val="4DF87443"/>
    <w:rsid w:val="4E0C363C"/>
    <w:rsid w:val="4E0E0960"/>
    <w:rsid w:val="4E1D1EAC"/>
    <w:rsid w:val="4E2023C2"/>
    <w:rsid w:val="4E231FB4"/>
    <w:rsid w:val="4E370600"/>
    <w:rsid w:val="4E435024"/>
    <w:rsid w:val="4E4E7E80"/>
    <w:rsid w:val="4E534A5B"/>
    <w:rsid w:val="4E5C5562"/>
    <w:rsid w:val="4E5F69A8"/>
    <w:rsid w:val="4E655726"/>
    <w:rsid w:val="4E754A02"/>
    <w:rsid w:val="4E95725E"/>
    <w:rsid w:val="4E9A6CF9"/>
    <w:rsid w:val="4EA51627"/>
    <w:rsid w:val="4EA65FD0"/>
    <w:rsid w:val="4ECA0682"/>
    <w:rsid w:val="4ECF01B9"/>
    <w:rsid w:val="4ED33DCB"/>
    <w:rsid w:val="4ED96B17"/>
    <w:rsid w:val="4EE34782"/>
    <w:rsid w:val="4EE54925"/>
    <w:rsid w:val="4EE63F4F"/>
    <w:rsid w:val="4F007E65"/>
    <w:rsid w:val="4F0A1AF8"/>
    <w:rsid w:val="4F203D73"/>
    <w:rsid w:val="4F244236"/>
    <w:rsid w:val="4F27252E"/>
    <w:rsid w:val="4F323E26"/>
    <w:rsid w:val="4F3913E8"/>
    <w:rsid w:val="4F415033"/>
    <w:rsid w:val="4F501419"/>
    <w:rsid w:val="4F594DAC"/>
    <w:rsid w:val="4F6C3F07"/>
    <w:rsid w:val="4F830574"/>
    <w:rsid w:val="4F8D5FB6"/>
    <w:rsid w:val="4F9753D7"/>
    <w:rsid w:val="4FA54804"/>
    <w:rsid w:val="4FBF34BA"/>
    <w:rsid w:val="4FCA2B98"/>
    <w:rsid w:val="4FCB218A"/>
    <w:rsid w:val="4FCE7BAE"/>
    <w:rsid w:val="4FEB12F8"/>
    <w:rsid w:val="4FFE4A87"/>
    <w:rsid w:val="500344EA"/>
    <w:rsid w:val="500B7B4C"/>
    <w:rsid w:val="50103625"/>
    <w:rsid w:val="503C3296"/>
    <w:rsid w:val="503E6C32"/>
    <w:rsid w:val="504B0F0D"/>
    <w:rsid w:val="50527689"/>
    <w:rsid w:val="506633AA"/>
    <w:rsid w:val="507237E3"/>
    <w:rsid w:val="50911DB8"/>
    <w:rsid w:val="50943033"/>
    <w:rsid w:val="509D389C"/>
    <w:rsid w:val="50A642FD"/>
    <w:rsid w:val="50AF647F"/>
    <w:rsid w:val="50BB317D"/>
    <w:rsid w:val="50D06E68"/>
    <w:rsid w:val="50D37C72"/>
    <w:rsid w:val="50DC25B1"/>
    <w:rsid w:val="50E466DC"/>
    <w:rsid w:val="50EA1869"/>
    <w:rsid w:val="50FD00F4"/>
    <w:rsid w:val="50FF056E"/>
    <w:rsid w:val="510F2A7F"/>
    <w:rsid w:val="512746EF"/>
    <w:rsid w:val="51283E4C"/>
    <w:rsid w:val="51291D35"/>
    <w:rsid w:val="512B3A7F"/>
    <w:rsid w:val="51414399"/>
    <w:rsid w:val="5147420C"/>
    <w:rsid w:val="515D5FD6"/>
    <w:rsid w:val="51622DF4"/>
    <w:rsid w:val="516A534F"/>
    <w:rsid w:val="516A7012"/>
    <w:rsid w:val="51721A38"/>
    <w:rsid w:val="517D016D"/>
    <w:rsid w:val="51A45867"/>
    <w:rsid w:val="51AD7250"/>
    <w:rsid w:val="51B25298"/>
    <w:rsid w:val="51CF1465"/>
    <w:rsid w:val="51D1247D"/>
    <w:rsid w:val="51EC4955"/>
    <w:rsid w:val="51F067B7"/>
    <w:rsid w:val="52077D46"/>
    <w:rsid w:val="52187D0D"/>
    <w:rsid w:val="521B3AD9"/>
    <w:rsid w:val="52361B9C"/>
    <w:rsid w:val="52362A26"/>
    <w:rsid w:val="523B0BAD"/>
    <w:rsid w:val="524B7169"/>
    <w:rsid w:val="5250515D"/>
    <w:rsid w:val="526921DD"/>
    <w:rsid w:val="52736B11"/>
    <w:rsid w:val="52865A20"/>
    <w:rsid w:val="5297132B"/>
    <w:rsid w:val="529F28D8"/>
    <w:rsid w:val="529F6FBB"/>
    <w:rsid w:val="52AF2069"/>
    <w:rsid w:val="52C076EC"/>
    <w:rsid w:val="52C25708"/>
    <w:rsid w:val="52C315CC"/>
    <w:rsid w:val="52CD10CA"/>
    <w:rsid w:val="52EB6F11"/>
    <w:rsid w:val="52F0249E"/>
    <w:rsid w:val="53114AD1"/>
    <w:rsid w:val="53442939"/>
    <w:rsid w:val="5351574C"/>
    <w:rsid w:val="5353575F"/>
    <w:rsid w:val="535B2E70"/>
    <w:rsid w:val="535C4E8B"/>
    <w:rsid w:val="536278AA"/>
    <w:rsid w:val="53673357"/>
    <w:rsid w:val="53676B5F"/>
    <w:rsid w:val="536E21FF"/>
    <w:rsid w:val="5385006E"/>
    <w:rsid w:val="538A4A6D"/>
    <w:rsid w:val="539F4C8A"/>
    <w:rsid w:val="53A5380C"/>
    <w:rsid w:val="53B45677"/>
    <w:rsid w:val="53D0019A"/>
    <w:rsid w:val="53D55AFF"/>
    <w:rsid w:val="53DA4EC3"/>
    <w:rsid w:val="53DD2466"/>
    <w:rsid w:val="53E34323"/>
    <w:rsid w:val="53ED479A"/>
    <w:rsid w:val="53FC3987"/>
    <w:rsid w:val="54040192"/>
    <w:rsid w:val="5427381E"/>
    <w:rsid w:val="54302D35"/>
    <w:rsid w:val="543B788E"/>
    <w:rsid w:val="54447CBB"/>
    <w:rsid w:val="54482775"/>
    <w:rsid w:val="545062A7"/>
    <w:rsid w:val="545C3555"/>
    <w:rsid w:val="54617320"/>
    <w:rsid w:val="547A28DC"/>
    <w:rsid w:val="54827775"/>
    <w:rsid w:val="54AC5134"/>
    <w:rsid w:val="54DE6078"/>
    <w:rsid w:val="54E86EBD"/>
    <w:rsid w:val="54F2526E"/>
    <w:rsid w:val="54F77CF7"/>
    <w:rsid w:val="55075D9B"/>
    <w:rsid w:val="55102B67"/>
    <w:rsid w:val="551661EA"/>
    <w:rsid w:val="55184BBF"/>
    <w:rsid w:val="551874CA"/>
    <w:rsid w:val="551E6A56"/>
    <w:rsid w:val="552006D3"/>
    <w:rsid w:val="552F7491"/>
    <w:rsid w:val="55301CB3"/>
    <w:rsid w:val="55327054"/>
    <w:rsid w:val="553A26BA"/>
    <w:rsid w:val="5556054C"/>
    <w:rsid w:val="55701E8B"/>
    <w:rsid w:val="557420C1"/>
    <w:rsid w:val="55862A42"/>
    <w:rsid w:val="55990578"/>
    <w:rsid w:val="55A25F05"/>
    <w:rsid w:val="55A56891"/>
    <w:rsid w:val="55AA4D69"/>
    <w:rsid w:val="55AC66CB"/>
    <w:rsid w:val="55C33131"/>
    <w:rsid w:val="55CD7903"/>
    <w:rsid w:val="55DF2C65"/>
    <w:rsid w:val="55E172A0"/>
    <w:rsid w:val="55E24605"/>
    <w:rsid w:val="55EC7130"/>
    <w:rsid w:val="55F81C60"/>
    <w:rsid w:val="55FA0F14"/>
    <w:rsid w:val="55FD2D5A"/>
    <w:rsid w:val="56097F90"/>
    <w:rsid w:val="56133E90"/>
    <w:rsid w:val="561843C9"/>
    <w:rsid w:val="5625742F"/>
    <w:rsid w:val="56474D43"/>
    <w:rsid w:val="564C1D1D"/>
    <w:rsid w:val="565F1E2E"/>
    <w:rsid w:val="565F7902"/>
    <w:rsid w:val="56670F45"/>
    <w:rsid w:val="566F1BE2"/>
    <w:rsid w:val="567B004B"/>
    <w:rsid w:val="56825178"/>
    <w:rsid w:val="568F784B"/>
    <w:rsid w:val="569C0124"/>
    <w:rsid w:val="56A17AE8"/>
    <w:rsid w:val="56AD68BF"/>
    <w:rsid w:val="56C9634D"/>
    <w:rsid w:val="56D41BE8"/>
    <w:rsid w:val="56EC7A5D"/>
    <w:rsid w:val="56F4599D"/>
    <w:rsid w:val="56F97D56"/>
    <w:rsid w:val="56FF05E8"/>
    <w:rsid w:val="570D0322"/>
    <w:rsid w:val="57180ACE"/>
    <w:rsid w:val="571A1118"/>
    <w:rsid w:val="571B61B6"/>
    <w:rsid w:val="57213E7D"/>
    <w:rsid w:val="5723561B"/>
    <w:rsid w:val="572362C9"/>
    <w:rsid w:val="572F37C6"/>
    <w:rsid w:val="5736629C"/>
    <w:rsid w:val="57476D14"/>
    <w:rsid w:val="57503E2F"/>
    <w:rsid w:val="57540996"/>
    <w:rsid w:val="576966FE"/>
    <w:rsid w:val="576A46B7"/>
    <w:rsid w:val="57802A35"/>
    <w:rsid w:val="578C3658"/>
    <w:rsid w:val="578C4726"/>
    <w:rsid w:val="57AB06F3"/>
    <w:rsid w:val="57B66918"/>
    <w:rsid w:val="57BD6FCE"/>
    <w:rsid w:val="57BF04C8"/>
    <w:rsid w:val="57D214D2"/>
    <w:rsid w:val="57DA1A42"/>
    <w:rsid w:val="57E5266B"/>
    <w:rsid w:val="58002D08"/>
    <w:rsid w:val="58057728"/>
    <w:rsid w:val="581D1F94"/>
    <w:rsid w:val="582872BA"/>
    <w:rsid w:val="5829318A"/>
    <w:rsid w:val="582D7EE9"/>
    <w:rsid w:val="583343BB"/>
    <w:rsid w:val="583439B3"/>
    <w:rsid w:val="583B5787"/>
    <w:rsid w:val="586759C7"/>
    <w:rsid w:val="58A155EE"/>
    <w:rsid w:val="58C07CA9"/>
    <w:rsid w:val="58DE5A38"/>
    <w:rsid w:val="58FA7B16"/>
    <w:rsid w:val="58FB22A6"/>
    <w:rsid w:val="59003437"/>
    <w:rsid w:val="590D447F"/>
    <w:rsid w:val="59182EE7"/>
    <w:rsid w:val="5921212C"/>
    <w:rsid w:val="59395687"/>
    <w:rsid w:val="596420CC"/>
    <w:rsid w:val="59651C4D"/>
    <w:rsid w:val="596D2336"/>
    <w:rsid w:val="596F472F"/>
    <w:rsid w:val="59740668"/>
    <w:rsid w:val="5974345D"/>
    <w:rsid w:val="597534AA"/>
    <w:rsid w:val="598633F7"/>
    <w:rsid w:val="59926240"/>
    <w:rsid w:val="59951C91"/>
    <w:rsid w:val="59982867"/>
    <w:rsid w:val="59A11ED6"/>
    <w:rsid w:val="59AB0DFC"/>
    <w:rsid w:val="59AD6BD6"/>
    <w:rsid w:val="59C1557F"/>
    <w:rsid w:val="59C8615E"/>
    <w:rsid w:val="59E009DF"/>
    <w:rsid w:val="59E771C2"/>
    <w:rsid w:val="59E84659"/>
    <w:rsid w:val="59FF2575"/>
    <w:rsid w:val="5A0F3CCD"/>
    <w:rsid w:val="5A251952"/>
    <w:rsid w:val="5A344FB0"/>
    <w:rsid w:val="5A360707"/>
    <w:rsid w:val="5A3B0686"/>
    <w:rsid w:val="5A482568"/>
    <w:rsid w:val="5A5755C9"/>
    <w:rsid w:val="5A5A13C0"/>
    <w:rsid w:val="5A772EA3"/>
    <w:rsid w:val="5A7D29E6"/>
    <w:rsid w:val="5A821401"/>
    <w:rsid w:val="5A8A2B4B"/>
    <w:rsid w:val="5A9F5080"/>
    <w:rsid w:val="5AAB6618"/>
    <w:rsid w:val="5ABC2783"/>
    <w:rsid w:val="5AC52E1B"/>
    <w:rsid w:val="5AD51017"/>
    <w:rsid w:val="5AE91049"/>
    <w:rsid w:val="5AEF582B"/>
    <w:rsid w:val="5AFF3461"/>
    <w:rsid w:val="5B0B5334"/>
    <w:rsid w:val="5B1B7ACD"/>
    <w:rsid w:val="5B247C71"/>
    <w:rsid w:val="5B2A406A"/>
    <w:rsid w:val="5B2B06FA"/>
    <w:rsid w:val="5B392BD6"/>
    <w:rsid w:val="5B3D48A2"/>
    <w:rsid w:val="5B561D67"/>
    <w:rsid w:val="5B6360E6"/>
    <w:rsid w:val="5B687259"/>
    <w:rsid w:val="5B6F36A2"/>
    <w:rsid w:val="5B774FD6"/>
    <w:rsid w:val="5B814790"/>
    <w:rsid w:val="5B82237F"/>
    <w:rsid w:val="5B824855"/>
    <w:rsid w:val="5B856A19"/>
    <w:rsid w:val="5B88245B"/>
    <w:rsid w:val="5B8A0D7A"/>
    <w:rsid w:val="5B8B0F7C"/>
    <w:rsid w:val="5B991B08"/>
    <w:rsid w:val="5B9E05AD"/>
    <w:rsid w:val="5BBB1AC4"/>
    <w:rsid w:val="5BC50747"/>
    <w:rsid w:val="5BCB3FDF"/>
    <w:rsid w:val="5BE11C63"/>
    <w:rsid w:val="5BF24E07"/>
    <w:rsid w:val="5BFB55EA"/>
    <w:rsid w:val="5C043425"/>
    <w:rsid w:val="5C15792E"/>
    <w:rsid w:val="5C1A5869"/>
    <w:rsid w:val="5C2404DB"/>
    <w:rsid w:val="5C290BF2"/>
    <w:rsid w:val="5C4A2B15"/>
    <w:rsid w:val="5C4E1E1E"/>
    <w:rsid w:val="5C4F343B"/>
    <w:rsid w:val="5C621EFA"/>
    <w:rsid w:val="5C6A79EB"/>
    <w:rsid w:val="5C795355"/>
    <w:rsid w:val="5C8B5B86"/>
    <w:rsid w:val="5C912690"/>
    <w:rsid w:val="5C970365"/>
    <w:rsid w:val="5C9F632F"/>
    <w:rsid w:val="5CCB04A2"/>
    <w:rsid w:val="5CCD7E04"/>
    <w:rsid w:val="5CD51F6A"/>
    <w:rsid w:val="5CD6026B"/>
    <w:rsid w:val="5CE319F6"/>
    <w:rsid w:val="5CE42846"/>
    <w:rsid w:val="5CE9406B"/>
    <w:rsid w:val="5CF000D6"/>
    <w:rsid w:val="5CF138A4"/>
    <w:rsid w:val="5D0656E1"/>
    <w:rsid w:val="5D137030"/>
    <w:rsid w:val="5D566DF5"/>
    <w:rsid w:val="5D5736EC"/>
    <w:rsid w:val="5D592213"/>
    <w:rsid w:val="5D7067ED"/>
    <w:rsid w:val="5D77660D"/>
    <w:rsid w:val="5D7A7C97"/>
    <w:rsid w:val="5D8A240A"/>
    <w:rsid w:val="5D8A4019"/>
    <w:rsid w:val="5D9907FA"/>
    <w:rsid w:val="5DBD27BB"/>
    <w:rsid w:val="5DCD4FAD"/>
    <w:rsid w:val="5DD45E20"/>
    <w:rsid w:val="5DD77F01"/>
    <w:rsid w:val="5DF376B4"/>
    <w:rsid w:val="5DF974C4"/>
    <w:rsid w:val="5E150E16"/>
    <w:rsid w:val="5E156702"/>
    <w:rsid w:val="5E2C3CE8"/>
    <w:rsid w:val="5E480DBB"/>
    <w:rsid w:val="5E532C32"/>
    <w:rsid w:val="5E6B78B9"/>
    <w:rsid w:val="5E72530D"/>
    <w:rsid w:val="5E7B3471"/>
    <w:rsid w:val="5E811840"/>
    <w:rsid w:val="5EAC620C"/>
    <w:rsid w:val="5EB5303E"/>
    <w:rsid w:val="5EB56E43"/>
    <w:rsid w:val="5EDB6E5E"/>
    <w:rsid w:val="5EF30C44"/>
    <w:rsid w:val="5F050603"/>
    <w:rsid w:val="5F0F5BF5"/>
    <w:rsid w:val="5F1070E5"/>
    <w:rsid w:val="5F137093"/>
    <w:rsid w:val="5F1E27A5"/>
    <w:rsid w:val="5F475DFB"/>
    <w:rsid w:val="5F4A6912"/>
    <w:rsid w:val="5F6E1CDF"/>
    <w:rsid w:val="5FA342D5"/>
    <w:rsid w:val="5FA40581"/>
    <w:rsid w:val="5FBF418B"/>
    <w:rsid w:val="5FC03F1C"/>
    <w:rsid w:val="5FC128D4"/>
    <w:rsid w:val="5FC577B3"/>
    <w:rsid w:val="5FDC6467"/>
    <w:rsid w:val="5FFB751D"/>
    <w:rsid w:val="5FFC1DCE"/>
    <w:rsid w:val="5FFC2665"/>
    <w:rsid w:val="602423C7"/>
    <w:rsid w:val="602F755E"/>
    <w:rsid w:val="603A0512"/>
    <w:rsid w:val="603F2394"/>
    <w:rsid w:val="604407B5"/>
    <w:rsid w:val="60487E62"/>
    <w:rsid w:val="605A5C34"/>
    <w:rsid w:val="605E58EB"/>
    <w:rsid w:val="60630B92"/>
    <w:rsid w:val="606E4C0D"/>
    <w:rsid w:val="60843E3A"/>
    <w:rsid w:val="60935B47"/>
    <w:rsid w:val="6094553E"/>
    <w:rsid w:val="60C76F62"/>
    <w:rsid w:val="60CE1254"/>
    <w:rsid w:val="60CF67EE"/>
    <w:rsid w:val="60D321CB"/>
    <w:rsid w:val="60D467A9"/>
    <w:rsid w:val="60E23609"/>
    <w:rsid w:val="60EA12BA"/>
    <w:rsid w:val="60EB3CE8"/>
    <w:rsid w:val="61034470"/>
    <w:rsid w:val="61041400"/>
    <w:rsid w:val="6108421E"/>
    <w:rsid w:val="610C08D6"/>
    <w:rsid w:val="610D7268"/>
    <w:rsid w:val="611504BF"/>
    <w:rsid w:val="611759A9"/>
    <w:rsid w:val="61233B56"/>
    <w:rsid w:val="6129287D"/>
    <w:rsid w:val="6132559A"/>
    <w:rsid w:val="61535DEE"/>
    <w:rsid w:val="61584411"/>
    <w:rsid w:val="6166167A"/>
    <w:rsid w:val="617020C2"/>
    <w:rsid w:val="617343F7"/>
    <w:rsid w:val="61755B39"/>
    <w:rsid w:val="617A0C46"/>
    <w:rsid w:val="618725FC"/>
    <w:rsid w:val="618B1EF3"/>
    <w:rsid w:val="61A33787"/>
    <w:rsid w:val="61A66AB4"/>
    <w:rsid w:val="61BC38FA"/>
    <w:rsid w:val="61BE0E4F"/>
    <w:rsid w:val="61C85E7F"/>
    <w:rsid w:val="61CD78CF"/>
    <w:rsid w:val="61DA14FE"/>
    <w:rsid w:val="61DE0274"/>
    <w:rsid w:val="61E22D3F"/>
    <w:rsid w:val="61E53D34"/>
    <w:rsid w:val="61E73697"/>
    <w:rsid w:val="61EE3162"/>
    <w:rsid w:val="61F62056"/>
    <w:rsid w:val="61FB6036"/>
    <w:rsid w:val="620208E6"/>
    <w:rsid w:val="620E46C5"/>
    <w:rsid w:val="620F37AC"/>
    <w:rsid w:val="621536B2"/>
    <w:rsid w:val="621C707C"/>
    <w:rsid w:val="621E0130"/>
    <w:rsid w:val="62271A32"/>
    <w:rsid w:val="623E0D13"/>
    <w:rsid w:val="6245212D"/>
    <w:rsid w:val="624B2E9D"/>
    <w:rsid w:val="62504ABA"/>
    <w:rsid w:val="62510C1A"/>
    <w:rsid w:val="62607DE0"/>
    <w:rsid w:val="62757089"/>
    <w:rsid w:val="627F48F3"/>
    <w:rsid w:val="628B77AC"/>
    <w:rsid w:val="62A31D1A"/>
    <w:rsid w:val="62AE05DB"/>
    <w:rsid w:val="62B60A29"/>
    <w:rsid w:val="62BA5EE7"/>
    <w:rsid w:val="62F04E93"/>
    <w:rsid w:val="62F14EED"/>
    <w:rsid w:val="62FD297C"/>
    <w:rsid w:val="62FF3767"/>
    <w:rsid w:val="630272DB"/>
    <w:rsid w:val="63074094"/>
    <w:rsid w:val="63256E52"/>
    <w:rsid w:val="632B74E9"/>
    <w:rsid w:val="6337684E"/>
    <w:rsid w:val="63403C73"/>
    <w:rsid w:val="634C3904"/>
    <w:rsid w:val="6351410B"/>
    <w:rsid w:val="635D4427"/>
    <w:rsid w:val="635F082F"/>
    <w:rsid w:val="63710CD7"/>
    <w:rsid w:val="637807A0"/>
    <w:rsid w:val="639A0C81"/>
    <w:rsid w:val="63A00543"/>
    <w:rsid w:val="63BE2991"/>
    <w:rsid w:val="63D672A4"/>
    <w:rsid w:val="63E1229E"/>
    <w:rsid w:val="63E900E8"/>
    <w:rsid w:val="63F04BD9"/>
    <w:rsid w:val="63F105D2"/>
    <w:rsid w:val="640026DC"/>
    <w:rsid w:val="64003000"/>
    <w:rsid w:val="64020FD8"/>
    <w:rsid w:val="640B49C1"/>
    <w:rsid w:val="64144421"/>
    <w:rsid w:val="64156CD8"/>
    <w:rsid w:val="64202DC6"/>
    <w:rsid w:val="64413D22"/>
    <w:rsid w:val="64470699"/>
    <w:rsid w:val="644B6CD5"/>
    <w:rsid w:val="646253D3"/>
    <w:rsid w:val="64627D01"/>
    <w:rsid w:val="6473435B"/>
    <w:rsid w:val="64864D44"/>
    <w:rsid w:val="64A01013"/>
    <w:rsid w:val="64C76164"/>
    <w:rsid w:val="64D3186F"/>
    <w:rsid w:val="64EF2266"/>
    <w:rsid w:val="64F33559"/>
    <w:rsid w:val="64FD2EEA"/>
    <w:rsid w:val="64FF1ABC"/>
    <w:rsid w:val="650E3520"/>
    <w:rsid w:val="654069DE"/>
    <w:rsid w:val="65413B3E"/>
    <w:rsid w:val="654B3E81"/>
    <w:rsid w:val="6554126D"/>
    <w:rsid w:val="655555A6"/>
    <w:rsid w:val="655F14F0"/>
    <w:rsid w:val="65660277"/>
    <w:rsid w:val="656E6D13"/>
    <w:rsid w:val="65766A16"/>
    <w:rsid w:val="65990AED"/>
    <w:rsid w:val="65A63707"/>
    <w:rsid w:val="65A80F59"/>
    <w:rsid w:val="65AA319F"/>
    <w:rsid w:val="65AC5539"/>
    <w:rsid w:val="65BB595A"/>
    <w:rsid w:val="65C74AAD"/>
    <w:rsid w:val="65D8322D"/>
    <w:rsid w:val="65F22562"/>
    <w:rsid w:val="65F65692"/>
    <w:rsid w:val="660C7338"/>
    <w:rsid w:val="66407FD5"/>
    <w:rsid w:val="665346CA"/>
    <w:rsid w:val="6661498D"/>
    <w:rsid w:val="666B3926"/>
    <w:rsid w:val="667F18FA"/>
    <w:rsid w:val="66862C89"/>
    <w:rsid w:val="668C5B9C"/>
    <w:rsid w:val="66A421AD"/>
    <w:rsid w:val="66C77BCC"/>
    <w:rsid w:val="66CF2882"/>
    <w:rsid w:val="66CF58C8"/>
    <w:rsid w:val="66D00FF0"/>
    <w:rsid w:val="66E50A5C"/>
    <w:rsid w:val="66E5305A"/>
    <w:rsid w:val="66FA0A76"/>
    <w:rsid w:val="670314C2"/>
    <w:rsid w:val="670A28DD"/>
    <w:rsid w:val="670D0FEF"/>
    <w:rsid w:val="671F2137"/>
    <w:rsid w:val="67256725"/>
    <w:rsid w:val="672C3BD3"/>
    <w:rsid w:val="67441F0C"/>
    <w:rsid w:val="674465E9"/>
    <w:rsid w:val="67594618"/>
    <w:rsid w:val="675B3954"/>
    <w:rsid w:val="675D1C3B"/>
    <w:rsid w:val="675F206D"/>
    <w:rsid w:val="67695DFF"/>
    <w:rsid w:val="676B6466"/>
    <w:rsid w:val="676C00D0"/>
    <w:rsid w:val="67954429"/>
    <w:rsid w:val="67BF28F6"/>
    <w:rsid w:val="67C47F84"/>
    <w:rsid w:val="67D85572"/>
    <w:rsid w:val="67DD10E7"/>
    <w:rsid w:val="67E51A4F"/>
    <w:rsid w:val="67E81C89"/>
    <w:rsid w:val="67F16AAB"/>
    <w:rsid w:val="67FC2A34"/>
    <w:rsid w:val="67FE7FDB"/>
    <w:rsid w:val="68022928"/>
    <w:rsid w:val="68163291"/>
    <w:rsid w:val="68244FDF"/>
    <w:rsid w:val="682634A6"/>
    <w:rsid w:val="68335612"/>
    <w:rsid w:val="683D75EE"/>
    <w:rsid w:val="683F6341"/>
    <w:rsid w:val="68413BF7"/>
    <w:rsid w:val="684A3899"/>
    <w:rsid w:val="68516552"/>
    <w:rsid w:val="68556CEE"/>
    <w:rsid w:val="685D249D"/>
    <w:rsid w:val="68600066"/>
    <w:rsid w:val="6861776A"/>
    <w:rsid w:val="687222C2"/>
    <w:rsid w:val="687550D0"/>
    <w:rsid w:val="6879445C"/>
    <w:rsid w:val="687A5897"/>
    <w:rsid w:val="687D194E"/>
    <w:rsid w:val="687F2888"/>
    <w:rsid w:val="68945561"/>
    <w:rsid w:val="689D6C87"/>
    <w:rsid w:val="68A05E34"/>
    <w:rsid w:val="68A4599C"/>
    <w:rsid w:val="68AD0074"/>
    <w:rsid w:val="68C33D20"/>
    <w:rsid w:val="68D4182F"/>
    <w:rsid w:val="68DA458B"/>
    <w:rsid w:val="68E565D8"/>
    <w:rsid w:val="68ED4DA7"/>
    <w:rsid w:val="68F62348"/>
    <w:rsid w:val="68FC5EBD"/>
    <w:rsid w:val="69122538"/>
    <w:rsid w:val="69194FE8"/>
    <w:rsid w:val="691F4315"/>
    <w:rsid w:val="69544350"/>
    <w:rsid w:val="69703FA0"/>
    <w:rsid w:val="69997B9C"/>
    <w:rsid w:val="69A159FC"/>
    <w:rsid w:val="69A84304"/>
    <w:rsid w:val="69B52A42"/>
    <w:rsid w:val="69B67148"/>
    <w:rsid w:val="69BE4DB3"/>
    <w:rsid w:val="69CF0E91"/>
    <w:rsid w:val="69CF0ED8"/>
    <w:rsid w:val="69D4312F"/>
    <w:rsid w:val="69D52B56"/>
    <w:rsid w:val="69D54DDD"/>
    <w:rsid w:val="69D9075E"/>
    <w:rsid w:val="69E028D2"/>
    <w:rsid w:val="69E24570"/>
    <w:rsid w:val="69E874BD"/>
    <w:rsid w:val="69F54308"/>
    <w:rsid w:val="6A0A7A54"/>
    <w:rsid w:val="6A2622A1"/>
    <w:rsid w:val="6A35577F"/>
    <w:rsid w:val="6A394B71"/>
    <w:rsid w:val="6A3A22EA"/>
    <w:rsid w:val="6A3F2D1D"/>
    <w:rsid w:val="6A592054"/>
    <w:rsid w:val="6A777087"/>
    <w:rsid w:val="6A820574"/>
    <w:rsid w:val="6A9811DC"/>
    <w:rsid w:val="6A99048F"/>
    <w:rsid w:val="6AA077DB"/>
    <w:rsid w:val="6AA47C92"/>
    <w:rsid w:val="6AB909BB"/>
    <w:rsid w:val="6ABA0C51"/>
    <w:rsid w:val="6ABD020C"/>
    <w:rsid w:val="6ADD6D64"/>
    <w:rsid w:val="6B0F06C2"/>
    <w:rsid w:val="6B2B6878"/>
    <w:rsid w:val="6B633F4F"/>
    <w:rsid w:val="6B70680D"/>
    <w:rsid w:val="6B816F14"/>
    <w:rsid w:val="6B8A298B"/>
    <w:rsid w:val="6B8A779B"/>
    <w:rsid w:val="6BAD6C20"/>
    <w:rsid w:val="6BB456BB"/>
    <w:rsid w:val="6BB62A44"/>
    <w:rsid w:val="6BC32289"/>
    <w:rsid w:val="6BD02406"/>
    <w:rsid w:val="6BD81D0A"/>
    <w:rsid w:val="6BE052CE"/>
    <w:rsid w:val="6BE24C3C"/>
    <w:rsid w:val="6BF2692A"/>
    <w:rsid w:val="6BF358A4"/>
    <w:rsid w:val="6C051F4E"/>
    <w:rsid w:val="6C096C12"/>
    <w:rsid w:val="6C1A5960"/>
    <w:rsid w:val="6C3F1900"/>
    <w:rsid w:val="6C417EB8"/>
    <w:rsid w:val="6C613F45"/>
    <w:rsid w:val="6C621AA2"/>
    <w:rsid w:val="6C756221"/>
    <w:rsid w:val="6C7B08BB"/>
    <w:rsid w:val="6C7D6E72"/>
    <w:rsid w:val="6C81017A"/>
    <w:rsid w:val="6C816AF9"/>
    <w:rsid w:val="6C846694"/>
    <w:rsid w:val="6C861C34"/>
    <w:rsid w:val="6CA841D2"/>
    <w:rsid w:val="6CB10385"/>
    <w:rsid w:val="6CCE5285"/>
    <w:rsid w:val="6CD16584"/>
    <w:rsid w:val="6CDF0F3A"/>
    <w:rsid w:val="6CE47854"/>
    <w:rsid w:val="6D0D25B8"/>
    <w:rsid w:val="6D31639B"/>
    <w:rsid w:val="6D490A6B"/>
    <w:rsid w:val="6D4A5BC3"/>
    <w:rsid w:val="6D55121A"/>
    <w:rsid w:val="6D582A6D"/>
    <w:rsid w:val="6D604FD1"/>
    <w:rsid w:val="6D635FBA"/>
    <w:rsid w:val="6D6534EB"/>
    <w:rsid w:val="6D6C0EA8"/>
    <w:rsid w:val="6D732F9C"/>
    <w:rsid w:val="6D853976"/>
    <w:rsid w:val="6D9239A2"/>
    <w:rsid w:val="6DB664EE"/>
    <w:rsid w:val="6DBC6250"/>
    <w:rsid w:val="6DC64BAC"/>
    <w:rsid w:val="6DE77FDB"/>
    <w:rsid w:val="6E037AD7"/>
    <w:rsid w:val="6E056523"/>
    <w:rsid w:val="6E074EC9"/>
    <w:rsid w:val="6E0A6EAA"/>
    <w:rsid w:val="6E160E52"/>
    <w:rsid w:val="6E292877"/>
    <w:rsid w:val="6E2A65EF"/>
    <w:rsid w:val="6E2E569B"/>
    <w:rsid w:val="6E3631E6"/>
    <w:rsid w:val="6E4064F1"/>
    <w:rsid w:val="6E485B3A"/>
    <w:rsid w:val="6E4E39FC"/>
    <w:rsid w:val="6E5545BD"/>
    <w:rsid w:val="6E5D1964"/>
    <w:rsid w:val="6E600263"/>
    <w:rsid w:val="6E614B19"/>
    <w:rsid w:val="6E616F13"/>
    <w:rsid w:val="6E7369B5"/>
    <w:rsid w:val="6E7B5CAB"/>
    <w:rsid w:val="6E895A0C"/>
    <w:rsid w:val="6EAA56FE"/>
    <w:rsid w:val="6EB37B5B"/>
    <w:rsid w:val="6EBE6FBB"/>
    <w:rsid w:val="6ED70BA2"/>
    <w:rsid w:val="6EDB7671"/>
    <w:rsid w:val="6EF77260"/>
    <w:rsid w:val="6F2302E3"/>
    <w:rsid w:val="6F314C13"/>
    <w:rsid w:val="6F382FA6"/>
    <w:rsid w:val="6F391F60"/>
    <w:rsid w:val="6F42157B"/>
    <w:rsid w:val="6F587148"/>
    <w:rsid w:val="6F67731E"/>
    <w:rsid w:val="6F694006"/>
    <w:rsid w:val="6F6C5490"/>
    <w:rsid w:val="6F761900"/>
    <w:rsid w:val="6F900165"/>
    <w:rsid w:val="6F946416"/>
    <w:rsid w:val="6FA71AD5"/>
    <w:rsid w:val="6FAF2607"/>
    <w:rsid w:val="6FD47D24"/>
    <w:rsid w:val="6FE17D06"/>
    <w:rsid w:val="6FF536DD"/>
    <w:rsid w:val="6FFD71B3"/>
    <w:rsid w:val="70082960"/>
    <w:rsid w:val="700D2412"/>
    <w:rsid w:val="70112883"/>
    <w:rsid w:val="70130944"/>
    <w:rsid w:val="701D28B0"/>
    <w:rsid w:val="70243856"/>
    <w:rsid w:val="703F2471"/>
    <w:rsid w:val="7047527A"/>
    <w:rsid w:val="704B4131"/>
    <w:rsid w:val="70531ED5"/>
    <w:rsid w:val="705A528C"/>
    <w:rsid w:val="7068062C"/>
    <w:rsid w:val="707D256A"/>
    <w:rsid w:val="707F47B3"/>
    <w:rsid w:val="70954F53"/>
    <w:rsid w:val="70A94A40"/>
    <w:rsid w:val="70C26FB3"/>
    <w:rsid w:val="70D80F32"/>
    <w:rsid w:val="70D97C76"/>
    <w:rsid w:val="70E203EB"/>
    <w:rsid w:val="70F76E40"/>
    <w:rsid w:val="710E5D1A"/>
    <w:rsid w:val="711337D0"/>
    <w:rsid w:val="711710AD"/>
    <w:rsid w:val="713173E8"/>
    <w:rsid w:val="71420658"/>
    <w:rsid w:val="7143472C"/>
    <w:rsid w:val="71440341"/>
    <w:rsid w:val="71531561"/>
    <w:rsid w:val="715841AA"/>
    <w:rsid w:val="715916C6"/>
    <w:rsid w:val="71597148"/>
    <w:rsid w:val="716D089C"/>
    <w:rsid w:val="71712A8F"/>
    <w:rsid w:val="71715206"/>
    <w:rsid w:val="71743A1D"/>
    <w:rsid w:val="71774D56"/>
    <w:rsid w:val="71901CEF"/>
    <w:rsid w:val="719438F4"/>
    <w:rsid w:val="719D7F3F"/>
    <w:rsid w:val="71B55DFD"/>
    <w:rsid w:val="71B834E8"/>
    <w:rsid w:val="71D0750E"/>
    <w:rsid w:val="71D803D1"/>
    <w:rsid w:val="71E501C6"/>
    <w:rsid w:val="71F40A44"/>
    <w:rsid w:val="7202163F"/>
    <w:rsid w:val="72146D0A"/>
    <w:rsid w:val="722162DF"/>
    <w:rsid w:val="723563E3"/>
    <w:rsid w:val="723B04C8"/>
    <w:rsid w:val="724E6817"/>
    <w:rsid w:val="72600D68"/>
    <w:rsid w:val="72604620"/>
    <w:rsid w:val="72620A4E"/>
    <w:rsid w:val="726B02C1"/>
    <w:rsid w:val="726D2C67"/>
    <w:rsid w:val="726E7CDB"/>
    <w:rsid w:val="72843E83"/>
    <w:rsid w:val="728E2856"/>
    <w:rsid w:val="729A0F74"/>
    <w:rsid w:val="72BC63B0"/>
    <w:rsid w:val="72C25048"/>
    <w:rsid w:val="72F03574"/>
    <w:rsid w:val="72F77CB6"/>
    <w:rsid w:val="731438BD"/>
    <w:rsid w:val="733155C8"/>
    <w:rsid w:val="73422D3C"/>
    <w:rsid w:val="734A6797"/>
    <w:rsid w:val="73625723"/>
    <w:rsid w:val="737007D9"/>
    <w:rsid w:val="737F73DD"/>
    <w:rsid w:val="73864413"/>
    <w:rsid w:val="738B5B50"/>
    <w:rsid w:val="738C04FA"/>
    <w:rsid w:val="739C1D3D"/>
    <w:rsid w:val="73AA53A0"/>
    <w:rsid w:val="73B04F6B"/>
    <w:rsid w:val="73D20D1A"/>
    <w:rsid w:val="73E168D2"/>
    <w:rsid w:val="73E873C4"/>
    <w:rsid w:val="73F07AA4"/>
    <w:rsid w:val="74010DBC"/>
    <w:rsid w:val="7404270E"/>
    <w:rsid w:val="74054701"/>
    <w:rsid w:val="740D2C3F"/>
    <w:rsid w:val="74135925"/>
    <w:rsid w:val="74266BAA"/>
    <w:rsid w:val="742827DB"/>
    <w:rsid w:val="742D6CA9"/>
    <w:rsid w:val="742E58A2"/>
    <w:rsid w:val="74525628"/>
    <w:rsid w:val="7458681A"/>
    <w:rsid w:val="745A4C77"/>
    <w:rsid w:val="745F06BF"/>
    <w:rsid w:val="746C713B"/>
    <w:rsid w:val="748D2368"/>
    <w:rsid w:val="749217E0"/>
    <w:rsid w:val="74B22D8C"/>
    <w:rsid w:val="74BC2C75"/>
    <w:rsid w:val="74C26B38"/>
    <w:rsid w:val="74C55FC1"/>
    <w:rsid w:val="74CA4688"/>
    <w:rsid w:val="74CC7EC1"/>
    <w:rsid w:val="74D177C5"/>
    <w:rsid w:val="74DA7552"/>
    <w:rsid w:val="74E41FDD"/>
    <w:rsid w:val="74EF6361"/>
    <w:rsid w:val="74F347DF"/>
    <w:rsid w:val="74FA7FE6"/>
    <w:rsid w:val="74FD4A9B"/>
    <w:rsid w:val="751D43A6"/>
    <w:rsid w:val="75227685"/>
    <w:rsid w:val="752D5343"/>
    <w:rsid w:val="75453AE1"/>
    <w:rsid w:val="754D68B1"/>
    <w:rsid w:val="75573AC9"/>
    <w:rsid w:val="75595449"/>
    <w:rsid w:val="75856CF0"/>
    <w:rsid w:val="758B283A"/>
    <w:rsid w:val="75BD313A"/>
    <w:rsid w:val="75BF6D3D"/>
    <w:rsid w:val="75D90F8E"/>
    <w:rsid w:val="75DC1EF4"/>
    <w:rsid w:val="75E50837"/>
    <w:rsid w:val="75EF5520"/>
    <w:rsid w:val="75F63713"/>
    <w:rsid w:val="76143A54"/>
    <w:rsid w:val="7637074A"/>
    <w:rsid w:val="763B63B0"/>
    <w:rsid w:val="76412A91"/>
    <w:rsid w:val="764772A3"/>
    <w:rsid w:val="76764AC8"/>
    <w:rsid w:val="767B7960"/>
    <w:rsid w:val="769A6195"/>
    <w:rsid w:val="76A44430"/>
    <w:rsid w:val="76A71FBB"/>
    <w:rsid w:val="76AA5D81"/>
    <w:rsid w:val="76AB50DC"/>
    <w:rsid w:val="76BB3C83"/>
    <w:rsid w:val="76C80EC7"/>
    <w:rsid w:val="76E732D0"/>
    <w:rsid w:val="76EF6C8C"/>
    <w:rsid w:val="76F73D47"/>
    <w:rsid w:val="76FC1384"/>
    <w:rsid w:val="77006E1F"/>
    <w:rsid w:val="77032A24"/>
    <w:rsid w:val="771670C1"/>
    <w:rsid w:val="772C16E9"/>
    <w:rsid w:val="772D4414"/>
    <w:rsid w:val="77383B2B"/>
    <w:rsid w:val="77470212"/>
    <w:rsid w:val="77683E14"/>
    <w:rsid w:val="77734EA5"/>
    <w:rsid w:val="77843214"/>
    <w:rsid w:val="77A06542"/>
    <w:rsid w:val="77A922C9"/>
    <w:rsid w:val="77AC049C"/>
    <w:rsid w:val="77B23714"/>
    <w:rsid w:val="77BB772D"/>
    <w:rsid w:val="77BE6726"/>
    <w:rsid w:val="77D43FD2"/>
    <w:rsid w:val="77DC362C"/>
    <w:rsid w:val="77FA155A"/>
    <w:rsid w:val="781137AD"/>
    <w:rsid w:val="781D13FA"/>
    <w:rsid w:val="781F4CEB"/>
    <w:rsid w:val="782817E9"/>
    <w:rsid w:val="784E0F39"/>
    <w:rsid w:val="78555C26"/>
    <w:rsid w:val="786157D8"/>
    <w:rsid w:val="78640057"/>
    <w:rsid w:val="78686E6C"/>
    <w:rsid w:val="78810787"/>
    <w:rsid w:val="78826969"/>
    <w:rsid w:val="788A6608"/>
    <w:rsid w:val="788E3AAC"/>
    <w:rsid w:val="78970267"/>
    <w:rsid w:val="78B515B5"/>
    <w:rsid w:val="78C21620"/>
    <w:rsid w:val="78CE2D76"/>
    <w:rsid w:val="78EE2375"/>
    <w:rsid w:val="78FA244C"/>
    <w:rsid w:val="78FE1B78"/>
    <w:rsid w:val="79024116"/>
    <w:rsid w:val="790B5E4F"/>
    <w:rsid w:val="790D572F"/>
    <w:rsid w:val="79233654"/>
    <w:rsid w:val="792571E0"/>
    <w:rsid w:val="792735FE"/>
    <w:rsid w:val="79455569"/>
    <w:rsid w:val="79470AE2"/>
    <w:rsid w:val="795123A8"/>
    <w:rsid w:val="79535AC3"/>
    <w:rsid w:val="79620961"/>
    <w:rsid w:val="79860C21"/>
    <w:rsid w:val="79987ED2"/>
    <w:rsid w:val="79A17ECB"/>
    <w:rsid w:val="79AE1AE3"/>
    <w:rsid w:val="79AE77FB"/>
    <w:rsid w:val="79B85AA8"/>
    <w:rsid w:val="79B95C7B"/>
    <w:rsid w:val="79C342A8"/>
    <w:rsid w:val="79C34F9F"/>
    <w:rsid w:val="79C81B6A"/>
    <w:rsid w:val="79E83652"/>
    <w:rsid w:val="79EF6059"/>
    <w:rsid w:val="7A016D9E"/>
    <w:rsid w:val="7A074D7D"/>
    <w:rsid w:val="7A1053E1"/>
    <w:rsid w:val="7A17618B"/>
    <w:rsid w:val="7A1E05C7"/>
    <w:rsid w:val="7A28257D"/>
    <w:rsid w:val="7A3F1ABF"/>
    <w:rsid w:val="7A413A99"/>
    <w:rsid w:val="7A4642A9"/>
    <w:rsid w:val="7A4B6B30"/>
    <w:rsid w:val="7A5166F0"/>
    <w:rsid w:val="7A552C46"/>
    <w:rsid w:val="7A5D3D51"/>
    <w:rsid w:val="7A5F0CF7"/>
    <w:rsid w:val="7A675EA5"/>
    <w:rsid w:val="7A6B3865"/>
    <w:rsid w:val="7A7041ED"/>
    <w:rsid w:val="7A832390"/>
    <w:rsid w:val="7A92679C"/>
    <w:rsid w:val="7A955810"/>
    <w:rsid w:val="7A985E92"/>
    <w:rsid w:val="7A9C2E47"/>
    <w:rsid w:val="7A9E009C"/>
    <w:rsid w:val="7AB705A7"/>
    <w:rsid w:val="7AC019FF"/>
    <w:rsid w:val="7ACA6FB9"/>
    <w:rsid w:val="7AE155BA"/>
    <w:rsid w:val="7AF46C5F"/>
    <w:rsid w:val="7AF91BCC"/>
    <w:rsid w:val="7B0C5BAE"/>
    <w:rsid w:val="7B2374FE"/>
    <w:rsid w:val="7B342757"/>
    <w:rsid w:val="7B34342A"/>
    <w:rsid w:val="7B3873CB"/>
    <w:rsid w:val="7B496993"/>
    <w:rsid w:val="7B715172"/>
    <w:rsid w:val="7B783675"/>
    <w:rsid w:val="7B796807"/>
    <w:rsid w:val="7B8437E3"/>
    <w:rsid w:val="7BA47323"/>
    <w:rsid w:val="7BAC2D3A"/>
    <w:rsid w:val="7BAE3C97"/>
    <w:rsid w:val="7BB16076"/>
    <w:rsid w:val="7BB46DB9"/>
    <w:rsid w:val="7BC02341"/>
    <w:rsid w:val="7BD52290"/>
    <w:rsid w:val="7BD74454"/>
    <w:rsid w:val="7BE96DEC"/>
    <w:rsid w:val="7BFE17E7"/>
    <w:rsid w:val="7C021A51"/>
    <w:rsid w:val="7C033C13"/>
    <w:rsid w:val="7C041A0F"/>
    <w:rsid w:val="7C110306"/>
    <w:rsid w:val="7C212B8A"/>
    <w:rsid w:val="7C2D4B10"/>
    <w:rsid w:val="7C2F7BF3"/>
    <w:rsid w:val="7C7B38C5"/>
    <w:rsid w:val="7C8464A1"/>
    <w:rsid w:val="7C851C1F"/>
    <w:rsid w:val="7C9A0308"/>
    <w:rsid w:val="7C9D2D7B"/>
    <w:rsid w:val="7CA26867"/>
    <w:rsid w:val="7CA60A5C"/>
    <w:rsid w:val="7CB43A8E"/>
    <w:rsid w:val="7CC106AB"/>
    <w:rsid w:val="7CCD1C44"/>
    <w:rsid w:val="7CDF4250"/>
    <w:rsid w:val="7D09113D"/>
    <w:rsid w:val="7D146DE8"/>
    <w:rsid w:val="7D157A0E"/>
    <w:rsid w:val="7D1658AD"/>
    <w:rsid w:val="7D1D4159"/>
    <w:rsid w:val="7D236CCE"/>
    <w:rsid w:val="7D243099"/>
    <w:rsid w:val="7D4B3993"/>
    <w:rsid w:val="7D5F5E30"/>
    <w:rsid w:val="7D6C208F"/>
    <w:rsid w:val="7D897D56"/>
    <w:rsid w:val="7D8E6457"/>
    <w:rsid w:val="7D9B14E5"/>
    <w:rsid w:val="7DAA42B2"/>
    <w:rsid w:val="7DAA569A"/>
    <w:rsid w:val="7DB1501E"/>
    <w:rsid w:val="7DB676D9"/>
    <w:rsid w:val="7DBE16CF"/>
    <w:rsid w:val="7DC37DE3"/>
    <w:rsid w:val="7DD45912"/>
    <w:rsid w:val="7DF64DA9"/>
    <w:rsid w:val="7E0D4E8F"/>
    <w:rsid w:val="7E107D04"/>
    <w:rsid w:val="7E202441"/>
    <w:rsid w:val="7E36397C"/>
    <w:rsid w:val="7E4B691E"/>
    <w:rsid w:val="7E616C7B"/>
    <w:rsid w:val="7E733A70"/>
    <w:rsid w:val="7E871082"/>
    <w:rsid w:val="7E8A0780"/>
    <w:rsid w:val="7E8D6E52"/>
    <w:rsid w:val="7EA574A2"/>
    <w:rsid w:val="7EBB0DC0"/>
    <w:rsid w:val="7EC42E15"/>
    <w:rsid w:val="7EC50C54"/>
    <w:rsid w:val="7ECC312F"/>
    <w:rsid w:val="7ED11A3C"/>
    <w:rsid w:val="7ED91C72"/>
    <w:rsid w:val="7EE36A72"/>
    <w:rsid w:val="7EEB5BB3"/>
    <w:rsid w:val="7F151E5B"/>
    <w:rsid w:val="7F1568D7"/>
    <w:rsid w:val="7F2E0D24"/>
    <w:rsid w:val="7F312E91"/>
    <w:rsid w:val="7F33645C"/>
    <w:rsid w:val="7F373E7C"/>
    <w:rsid w:val="7F4E4DC2"/>
    <w:rsid w:val="7F66205C"/>
    <w:rsid w:val="7FA8327A"/>
    <w:rsid w:val="7FB32EED"/>
    <w:rsid w:val="7FB6358D"/>
    <w:rsid w:val="7FE076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next w:val="1"/>
    <w:qFormat/>
    <w:uiPriority w:val="0"/>
    <w:pPr>
      <w:widowControl w:val="0"/>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widowControl w:val="0"/>
      <w:spacing w:after="120"/>
      <w:jc w:val="both"/>
    </w:pPr>
    <w:rPr>
      <w:rFonts w:ascii="Calibri" w:hAnsi="Calibri" w:eastAsia="宋体" w:cs="Times New Roman"/>
      <w:kern w:val="2"/>
      <w:sz w:val="21"/>
      <w:szCs w:val="24"/>
      <w:lang w:val="en-US" w:eastAsia="zh-CN" w:bidi="ar-SA"/>
    </w:rPr>
  </w:style>
  <w:style w:type="paragraph" w:styleId="3">
    <w:name w:val="toc 5"/>
    <w:basedOn w:val="1"/>
    <w:next w:val="1"/>
    <w:qFormat/>
    <w:uiPriority w:val="0"/>
    <w:pPr>
      <w:widowControl w:val="0"/>
      <w:ind w:left="1680" w:leftChars="800"/>
      <w:jc w:val="both"/>
    </w:pPr>
    <w:rPr>
      <w:rFonts w:ascii="Calibri" w:hAnsi="Calibri" w:eastAsia="宋体" w:cs="Times New Roman"/>
      <w:kern w:val="2"/>
      <w:sz w:val="21"/>
      <w:szCs w:val="24"/>
      <w:lang w:val="en-US" w:eastAsia="zh-CN" w:bidi="ar-SA"/>
    </w:rPr>
  </w:style>
  <w:style w:type="paragraph" w:styleId="5">
    <w:name w:val="toa heading"/>
    <w:next w:val="1"/>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table" w:customStyle="1" w:styleId="12">
    <w:name w:val="Table Normal"/>
    <w:unhideWhenUsed/>
    <w:qFormat/>
    <w:uiPriority w:val="0"/>
    <w:tblPr>
      <w:tblCellMar>
        <w:top w:w="0" w:type="dxa"/>
        <w:left w:w="0" w:type="dxa"/>
        <w:bottom w:w="0" w:type="dxa"/>
        <w:right w:w="0" w:type="dxa"/>
      </w:tblCellMar>
    </w:tblPr>
  </w:style>
  <w:style w:type="paragraph" w:customStyle="1" w:styleId="13">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11091</Words>
  <Characters>11528</Characters>
  <Lines>0</Lines>
  <Paragraphs>0</Paragraphs>
  <TotalTime>2</TotalTime>
  <ScaleCrop>false</ScaleCrop>
  <LinksUpToDate>false</LinksUpToDate>
  <CharactersWithSpaces>11647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2023-04-23T08:56:00Z</dcterms:created>
  <dc:creator>新一天</dc:creator>
  <cp:lastModifiedBy>Freedom</cp:lastModifiedBy>
  <cp:lastPrinted>2023-05-26T08:11:00Z</cp:lastPrinted>
  <dcterms:modified xsi:type="dcterms:W3CDTF">2026-08-04T06:25:45Z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2808E909F0F84DAD900AF8B2FF2AEC82_13</vt:lpwstr>
  </property>
  <property fmtid="{D5CDD505-2E9C-101B-9397-08002B2CF9AE}" pid="4" name="KSOTemplateDocerSaveRecord">
    <vt:lpwstr>eyJoZGlkIjoiM2ExM2I1Y2E5MTg1NzJhN2FkNjlmNDg5OTI5OGY3ZTQiLCJ1c2VySWQiOiI0MTQ2OTI3NDEifQ==</vt:lpwstr>
  </property>
</Properties>
</file>