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9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val="en-US" w:eastAsia="zh-CN"/>
        </w:rPr>
        <w:t>1</w:t>
      </w:r>
    </w:p>
    <w:p w14:paraId="57306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年度预算单位整体支出绩效评价基础数据表</w:t>
      </w:r>
    </w:p>
    <w:p w14:paraId="0B67954D">
      <w:pPr>
        <w:widowControl w:val="0"/>
        <w:kinsoku/>
        <w:autoSpaceDE/>
        <w:autoSpaceDN/>
        <w:adjustRightInd/>
        <w:snapToGrid/>
        <w:spacing w:line="115" w:lineRule="exact"/>
        <w:jc w:val="both"/>
        <w:textAlignment w:val="auto"/>
        <w:rPr>
          <w:rFonts w:ascii="Calibri" w:hAnsi="Calibri" w:eastAsia="宋体" w:cs="Times New Roman"/>
          <w:snapToGrid/>
          <w:color w:val="000000"/>
          <w:kern w:val="2"/>
          <w:szCs w:val="24"/>
          <w:lang w:eastAsia="zh-CN"/>
        </w:rPr>
      </w:pPr>
    </w:p>
    <w:tbl>
      <w:tblPr>
        <w:tblStyle w:val="6"/>
        <w:tblW w:w="93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18"/>
        <w:gridCol w:w="796"/>
        <w:gridCol w:w="957"/>
        <w:gridCol w:w="1100"/>
        <w:gridCol w:w="1145"/>
        <w:gridCol w:w="781"/>
        <w:gridCol w:w="842"/>
      </w:tblGrid>
      <w:tr w14:paraId="7C156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3718" w:type="dxa"/>
            <w:tcBorders>
              <w:bottom w:val="nil"/>
            </w:tcBorders>
            <w:noWrap w:val="0"/>
            <w:vAlign w:val="center"/>
          </w:tcPr>
          <w:p w14:paraId="7B9EB24C">
            <w:pPr>
              <w:widowControl w:val="0"/>
              <w:kinsoku/>
              <w:autoSpaceDE/>
              <w:autoSpaceDN/>
              <w:adjustRightInd/>
              <w:snapToGrid/>
              <w:spacing w:before="33" w:line="198" w:lineRule="auto"/>
              <w:ind w:right="118" w:righ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预算单位名称</w:t>
            </w:r>
          </w:p>
        </w:tc>
        <w:tc>
          <w:tcPr>
            <w:tcW w:w="5621" w:type="dxa"/>
            <w:gridSpan w:val="6"/>
            <w:noWrap w:val="0"/>
            <w:vAlign w:val="center"/>
          </w:tcPr>
          <w:p w14:paraId="12C46F53">
            <w:pPr>
              <w:widowControl w:val="0"/>
              <w:kinsoku/>
              <w:autoSpaceDE/>
              <w:autoSpaceDN/>
              <w:adjustRightInd/>
              <w:snapToGrid/>
              <w:spacing w:before="33" w:line="198" w:lineRule="auto"/>
              <w:ind w:right="118" w:righ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0"/>
                <w:szCs w:val="20"/>
                <w:lang w:eastAsia="zh-CN"/>
              </w:rPr>
              <w:t>岳阳市岳阳楼区文化旅游体育产业服务中心</w:t>
            </w:r>
          </w:p>
        </w:tc>
      </w:tr>
      <w:tr w14:paraId="6C6DC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3718" w:type="dxa"/>
            <w:vMerge w:val="restart"/>
            <w:tcBorders>
              <w:bottom w:val="nil"/>
            </w:tcBorders>
            <w:noWrap w:val="0"/>
            <w:vAlign w:val="top"/>
          </w:tcPr>
          <w:p w14:paraId="579B8A45">
            <w:pPr>
              <w:widowControl w:val="0"/>
              <w:kinsoku/>
              <w:autoSpaceDE/>
              <w:autoSpaceDN/>
              <w:adjustRightInd/>
              <w:snapToGrid/>
              <w:spacing w:before="262" w:line="219" w:lineRule="auto"/>
              <w:ind w:left="575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财政供养人员情况（人）</w:t>
            </w:r>
          </w:p>
        </w:tc>
        <w:tc>
          <w:tcPr>
            <w:tcW w:w="1753" w:type="dxa"/>
            <w:gridSpan w:val="2"/>
            <w:noWrap w:val="0"/>
            <w:vAlign w:val="top"/>
          </w:tcPr>
          <w:p w14:paraId="421C32D6">
            <w:pPr>
              <w:widowControl w:val="0"/>
              <w:kinsoku/>
              <w:autoSpaceDE/>
              <w:autoSpaceDN/>
              <w:adjustRightInd/>
              <w:snapToGrid/>
              <w:spacing w:before="103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3"/>
                <w:kern w:val="2"/>
                <w:sz w:val="24"/>
                <w:szCs w:val="24"/>
                <w:lang w:eastAsia="zh-CN"/>
              </w:rPr>
              <w:t>编制数</w:t>
            </w:r>
          </w:p>
        </w:tc>
        <w:tc>
          <w:tcPr>
            <w:tcW w:w="2245" w:type="dxa"/>
            <w:gridSpan w:val="2"/>
            <w:noWrap w:val="0"/>
            <w:vAlign w:val="top"/>
          </w:tcPr>
          <w:p w14:paraId="1F5E15EC">
            <w:pPr>
              <w:widowControl w:val="0"/>
              <w:kinsoku/>
              <w:autoSpaceDE/>
              <w:autoSpaceDN/>
              <w:adjustRightInd/>
              <w:snapToGrid/>
              <w:spacing w:before="83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年实际在职人数</w:t>
            </w:r>
          </w:p>
        </w:tc>
        <w:tc>
          <w:tcPr>
            <w:tcW w:w="1623" w:type="dxa"/>
            <w:gridSpan w:val="2"/>
            <w:noWrap w:val="0"/>
            <w:vAlign w:val="top"/>
          </w:tcPr>
          <w:p w14:paraId="5537C5C2">
            <w:pPr>
              <w:widowControl w:val="0"/>
              <w:kinsoku/>
              <w:autoSpaceDE/>
              <w:autoSpaceDN/>
              <w:adjustRightInd/>
              <w:snapToGrid/>
              <w:spacing w:before="103" w:line="219" w:lineRule="auto"/>
              <w:ind w:left="708"/>
              <w:jc w:val="both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控制率</w:t>
            </w:r>
          </w:p>
        </w:tc>
      </w:tr>
      <w:tr w14:paraId="253F2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3718" w:type="dxa"/>
            <w:vMerge w:val="continue"/>
            <w:tcBorders>
              <w:top w:val="nil"/>
            </w:tcBorders>
            <w:noWrap w:val="0"/>
            <w:vAlign w:val="top"/>
          </w:tcPr>
          <w:p w14:paraId="4E56679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53" w:type="dxa"/>
            <w:gridSpan w:val="2"/>
            <w:noWrap w:val="0"/>
            <w:vAlign w:val="center"/>
          </w:tcPr>
          <w:p w14:paraId="1C1E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245" w:type="dxa"/>
            <w:gridSpan w:val="2"/>
            <w:noWrap w:val="0"/>
            <w:vAlign w:val="center"/>
          </w:tcPr>
          <w:p w14:paraId="7940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7A53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92.86%</w:t>
            </w:r>
          </w:p>
        </w:tc>
      </w:tr>
      <w:tr w14:paraId="76233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718" w:type="dxa"/>
            <w:noWrap w:val="0"/>
            <w:vAlign w:val="top"/>
          </w:tcPr>
          <w:p w14:paraId="4B8FA707">
            <w:pPr>
              <w:widowControl w:val="0"/>
              <w:kinsoku/>
              <w:autoSpaceDE/>
              <w:autoSpaceDN/>
              <w:adjustRightInd/>
              <w:snapToGrid/>
              <w:spacing w:before="140" w:line="202" w:lineRule="auto"/>
              <w:ind w:left="6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4"/>
                <w:kern w:val="2"/>
                <w:sz w:val="24"/>
                <w:szCs w:val="24"/>
                <w:lang w:eastAsia="zh-CN"/>
              </w:rPr>
              <w:t>经费控制情况（万元）</w:t>
            </w:r>
          </w:p>
        </w:tc>
        <w:tc>
          <w:tcPr>
            <w:tcW w:w="1753" w:type="dxa"/>
            <w:gridSpan w:val="2"/>
            <w:noWrap w:val="0"/>
            <w:vAlign w:val="top"/>
          </w:tcPr>
          <w:p w14:paraId="5EC6A883">
            <w:pPr>
              <w:widowControl w:val="0"/>
              <w:kinsoku/>
              <w:autoSpaceDE/>
              <w:autoSpaceDN/>
              <w:adjustRightInd/>
              <w:snapToGrid/>
              <w:spacing w:before="119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年决算数</w:t>
            </w:r>
          </w:p>
        </w:tc>
        <w:tc>
          <w:tcPr>
            <w:tcW w:w="2245" w:type="dxa"/>
            <w:gridSpan w:val="2"/>
            <w:noWrap w:val="0"/>
            <w:vAlign w:val="top"/>
          </w:tcPr>
          <w:p w14:paraId="7C56C393">
            <w:pPr>
              <w:widowControl w:val="0"/>
              <w:kinsoku/>
              <w:autoSpaceDE/>
              <w:autoSpaceDN/>
              <w:adjustRightInd/>
              <w:snapToGrid/>
              <w:spacing w:before="119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年预算数</w:t>
            </w:r>
          </w:p>
        </w:tc>
        <w:tc>
          <w:tcPr>
            <w:tcW w:w="1623" w:type="dxa"/>
            <w:gridSpan w:val="2"/>
            <w:noWrap w:val="0"/>
            <w:vAlign w:val="top"/>
          </w:tcPr>
          <w:p w14:paraId="290B4DE6">
            <w:pPr>
              <w:widowControl w:val="0"/>
              <w:kinsoku/>
              <w:autoSpaceDE/>
              <w:autoSpaceDN/>
              <w:adjustRightInd/>
              <w:snapToGrid/>
              <w:spacing w:before="76" w:line="219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eastAsia="zh-CN"/>
              </w:rPr>
              <w:t>年决算数</w:t>
            </w:r>
          </w:p>
        </w:tc>
      </w:tr>
      <w:tr w14:paraId="4CB14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718" w:type="dxa"/>
            <w:noWrap w:val="0"/>
            <w:vAlign w:val="top"/>
          </w:tcPr>
          <w:p w14:paraId="0F6684FC">
            <w:pPr>
              <w:widowControl w:val="0"/>
              <w:kinsoku/>
              <w:autoSpaceDE/>
              <w:autoSpaceDN/>
              <w:adjustRightInd/>
              <w:snapToGrid/>
              <w:spacing w:before="141" w:line="202" w:lineRule="auto"/>
              <w:ind w:left="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“三公”经费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73BB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2535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6091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E8F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718" w:type="dxa"/>
            <w:noWrap w:val="0"/>
            <w:vAlign w:val="top"/>
          </w:tcPr>
          <w:p w14:paraId="3925DF39">
            <w:pPr>
              <w:widowControl w:val="0"/>
              <w:kinsoku/>
              <w:autoSpaceDE/>
              <w:autoSpaceDN/>
              <w:adjustRightInd/>
              <w:snapToGrid/>
              <w:spacing w:before="149" w:line="193" w:lineRule="auto"/>
              <w:ind w:left="4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  <w:t>1、公务用车购置和维护经费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50D5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4C83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5F7D1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D1E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718" w:type="dxa"/>
            <w:noWrap w:val="0"/>
            <w:vAlign w:val="top"/>
          </w:tcPr>
          <w:p w14:paraId="7ED481C4">
            <w:pPr>
              <w:widowControl w:val="0"/>
              <w:kinsoku/>
              <w:autoSpaceDE/>
              <w:autoSpaceDN/>
              <w:adjustRightInd/>
              <w:snapToGrid/>
              <w:spacing w:before="81" w:line="219" w:lineRule="auto"/>
              <w:ind w:left="8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其中：公车购置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3629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4162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3D1D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4479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3718" w:type="dxa"/>
            <w:noWrap w:val="0"/>
            <w:vAlign w:val="top"/>
          </w:tcPr>
          <w:p w14:paraId="2B8C0CF8">
            <w:pPr>
              <w:widowControl w:val="0"/>
              <w:kinsoku/>
              <w:autoSpaceDE/>
              <w:autoSpaceDN/>
              <w:adjustRightInd/>
              <w:snapToGrid/>
              <w:spacing w:before="91" w:line="219" w:lineRule="auto"/>
              <w:ind w:left="142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公车运行维护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2FEE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4B3D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56A0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C4E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718" w:type="dxa"/>
            <w:noWrap w:val="0"/>
            <w:vAlign w:val="top"/>
          </w:tcPr>
          <w:p w14:paraId="081B61D7">
            <w:pPr>
              <w:widowControl w:val="0"/>
              <w:kinsoku/>
              <w:autoSpaceDE/>
              <w:autoSpaceDN/>
              <w:adjustRightInd/>
              <w:snapToGrid/>
              <w:spacing w:before="81" w:line="22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2、出国经费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6D4D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7B11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4173A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252C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718" w:type="dxa"/>
            <w:noWrap w:val="0"/>
            <w:vAlign w:val="top"/>
          </w:tcPr>
          <w:p w14:paraId="77CC9CFD">
            <w:pPr>
              <w:widowControl w:val="0"/>
              <w:kinsoku/>
              <w:autoSpaceDE/>
              <w:autoSpaceDN/>
              <w:adjustRightInd/>
              <w:snapToGrid/>
              <w:spacing w:before="82" w:line="219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3、公务接待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57CD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2D7B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08CB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7814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718" w:type="dxa"/>
            <w:noWrap w:val="0"/>
            <w:vAlign w:val="center"/>
          </w:tcPr>
          <w:p w14:paraId="2372E032">
            <w:pPr>
              <w:widowControl w:val="0"/>
              <w:kinsoku/>
              <w:autoSpaceDE/>
              <w:autoSpaceDN/>
              <w:adjustRightInd/>
              <w:snapToGrid/>
              <w:spacing w:before="81" w:line="22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项目支出：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11E2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78BA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8.00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6318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33.36</w:t>
            </w:r>
          </w:p>
        </w:tc>
      </w:tr>
      <w:tr w14:paraId="2E59C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718" w:type="dxa"/>
            <w:noWrap w:val="0"/>
            <w:vAlign w:val="center"/>
          </w:tcPr>
          <w:p w14:paraId="3D67BFB8">
            <w:pPr>
              <w:widowControl w:val="0"/>
              <w:kinsoku/>
              <w:autoSpaceDE/>
              <w:autoSpaceDN/>
              <w:adjustRightInd/>
              <w:snapToGrid/>
              <w:spacing w:before="81" w:line="22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1、业务工作经费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4D13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177A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8.00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5C8A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8.36</w:t>
            </w:r>
          </w:p>
        </w:tc>
      </w:tr>
      <w:tr w14:paraId="24B7A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718" w:type="dxa"/>
            <w:noWrap w:val="0"/>
            <w:vAlign w:val="center"/>
          </w:tcPr>
          <w:p w14:paraId="334CF061">
            <w:pPr>
              <w:widowControl w:val="0"/>
              <w:kinsoku/>
              <w:autoSpaceDE/>
              <w:autoSpaceDN/>
              <w:adjustRightInd/>
              <w:snapToGrid/>
              <w:spacing w:before="81" w:line="22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2、运行维护经费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5613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7739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4AD0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AF9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3718" w:type="dxa"/>
            <w:noWrap w:val="0"/>
            <w:vAlign w:val="center"/>
          </w:tcPr>
          <w:p w14:paraId="597302D5">
            <w:pPr>
              <w:widowControl w:val="0"/>
              <w:kinsoku/>
              <w:autoSpaceDE/>
              <w:autoSpaceDN/>
              <w:adjustRightInd/>
              <w:snapToGrid/>
              <w:spacing w:before="81" w:line="22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3、本级专项资金（一个专项一行）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5C4F6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231F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704A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25.00</w:t>
            </w:r>
          </w:p>
        </w:tc>
      </w:tr>
      <w:tr w14:paraId="041DF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18" w:type="dxa"/>
            <w:noWrap w:val="0"/>
            <w:vAlign w:val="center"/>
          </w:tcPr>
          <w:p w14:paraId="3E11185E">
            <w:pPr>
              <w:widowControl w:val="0"/>
              <w:kinsoku/>
              <w:autoSpaceDE/>
              <w:autoSpaceDN/>
              <w:adjustRightInd/>
              <w:snapToGrid/>
              <w:spacing w:before="81" w:line="22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体育训练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1EB92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1988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45B5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25.00</w:t>
            </w:r>
          </w:p>
        </w:tc>
      </w:tr>
      <w:tr w14:paraId="407B0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718" w:type="dxa"/>
            <w:noWrap w:val="0"/>
            <w:vAlign w:val="top"/>
          </w:tcPr>
          <w:p w14:paraId="6E7332FD">
            <w:pPr>
              <w:widowControl w:val="0"/>
              <w:kinsoku/>
              <w:autoSpaceDE/>
              <w:autoSpaceDN/>
              <w:adjustRightInd/>
              <w:snapToGrid/>
              <w:spacing w:before="85" w:line="220" w:lineRule="auto"/>
              <w:ind w:left="9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公用经费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582B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35.68</w:t>
            </w:r>
          </w:p>
        </w:tc>
        <w:tc>
          <w:tcPr>
            <w:tcW w:w="2245" w:type="dxa"/>
            <w:gridSpan w:val="2"/>
            <w:noWrap w:val="0"/>
            <w:vAlign w:val="center"/>
          </w:tcPr>
          <w:p w14:paraId="0DEA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23.40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6C05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23.12</w:t>
            </w:r>
          </w:p>
        </w:tc>
      </w:tr>
      <w:tr w14:paraId="1CC64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18" w:type="dxa"/>
            <w:noWrap w:val="0"/>
            <w:vAlign w:val="top"/>
          </w:tcPr>
          <w:p w14:paraId="23228067">
            <w:pPr>
              <w:widowControl w:val="0"/>
              <w:kinsoku/>
              <w:autoSpaceDE/>
              <w:autoSpaceDN/>
              <w:adjustRightInd/>
              <w:snapToGrid/>
              <w:spacing w:before="85" w:line="219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其中：办公经费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0378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15.00</w:t>
            </w:r>
          </w:p>
        </w:tc>
        <w:tc>
          <w:tcPr>
            <w:tcW w:w="2245" w:type="dxa"/>
            <w:gridSpan w:val="2"/>
            <w:noWrap w:val="0"/>
            <w:vAlign w:val="center"/>
          </w:tcPr>
          <w:p w14:paraId="524D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22.75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55BC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22.46</w:t>
            </w:r>
          </w:p>
        </w:tc>
      </w:tr>
      <w:tr w14:paraId="4E42E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3718" w:type="dxa"/>
            <w:noWrap w:val="0"/>
            <w:vAlign w:val="top"/>
          </w:tcPr>
          <w:p w14:paraId="6D234C31">
            <w:pPr>
              <w:widowControl w:val="0"/>
              <w:kinsoku/>
              <w:autoSpaceDE/>
              <w:autoSpaceDN/>
              <w:adjustRightInd/>
              <w:snapToGrid/>
              <w:spacing w:before="135" w:line="198" w:lineRule="auto"/>
              <w:ind w:left="1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水费、电费、差旅费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4E90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2.99</w:t>
            </w:r>
          </w:p>
        </w:tc>
        <w:tc>
          <w:tcPr>
            <w:tcW w:w="2245" w:type="dxa"/>
            <w:gridSpan w:val="2"/>
            <w:noWrap w:val="0"/>
            <w:vAlign w:val="center"/>
          </w:tcPr>
          <w:p w14:paraId="2393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57A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</w:t>
            </w:r>
          </w:p>
        </w:tc>
      </w:tr>
      <w:tr w14:paraId="0F50B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718" w:type="dxa"/>
            <w:noWrap w:val="0"/>
            <w:vAlign w:val="top"/>
          </w:tcPr>
          <w:p w14:paraId="5DF76B92">
            <w:pPr>
              <w:widowControl w:val="0"/>
              <w:kinsoku/>
              <w:autoSpaceDE/>
              <w:autoSpaceDN/>
              <w:adjustRightInd/>
              <w:snapToGrid/>
              <w:spacing w:before="144" w:line="198" w:lineRule="auto"/>
              <w:ind w:left="112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会议费、培训费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7453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5" w:type="dxa"/>
            <w:gridSpan w:val="2"/>
            <w:noWrap w:val="0"/>
            <w:vAlign w:val="center"/>
          </w:tcPr>
          <w:p w14:paraId="1EE7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3594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AFCA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718" w:type="dxa"/>
            <w:noWrap w:val="0"/>
            <w:vAlign w:val="top"/>
          </w:tcPr>
          <w:p w14:paraId="6807E9CF">
            <w:pPr>
              <w:widowControl w:val="0"/>
              <w:kinsoku/>
              <w:autoSpaceDE/>
              <w:autoSpaceDN/>
              <w:adjustRightInd/>
              <w:snapToGrid/>
              <w:spacing w:before="145" w:line="189" w:lineRule="auto"/>
              <w:ind w:left="10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政府采购金额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5BDE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3.42</w:t>
            </w:r>
          </w:p>
        </w:tc>
        <w:tc>
          <w:tcPr>
            <w:tcW w:w="2245" w:type="dxa"/>
            <w:gridSpan w:val="2"/>
            <w:noWrap w:val="0"/>
            <w:vAlign w:val="center"/>
          </w:tcPr>
          <w:p w14:paraId="41D9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26.80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744F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3.42</w:t>
            </w:r>
          </w:p>
        </w:tc>
      </w:tr>
      <w:tr w14:paraId="70853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718" w:type="dxa"/>
            <w:noWrap w:val="0"/>
            <w:vAlign w:val="top"/>
          </w:tcPr>
          <w:p w14:paraId="2B406F9C">
            <w:pPr>
              <w:widowControl w:val="0"/>
              <w:kinsoku/>
              <w:autoSpaceDE/>
              <w:autoSpaceDN/>
              <w:adjustRightInd/>
              <w:snapToGrid/>
              <w:spacing w:before="145" w:line="198" w:lineRule="auto"/>
              <w:ind w:left="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部门基本支出预算调整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center"/>
          </w:tcPr>
          <w:p w14:paraId="4224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192.59</w:t>
            </w:r>
          </w:p>
        </w:tc>
        <w:tc>
          <w:tcPr>
            <w:tcW w:w="2245" w:type="dxa"/>
            <w:gridSpan w:val="2"/>
            <w:noWrap w:val="0"/>
            <w:vAlign w:val="center"/>
          </w:tcPr>
          <w:p w14:paraId="01F0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247.42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38CC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242.42</w:t>
            </w:r>
          </w:p>
        </w:tc>
      </w:tr>
      <w:tr w14:paraId="488ED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3718" w:type="dxa"/>
            <w:vMerge w:val="restart"/>
            <w:tcBorders>
              <w:bottom w:val="nil"/>
            </w:tcBorders>
            <w:noWrap w:val="0"/>
            <w:vAlign w:val="center"/>
          </w:tcPr>
          <w:p w14:paraId="06BED57D">
            <w:pPr>
              <w:widowControl w:val="0"/>
              <w:kinsoku/>
              <w:autoSpaceDE/>
              <w:autoSpaceDN/>
              <w:adjustRightInd/>
              <w:snapToGrid/>
              <w:spacing w:before="65" w:line="390" w:lineRule="exact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position w:val="14"/>
                <w:sz w:val="24"/>
                <w:szCs w:val="24"/>
                <w:lang w:eastAsia="zh-CN"/>
              </w:rPr>
              <w:t>楼堂馆所控制情况</w:t>
            </w:r>
          </w:p>
          <w:p w14:paraId="39FCFD26">
            <w:pPr>
              <w:widowControl w:val="0"/>
              <w:kinsoku/>
              <w:autoSpaceDE/>
              <w:autoSpaceDN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(202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年完工项目）</w:t>
            </w:r>
          </w:p>
        </w:tc>
        <w:tc>
          <w:tcPr>
            <w:tcW w:w="796" w:type="dxa"/>
            <w:noWrap w:val="0"/>
            <w:vAlign w:val="center"/>
          </w:tcPr>
          <w:p w14:paraId="61149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批复规模</w:t>
            </w:r>
          </w:p>
          <w:p w14:paraId="295C4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(m²)</w:t>
            </w:r>
          </w:p>
        </w:tc>
        <w:tc>
          <w:tcPr>
            <w:tcW w:w="957" w:type="dxa"/>
            <w:noWrap w:val="0"/>
            <w:vAlign w:val="center"/>
          </w:tcPr>
          <w:p w14:paraId="1061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实际规</w:t>
            </w:r>
          </w:p>
          <w:p w14:paraId="3D1E9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模（m²）</w:t>
            </w:r>
          </w:p>
        </w:tc>
        <w:tc>
          <w:tcPr>
            <w:tcW w:w="1100" w:type="dxa"/>
            <w:noWrap w:val="0"/>
            <w:vAlign w:val="center"/>
          </w:tcPr>
          <w:p w14:paraId="60218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规模控制率</w:t>
            </w:r>
          </w:p>
        </w:tc>
        <w:tc>
          <w:tcPr>
            <w:tcW w:w="1145" w:type="dxa"/>
            <w:noWrap w:val="0"/>
            <w:vAlign w:val="center"/>
          </w:tcPr>
          <w:p w14:paraId="5E51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预算投资</w:t>
            </w:r>
          </w:p>
          <w:p w14:paraId="60C3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（万元）</w:t>
            </w:r>
          </w:p>
        </w:tc>
        <w:tc>
          <w:tcPr>
            <w:tcW w:w="781" w:type="dxa"/>
            <w:noWrap w:val="0"/>
            <w:vAlign w:val="center"/>
          </w:tcPr>
          <w:p w14:paraId="43342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实际</w:t>
            </w:r>
          </w:p>
          <w:p w14:paraId="02FE8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投资</w:t>
            </w:r>
          </w:p>
          <w:p w14:paraId="11B17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（万元）</w:t>
            </w:r>
          </w:p>
        </w:tc>
        <w:tc>
          <w:tcPr>
            <w:tcW w:w="842" w:type="dxa"/>
            <w:noWrap w:val="0"/>
            <w:vAlign w:val="center"/>
          </w:tcPr>
          <w:p w14:paraId="67971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投资概</w:t>
            </w:r>
          </w:p>
          <w:p w14:paraId="0594B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算控制</w:t>
            </w:r>
          </w:p>
          <w:p w14:paraId="149DD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率</w:t>
            </w:r>
          </w:p>
        </w:tc>
      </w:tr>
      <w:tr w14:paraId="36E89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718" w:type="dxa"/>
            <w:vMerge w:val="continue"/>
            <w:tcBorders>
              <w:top w:val="nil"/>
            </w:tcBorders>
            <w:noWrap w:val="0"/>
            <w:vAlign w:val="top"/>
          </w:tcPr>
          <w:p w14:paraId="076EB0C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6" w:type="dxa"/>
            <w:noWrap w:val="0"/>
            <w:vAlign w:val="top"/>
          </w:tcPr>
          <w:p w14:paraId="6545A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957" w:type="dxa"/>
            <w:noWrap w:val="0"/>
            <w:vAlign w:val="top"/>
          </w:tcPr>
          <w:p w14:paraId="40A7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100" w:type="dxa"/>
            <w:noWrap w:val="0"/>
            <w:vAlign w:val="top"/>
          </w:tcPr>
          <w:p w14:paraId="070BD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45" w:type="dxa"/>
            <w:noWrap w:val="0"/>
            <w:vAlign w:val="top"/>
          </w:tcPr>
          <w:p w14:paraId="6631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781" w:type="dxa"/>
            <w:noWrap w:val="0"/>
            <w:vAlign w:val="top"/>
          </w:tcPr>
          <w:p w14:paraId="4FDF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842" w:type="dxa"/>
            <w:noWrap w:val="0"/>
            <w:vAlign w:val="top"/>
          </w:tcPr>
          <w:p w14:paraId="5D43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 w14:paraId="6E2F1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718" w:type="dxa"/>
            <w:noWrap w:val="0"/>
            <w:vAlign w:val="top"/>
          </w:tcPr>
          <w:p w14:paraId="0D7D6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厉行节约保障措施</w:t>
            </w:r>
          </w:p>
        </w:tc>
        <w:tc>
          <w:tcPr>
            <w:tcW w:w="5621" w:type="dxa"/>
            <w:gridSpan w:val="6"/>
            <w:noWrap w:val="0"/>
            <w:vAlign w:val="top"/>
          </w:tcPr>
          <w:p w14:paraId="528A8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  <w:t>《岳阳楼区文化旅游广电体育局专项资金管理办法》</w:t>
            </w:r>
          </w:p>
        </w:tc>
      </w:tr>
    </w:tbl>
    <w:p w14:paraId="19638F74">
      <w:pPr>
        <w:widowControl w:val="0"/>
        <w:kinsoku/>
        <w:autoSpaceDE/>
        <w:autoSpaceDN/>
        <w:adjustRightInd/>
        <w:snapToGrid/>
        <w:spacing w:before="64" w:line="230" w:lineRule="auto"/>
        <w:jc w:val="both"/>
        <w:textAlignment w:val="auto"/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</w:pPr>
    </w:p>
    <w:p w14:paraId="210382F8">
      <w:pPr>
        <w:widowControl w:val="0"/>
        <w:kinsoku/>
        <w:autoSpaceDE/>
        <w:autoSpaceDN/>
        <w:adjustRightInd/>
        <w:snapToGrid/>
        <w:spacing w:before="64" w:line="230" w:lineRule="auto"/>
        <w:jc w:val="both"/>
        <w:textAlignment w:val="auto"/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</w:pPr>
    </w:p>
    <w:p w14:paraId="02DBC653">
      <w:pPr>
        <w:widowControl w:val="0"/>
        <w:kinsoku/>
        <w:autoSpaceDE/>
        <w:autoSpaceDN/>
        <w:adjustRightInd/>
        <w:snapToGrid/>
        <w:spacing w:before="64" w:line="230" w:lineRule="auto"/>
        <w:jc w:val="both"/>
        <w:textAlignment w:val="auto"/>
        <w:rPr>
          <w:rFonts w:hint="eastAsia" w:ascii="Times New Roman" w:hAnsi="Times New Roman" w:eastAsia="黑体" w:cs="Times New Roman"/>
          <w:snapToGrid/>
          <w:kern w:val="2"/>
          <w:sz w:val="31"/>
          <w:szCs w:val="31"/>
          <w:lang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napToGrid/>
          <w:spacing w:val="-60"/>
          <w:kern w:val="2"/>
          <w:sz w:val="31"/>
          <w:szCs w:val="31"/>
          <w:lang w:val="en-US" w:eastAsia="zh-CN"/>
        </w:rPr>
        <w:t>2</w:t>
      </w:r>
    </w:p>
    <w:p w14:paraId="4A36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年度预算单位整体支出绩效自评表</w:t>
      </w:r>
    </w:p>
    <w:tbl>
      <w:tblPr>
        <w:tblStyle w:val="6"/>
        <w:tblpPr w:leftFromText="180" w:rightFromText="180" w:vertAnchor="text" w:horzAnchor="page" w:tblpX="833" w:tblpY="40"/>
        <w:tblOverlap w:val="never"/>
        <w:tblW w:w="1023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884"/>
        <w:gridCol w:w="1262"/>
        <w:gridCol w:w="1572"/>
        <w:gridCol w:w="1047"/>
        <w:gridCol w:w="1287"/>
        <w:gridCol w:w="727"/>
        <w:gridCol w:w="886"/>
        <w:gridCol w:w="1474"/>
      </w:tblGrid>
      <w:tr w14:paraId="1B9AA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246" w:type="dxa"/>
            <w:gridSpan w:val="3"/>
            <w:noWrap w:val="0"/>
            <w:vAlign w:val="top"/>
          </w:tcPr>
          <w:p w14:paraId="03593319">
            <w:pPr>
              <w:widowControl w:val="0"/>
              <w:kinsoku/>
              <w:autoSpaceDE/>
              <w:autoSpaceDN/>
              <w:adjustRightInd/>
              <w:snapToGrid/>
              <w:spacing w:before="24" w:line="208" w:lineRule="auto"/>
              <w:ind w:left="120" w:firstLine="412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预算单位名称</w:t>
            </w:r>
          </w:p>
        </w:tc>
        <w:tc>
          <w:tcPr>
            <w:tcW w:w="6993" w:type="dxa"/>
            <w:gridSpan w:val="6"/>
            <w:noWrap w:val="0"/>
            <w:vAlign w:val="top"/>
          </w:tcPr>
          <w:p w14:paraId="25F11C43">
            <w:pPr>
              <w:widowControl w:val="0"/>
              <w:spacing w:line="239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0"/>
                <w:szCs w:val="20"/>
                <w:lang w:eastAsia="zh-CN"/>
              </w:rPr>
              <w:t>岳阳市岳阳楼区文化旅游体育产业服务中心</w:t>
            </w:r>
          </w:p>
        </w:tc>
      </w:tr>
      <w:tr w14:paraId="24568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100" w:type="dxa"/>
            <w:vMerge w:val="restart"/>
            <w:tcBorders>
              <w:bottom w:val="nil"/>
            </w:tcBorders>
            <w:noWrap w:val="0"/>
            <w:vAlign w:val="top"/>
          </w:tcPr>
          <w:p w14:paraId="70000AD7">
            <w:pPr>
              <w:widowControl w:val="0"/>
              <w:spacing w:line="467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DABDD27">
            <w:pPr>
              <w:widowControl w:val="0"/>
              <w:kinsoku/>
              <w:autoSpaceDE/>
              <w:autoSpaceDN/>
              <w:adjustRightInd/>
              <w:snapToGrid/>
              <w:spacing w:before="62" w:line="232" w:lineRule="auto"/>
              <w:ind w:left="144" w:right="144" w:firstLine="10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年度预</w:t>
            </w:r>
            <w:r>
              <w:rPr>
                <w:rFonts w:hint="eastAsia" w:ascii="宋体" w:hAnsi="宋体" w:eastAsia="宋体" w:cs="宋体"/>
                <w:snapToGrid/>
                <w:spacing w:val="41"/>
                <w:kern w:val="2"/>
                <w:sz w:val="19"/>
                <w:szCs w:val="19"/>
                <w:lang w:eastAsia="zh-CN"/>
              </w:rPr>
              <w:t>算申请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（万元）</w:t>
            </w:r>
          </w:p>
        </w:tc>
        <w:tc>
          <w:tcPr>
            <w:tcW w:w="2146" w:type="dxa"/>
            <w:gridSpan w:val="2"/>
            <w:noWrap w:val="0"/>
            <w:vAlign w:val="top"/>
          </w:tcPr>
          <w:p w14:paraId="344F9BFF">
            <w:pPr>
              <w:widowControl w:val="0"/>
              <w:spacing w:line="235" w:lineRule="exact"/>
              <w:jc w:val="both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</w:p>
        </w:tc>
        <w:tc>
          <w:tcPr>
            <w:tcW w:w="1572" w:type="dxa"/>
            <w:noWrap w:val="0"/>
            <w:vAlign w:val="top"/>
          </w:tcPr>
          <w:p w14:paraId="24E8662E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4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年初预算数</w:t>
            </w:r>
          </w:p>
        </w:tc>
        <w:tc>
          <w:tcPr>
            <w:tcW w:w="1047" w:type="dxa"/>
            <w:noWrap w:val="0"/>
            <w:vAlign w:val="top"/>
          </w:tcPr>
          <w:p w14:paraId="0903E38E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5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全年预算数</w:t>
            </w:r>
          </w:p>
        </w:tc>
        <w:tc>
          <w:tcPr>
            <w:tcW w:w="1287" w:type="dxa"/>
            <w:noWrap w:val="0"/>
            <w:vAlign w:val="top"/>
          </w:tcPr>
          <w:p w14:paraId="3FF3CB82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3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全年执行数</w:t>
            </w:r>
          </w:p>
        </w:tc>
        <w:tc>
          <w:tcPr>
            <w:tcW w:w="727" w:type="dxa"/>
            <w:noWrap w:val="0"/>
            <w:vAlign w:val="top"/>
          </w:tcPr>
          <w:p w14:paraId="2A6FCC72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6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86" w:type="dxa"/>
            <w:noWrap w:val="0"/>
            <w:vAlign w:val="top"/>
          </w:tcPr>
          <w:p w14:paraId="0FF91C0C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4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执行率</w:t>
            </w:r>
          </w:p>
        </w:tc>
        <w:tc>
          <w:tcPr>
            <w:tcW w:w="1474" w:type="dxa"/>
            <w:noWrap w:val="0"/>
            <w:vAlign w:val="top"/>
          </w:tcPr>
          <w:p w14:paraId="6A9B8FCD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36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eastAsia="zh-CN"/>
              </w:rPr>
              <w:t>自评得分</w:t>
            </w:r>
          </w:p>
        </w:tc>
      </w:tr>
      <w:tr w14:paraId="1D1C7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0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8F5A4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46" w:type="dxa"/>
            <w:gridSpan w:val="2"/>
            <w:noWrap w:val="0"/>
            <w:vAlign w:val="top"/>
          </w:tcPr>
          <w:p w14:paraId="1D5FB00D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46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年度资金总额</w:t>
            </w:r>
          </w:p>
        </w:tc>
        <w:tc>
          <w:tcPr>
            <w:tcW w:w="1572" w:type="dxa"/>
            <w:noWrap w:val="0"/>
            <w:vAlign w:val="center"/>
          </w:tcPr>
          <w:p w14:paraId="20B4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216.18</w:t>
            </w:r>
          </w:p>
        </w:tc>
        <w:tc>
          <w:tcPr>
            <w:tcW w:w="1047" w:type="dxa"/>
            <w:noWrap w:val="0"/>
            <w:vAlign w:val="center"/>
          </w:tcPr>
          <w:p w14:paraId="435E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247.42</w:t>
            </w:r>
          </w:p>
        </w:tc>
        <w:tc>
          <w:tcPr>
            <w:tcW w:w="1287" w:type="dxa"/>
            <w:noWrap w:val="0"/>
            <w:vAlign w:val="center"/>
          </w:tcPr>
          <w:p w14:paraId="2A53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242.42</w:t>
            </w:r>
          </w:p>
        </w:tc>
        <w:tc>
          <w:tcPr>
            <w:tcW w:w="727" w:type="dxa"/>
            <w:noWrap w:val="0"/>
            <w:vAlign w:val="center"/>
          </w:tcPr>
          <w:p w14:paraId="3264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86" w:type="dxa"/>
            <w:noWrap w:val="0"/>
            <w:vAlign w:val="center"/>
          </w:tcPr>
          <w:p w14:paraId="7F39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97.97%</w:t>
            </w:r>
          </w:p>
        </w:tc>
        <w:tc>
          <w:tcPr>
            <w:tcW w:w="1474" w:type="dxa"/>
            <w:noWrap w:val="0"/>
            <w:vAlign w:val="center"/>
          </w:tcPr>
          <w:p w14:paraId="1425E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9.80</w:t>
            </w:r>
          </w:p>
        </w:tc>
      </w:tr>
      <w:tr w14:paraId="27AFA3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0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BE4A7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765" w:type="dxa"/>
            <w:gridSpan w:val="4"/>
            <w:noWrap w:val="0"/>
            <w:vAlign w:val="top"/>
          </w:tcPr>
          <w:p w14:paraId="615E88DE">
            <w:pPr>
              <w:widowControl w:val="0"/>
              <w:kinsoku/>
              <w:autoSpaceDE/>
              <w:autoSpaceDN/>
              <w:adjustRightInd/>
              <w:snapToGrid/>
              <w:spacing w:before="22" w:line="206" w:lineRule="auto"/>
              <w:ind w:left="11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按收入性质分：</w:t>
            </w:r>
          </w:p>
        </w:tc>
        <w:tc>
          <w:tcPr>
            <w:tcW w:w="4374" w:type="dxa"/>
            <w:gridSpan w:val="4"/>
            <w:noWrap w:val="0"/>
            <w:vAlign w:val="top"/>
          </w:tcPr>
          <w:p w14:paraId="48BAC1AB">
            <w:pPr>
              <w:widowControl w:val="0"/>
              <w:kinsoku/>
              <w:autoSpaceDE/>
              <w:autoSpaceDN/>
              <w:adjustRightInd/>
              <w:snapToGrid/>
              <w:spacing w:before="22" w:line="206" w:lineRule="auto"/>
              <w:ind w:left="11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按支出性质分：</w:t>
            </w:r>
          </w:p>
        </w:tc>
      </w:tr>
      <w:tr w14:paraId="5609D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0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227B87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765" w:type="dxa"/>
            <w:gridSpan w:val="4"/>
            <w:noWrap w:val="0"/>
            <w:vAlign w:val="top"/>
          </w:tcPr>
          <w:p w14:paraId="6D371867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31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1"/>
                <w:kern w:val="2"/>
                <w:sz w:val="19"/>
                <w:szCs w:val="19"/>
                <w:lang w:eastAsia="zh-CN"/>
              </w:rPr>
              <w:t>其中：一般公共预算：222.13</w:t>
            </w:r>
          </w:p>
        </w:tc>
        <w:tc>
          <w:tcPr>
            <w:tcW w:w="4374" w:type="dxa"/>
            <w:gridSpan w:val="4"/>
            <w:noWrap w:val="0"/>
            <w:vAlign w:val="top"/>
          </w:tcPr>
          <w:p w14:paraId="63AFAC18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115"/>
              <w:jc w:val="both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其中：基本支出：209.06</w:t>
            </w:r>
          </w:p>
        </w:tc>
      </w:tr>
      <w:tr w14:paraId="334B58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0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A0B0D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765" w:type="dxa"/>
            <w:gridSpan w:val="4"/>
            <w:noWrap w:val="0"/>
            <w:vAlign w:val="top"/>
          </w:tcPr>
          <w:p w14:paraId="634C213C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916"/>
              <w:jc w:val="both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政府性基金拨款：</w:t>
            </w: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zh-CN"/>
              </w:rPr>
              <w:t>25.00</w:t>
            </w:r>
          </w:p>
        </w:tc>
        <w:tc>
          <w:tcPr>
            <w:tcW w:w="4374" w:type="dxa"/>
            <w:gridSpan w:val="4"/>
            <w:noWrap w:val="0"/>
            <w:vAlign w:val="top"/>
          </w:tcPr>
          <w:p w14:paraId="6BB3FC46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71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3"/>
                <w:kern w:val="2"/>
                <w:sz w:val="19"/>
                <w:szCs w:val="19"/>
                <w:lang w:eastAsia="zh-CN"/>
              </w:rPr>
              <w:t>项目支出：33.36</w:t>
            </w:r>
          </w:p>
        </w:tc>
      </w:tr>
      <w:tr w14:paraId="29749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0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37C1D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765" w:type="dxa"/>
            <w:gridSpan w:val="4"/>
            <w:noWrap w:val="0"/>
            <w:vAlign w:val="top"/>
          </w:tcPr>
          <w:p w14:paraId="477885F2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15"/>
              <w:jc w:val="both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374" w:type="dxa"/>
            <w:gridSpan w:val="4"/>
            <w:noWrap w:val="0"/>
            <w:vAlign w:val="top"/>
          </w:tcPr>
          <w:p w14:paraId="5196627B">
            <w:pPr>
              <w:widowControl w:val="0"/>
              <w:spacing w:line="235" w:lineRule="exact"/>
              <w:jc w:val="both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</w:p>
        </w:tc>
      </w:tr>
      <w:tr w14:paraId="6F7D8C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00" w:type="dxa"/>
            <w:vMerge w:val="continue"/>
            <w:tcBorders>
              <w:top w:val="nil"/>
            </w:tcBorders>
            <w:noWrap w:val="0"/>
            <w:vAlign w:val="top"/>
          </w:tcPr>
          <w:p w14:paraId="1E29AD0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765" w:type="dxa"/>
            <w:gridSpan w:val="4"/>
            <w:noWrap w:val="0"/>
            <w:vAlign w:val="top"/>
          </w:tcPr>
          <w:p w14:paraId="13C0097F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512"/>
              <w:jc w:val="both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eastAsia="zh-CN"/>
              </w:rPr>
              <w:t>其他资金：</w:t>
            </w: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val="en-US" w:eastAsia="zh-CN"/>
              </w:rPr>
              <w:t>0.29</w:t>
            </w:r>
          </w:p>
        </w:tc>
        <w:tc>
          <w:tcPr>
            <w:tcW w:w="4374" w:type="dxa"/>
            <w:gridSpan w:val="4"/>
            <w:noWrap w:val="0"/>
            <w:vAlign w:val="top"/>
          </w:tcPr>
          <w:p w14:paraId="390C1B80">
            <w:pPr>
              <w:widowControl w:val="0"/>
              <w:spacing w:line="235" w:lineRule="exact"/>
              <w:jc w:val="both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</w:p>
        </w:tc>
      </w:tr>
      <w:tr w14:paraId="25069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00" w:type="dxa"/>
            <w:vMerge w:val="restart"/>
            <w:tcBorders>
              <w:bottom w:val="nil"/>
            </w:tcBorders>
            <w:noWrap w:val="0"/>
            <w:vAlign w:val="top"/>
          </w:tcPr>
          <w:p w14:paraId="1D1051FE">
            <w:pPr>
              <w:widowControl w:val="0"/>
              <w:spacing w:line="24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C6DD6DE">
            <w:pPr>
              <w:widowControl w:val="0"/>
              <w:spacing w:line="243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6AAF364">
            <w:pPr>
              <w:widowControl w:val="0"/>
              <w:kinsoku/>
              <w:autoSpaceDE/>
              <w:autoSpaceDN/>
              <w:adjustRightInd/>
              <w:snapToGrid/>
              <w:spacing w:before="62" w:line="230" w:lineRule="auto"/>
              <w:ind w:left="382" w:right="139" w:hanging="23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年度总体</w:t>
            </w:r>
            <w:r>
              <w:rPr>
                <w:rFonts w:hint="eastAsia" w:ascii="宋体" w:hAnsi="宋体" w:eastAsia="宋体" w:cs="宋体"/>
                <w:snapToGrid/>
                <w:spacing w:val="-7"/>
                <w:kern w:val="2"/>
                <w:sz w:val="19"/>
                <w:szCs w:val="19"/>
                <w:lang w:eastAsia="zh-CN"/>
              </w:rPr>
              <w:t>目标</w:t>
            </w:r>
          </w:p>
        </w:tc>
        <w:tc>
          <w:tcPr>
            <w:tcW w:w="4765" w:type="dxa"/>
            <w:gridSpan w:val="4"/>
            <w:noWrap w:val="0"/>
            <w:vAlign w:val="top"/>
          </w:tcPr>
          <w:p w14:paraId="6DB09C7B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95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预期目标</w:t>
            </w:r>
          </w:p>
        </w:tc>
        <w:tc>
          <w:tcPr>
            <w:tcW w:w="4374" w:type="dxa"/>
            <w:gridSpan w:val="4"/>
            <w:noWrap w:val="0"/>
            <w:vAlign w:val="top"/>
          </w:tcPr>
          <w:p w14:paraId="618859C1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56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实际完成情况</w:t>
            </w:r>
          </w:p>
        </w:tc>
      </w:tr>
      <w:tr w14:paraId="60A701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7" w:hRule="atLeast"/>
        </w:trPr>
        <w:tc>
          <w:tcPr>
            <w:tcW w:w="1100" w:type="dxa"/>
            <w:vMerge w:val="continue"/>
            <w:tcBorders>
              <w:top w:val="nil"/>
            </w:tcBorders>
            <w:noWrap w:val="0"/>
            <w:vAlign w:val="top"/>
          </w:tcPr>
          <w:p w14:paraId="1A28F5C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765" w:type="dxa"/>
            <w:gridSpan w:val="4"/>
            <w:noWrap w:val="0"/>
            <w:vAlign w:val="top"/>
          </w:tcPr>
          <w:p w14:paraId="4026F0C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1.开展下企业调研、下协会座谈工作，探研我区文体产业服务，做好企业与政府之间红娘，把政策送入企业，把企业经营状况等相关数据呈上来，为政府决策提供数据支持。2.为发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展和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推动我区竞技体育长足发展，积极推动攀岩、体操等项目进入校园，发展体育特色学校。积极推动校园选才工作。联合社会体育机构，入驻区直各中小学及部分幼儿园选才。经过试训与测试，向省体操、攀岩、蹦床中心输送优秀运动员苗子。3.根据岳阳楼区竞技体育工作实际情况，探寻与社会体育企业合作，发展强大竞技体育后备人才。</w:t>
            </w:r>
          </w:p>
        </w:tc>
        <w:tc>
          <w:tcPr>
            <w:tcW w:w="4374" w:type="dxa"/>
            <w:gridSpan w:val="4"/>
            <w:noWrap w:val="0"/>
            <w:vAlign w:val="top"/>
          </w:tcPr>
          <w:p w14:paraId="5C354071">
            <w:pPr>
              <w:widowControl w:val="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圆满完成年度预期目标</w:t>
            </w:r>
          </w:p>
        </w:tc>
      </w:tr>
      <w:tr w14:paraId="6D8E9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100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3681881">
            <w:pPr>
              <w:widowControl w:val="0"/>
              <w:spacing w:line="364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6344E8D">
            <w:pPr>
              <w:widowControl w:val="0"/>
              <w:kinsoku/>
              <w:autoSpaceDE/>
              <w:autoSpaceDN/>
              <w:adjustRightInd/>
              <w:snapToGrid/>
              <w:spacing w:before="64" w:line="216" w:lineRule="auto"/>
              <w:ind w:left="316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9"/>
                <w:kern w:val="2"/>
                <w:sz w:val="19"/>
                <w:szCs w:val="19"/>
                <w:lang w:eastAsia="zh-CN"/>
              </w:rPr>
              <w:t>绩效指标</w:t>
            </w:r>
          </w:p>
        </w:tc>
        <w:tc>
          <w:tcPr>
            <w:tcW w:w="884" w:type="dxa"/>
            <w:tcBorders>
              <w:bottom w:val="single" w:color="auto" w:sz="4" w:space="0"/>
            </w:tcBorders>
            <w:noWrap w:val="0"/>
            <w:vAlign w:val="top"/>
          </w:tcPr>
          <w:p w14:paraId="05DA0234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5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一级指标</w:t>
            </w:r>
          </w:p>
        </w:tc>
        <w:tc>
          <w:tcPr>
            <w:tcW w:w="1262" w:type="dxa"/>
            <w:tcBorders>
              <w:bottom w:val="single" w:color="auto" w:sz="4" w:space="0"/>
            </w:tcBorders>
            <w:noWrap w:val="0"/>
            <w:vAlign w:val="top"/>
          </w:tcPr>
          <w:p w14:paraId="78353052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3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二级指标</w:t>
            </w: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vAlign w:val="top"/>
          </w:tcPr>
          <w:p w14:paraId="10BECC92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25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三级指标</w:t>
            </w:r>
          </w:p>
        </w:tc>
        <w:tc>
          <w:tcPr>
            <w:tcW w:w="1047" w:type="dxa"/>
            <w:tcBorders>
              <w:bottom w:val="single" w:color="auto" w:sz="4" w:space="0"/>
            </w:tcBorders>
            <w:noWrap w:val="0"/>
            <w:vAlign w:val="top"/>
          </w:tcPr>
          <w:p w14:paraId="05146743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1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年度指标值</w:t>
            </w:r>
          </w:p>
        </w:tc>
        <w:tc>
          <w:tcPr>
            <w:tcW w:w="1287" w:type="dxa"/>
            <w:noWrap w:val="0"/>
            <w:vAlign w:val="top"/>
          </w:tcPr>
          <w:p w14:paraId="000D583D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实际完成值</w:t>
            </w:r>
          </w:p>
        </w:tc>
        <w:tc>
          <w:tcPr>
            <w:tcW w:w="727" w:type="dxa"/>
            <w:noWrap w:val="0"/>
            <w:vAlign w:val="top"/>
          </w:tcPr>
          <w:p w14:paraId="150C17DB">
            <w:pPr>
              <w:widowControl w:val="0"/>
              <w:kinsoku/>
              <w:autoSpaceDE/>
              <w:autoSpaceDN/>
              <w:adjustRightInd/>
              <w:snapToGrid/>
              <w:spacing w:before="141" w:line="227" w:lineRule="auto"/>
              <w:ind w:left="16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86" w:type="dxa"/>
            <w:noWrap w:val="0"/>
            <w:vAlign w:val="top"/>
          </w:tcPr>
          <w:p w14:paraId="6FDF13B8">
            <w:pPr>
              <w:widowControl w:val="0"/>
              <w:kinsoku/>
              <w:autoSpaceDE/>
              <w:autoSpaceDN/>
              <w:adjustRightInd/>
              <w:snapToGrid/>
              <w:spacing w:before="174" w:line="218" w:lineRule="auto"/>
              <w:ind w:left="15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9"/>
                <w:kern w:val="2"/>
                <w:sz w:val="16"/>
                <w:szCs w:val="16"/>
                <w:lang w:eastAsia="zh-CN"/>
              </w:rPr>
              <w:t>自评得分</w:t>
            </w:r>
          </w:p>
        </w:tc>
        <w:tc>
          <w:tcPr>
            <w:tcW w:w="1474" w:type="dxa"/>
            <w:noWrap w:val="0"/>
            <w:vAlign w:val="top"/>
          </w:tcPr>
          <w:p w14:paraId="14B84B29">
            <w:pPr>
              <w:widowControl w:val="0"/>
              <w:kinsoku/>
              <w:autoSpaceDE/>
              <w:autoSpaceDN/>
              <w:adjustRightInd/>
              <w:snapToGrid/>
              <w:spacing w:before="21" w:line="220" w:lineRule="auto"/>
              <w:ind w:left="111" w:right="109" w:firstLine="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13"/>
                <w:kern w:val="2"/>
                <w:sz w:val="19"/>
                <w:szCs w:val="19"/>
                <w:lang w:eastAsia="zh-CN"/>
              </w:rPr>
              <w:t>偏差原因分析</w:t>
            </w: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及改进措施</w:t>
            </w:r>
          </w:p>
        </w:tc>
      </w:tr>
      <w:tr w14:paraId="71DAA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110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5AB99E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FB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产出指标</w:t>
            </w:r>
          </w:p>
        </w:tc>
        <w:tc>
          <w:tcPr>
            <w:tcW w:w="12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98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 w:bidi="ar-SA"/>
              </w:rPr>
              <w:t>数量指标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B8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 w:bidi="ar-SA"/>
              </w:rPr>
              <w:t>下文化体育产业企业调研座谈次数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9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87" w:type="dxa"/>
            <w:tcBorders>
              <w:left w:val="single" w:color="auto" w:sz="4" w:space="0"/>
            </w:tcBorders>
            <w:noWrap w:val="0"/>
            <w:vAlign w:val="center"/>
          </w:tcPr>
          <w:p w14:paraId="4AB0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27" w:type="dxa"/>
            <w:noWrap w:val="0"/>
            <w:vAlign w:val="center"/>
          </w:tcPr>
          <w:p w14:paraId="0D062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86" w:type="dxa"/>
            <w:noWrap w:val="0"/>
            <w:vAlign w:val="center"/>
          </w:tcPr>
          <w:p w14:paraId="5FC81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74" w:type="dxa"/>
            <w:noWrap w:val="0"/>
            <w:vAlign w:val="top"/>
          </w:tcPr>
          <w:p w14:paraId="2D1FC12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6033D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10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FB12B5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81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2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B7983">
            <w:pP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3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 w:bidi="ar-SA"/>
              </w:rPr>
              <w:t>输送体育优秀人才数量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8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tcBorders>
              <w:left w:val="single" w:color="auto" w:sz="4" w:space="0"/>
            </w:tcBorders>
            <w:noWrap w:val="0"/>
            <w:vAlign w:val="center"/>
          </w:tcPr>
          <w:p w14:paraId="4581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727" w:type="dxa"/>
            <w:noWrap w:val="0"/>
            <w:vAlign w:val="center"/>
          </w:tcPr>
          <w:p w14:paraId="56AA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86" w:type="dxa"/>
            <w:noWrap w:val="0"/>
            <w:vAlign w:val="center"/>
          </w:tcPr>
          <w:p w14:paraId="25E4A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474" w:type="dxa"/>
            <w:noWrap w:val="0"/>
            <w:vAlign w:val="top"/>
          </w:tcPr>
          <w:p w14:paraId="3A398E2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52271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0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5C8984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1B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08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  <w:t>质量指标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94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  <w:t>各项任务完成率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87" w:type="dxa"/>
            <w:tcBorders>
              <w:left w:val="single" w:color="auto" w:sz="4" w:space="0"/>
            </w:tcBorders>
            <w:noWrap w:val="0"/>
            <w:vAlign w:val="center"/>
          </w:tcPr>
          <w:p w14:paraId="571C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727" w:type="dxa"/>
            <w:noWrap w:val="0"/>
            <w:vAlign w:val="center"/>
          </w:tcPr>
          <w:p w14:paraId="025A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86" w:type="dxa"/>
            <w:noWrap w:val="0"/>
            <w:vAlign w:val="center"/>
          </w:tcPr>
          <w:p w14:paraId="69C2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74" w:type="dxa"/>
            <w:noWrap w:val="0"/>
            <w:vAlign w:val="top"/>
          </w:tcPr>
          <w:p w14:paraId="002C8C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12112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10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D61395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7D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D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  <w:t>时效指标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62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  <w:t>履职工作任务完成时间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4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  <w:tc>
          <w:tcPr>
            <w:tcW w:w="1287" w:type="dxa"/>
            <w:tcBorders>
              <w:left w:val="single" w:color="auto" w:sz="4" w:space="0"/>
            </w:tcBorders>
            <w:noWrap w:val="0"/>
            <w:vAlign w:val="center"/>
          </w:tcPr>
          <w:p w14:paraId="5DB0F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2024年度</w:t>
            </w:r>
          </w:p>
        </w:tc>
        <w:tc>
          <w:tcPr>
            <w:tcW w:w="727" w:type="dxa"/>
            <w:noWrap w:val="0"/>
            <w:vAlign w:val="center"/>
          </w:tcPr>
          <w:p w14:paraId="136B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86" w:type="dxa"/>
            <w:noWrap w:val="0"/>
            <w:vAlign w:val="center"/>
          </w:tcPr>
          <w:p w14:paraId="1F66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74" w:type="dxa"/>
            <w:noWrap w:val="0"/>
            <w:vAlign w:val="top"/>
          </w:tcPr>
          <w:p w14:paraId="6E5C4E04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3C4C16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10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775772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A8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kern w:val="2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9C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  <w:t>社会效益指标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6D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  <w:t>文化体育产业蓬勃发展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F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</w:t>
            </w:r>
          </w:p>
        </w:tc>
        <w:tc>
          <w:tcPr>
            <w:tcW w:w="1287" w:type="dxa"/>
            <w:tcBorders>
              <w:left w:val="single" w:color="auto" w:sz="4" w:space="0"/>
            </w:tcBorders>
            <w:noWrap w:val="0"/>
            <w:vAlign w:val="center"/>
          </w:tcPr>
          <w:p w14:paraId="291B0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727" w:type="dxa"/>
            <w:noWrap w:val="0"/>
            <w:vAlign w:val="center"/>
          </w:tcPr>
          <w:p w14:paraId="7468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86" w:type="dxa"/>
            <w:noWrap w:val="0"/>
            <w:vAlign w:val="center"/>
          </w:tcPr>
          <w:p w14:paraId="3A76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474" w:type="dxa"/>
            <w:noWrap w:val="0"/>
            <w:vAlign w:val="top"/>
          </w:tcPr>
          <w:p w14:paraId="783AE18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0965E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10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7EC748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AE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kern w:val="2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02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  <w:t>服务对象满意度指标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8C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  <w:t>社会公众满意度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4B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87" w:type="dxa"/>
            <w:tcBorders>
              <w:left w:val="single" w:color="auto" w:sz="4" w:space="0"/>
            </w:tcBorders>
            <w:noWrap w:val="0"/>
            <w:vAlign w:val="center"/>
          </w:tcPr>
          <w:p w14:paraId="1F9D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727" w:type="dxa"/>
            <w:noWrap w:val="0"/>
            <w:vAlign w:val="center"/>
          </w:tcPr>
          <w:p w14:paraId="21B1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86" w:type="dxa"/>
            <w:noWrap w:val="0"/>
            <w:vAlign w:val="center"/>
          </w:tcPr>
          <w:p w14:paraId="1FB8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474" w:type="dxa"/>
            <w:noWrap w:val="0"/>
            <w:vAlign w:val="top"/>
          </w:tcPr>
          <w:p w14:paraId="6224773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5B90C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10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D519C7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ED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kern w:val="2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51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  <w:t>经济成本指标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49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21"/>
                <w:szCs w:val="21"/>
                <w:lang w:val="en-US" w:eastAsia="zh-CN"/>
              </w:rPr>
              <w:t>成本节约率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B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tcBorders>
              <w:left w:val="single" w:color="auto" w:sz="4" w:space="0"/>
            </w:tcBorders>
            <w:noWrap w:val="0"/>
            <w:vAlign w:val="center"/>
          </w:tcPr>
          <w:p w14:paraId="5C78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7" w:type="dxa"/>
            <w:noWrap w:val="0"/>
            <w:vAlign w:val="center"/>
          </w:tcPr>
          <w:p w14:paraId="08A0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86" w:type="dxa"/>
            <w:noWrap w:val="0"/>
            <w:vAlign w:val="center"/>
          </w:tcPr>
          <w:p w14:paraId="5687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74" w:type="dxa"/>
            <w:noWrap w:val="0"/>
            <w:vAlign w:val="top"/>
          </w:tcPr>
          <w:p w14:paraId="613D1D0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40D9F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152" w:type="dxa"/>
            <w:gridSpan w:val="6"/>
            <w:noWrap w:val="0"/>
            <w:vAlign w:val="top"/>
          </w:tcPr>
          <w:p w14:paraId="05677E6C">
            <w:pPr>
              <w:widowControl w:val="0"/>
              <w:kinsoku/>
              <w:autoSpaceDE/>
              <w:autoSpaceDN/>
              <w:adjustRightInd/>
              <w:snapToGrid/>
              <w:spacing w:before="41" w:line="221" w:lineRule="auto"/>
              <w:ind w:left="334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1"/>
                <w:kern w:val="2"/>
                <w:sz w:val="19"/>
                <w:szCs w:val="19"/>
                <w:lang w:eastAsia="zh-CN"/>
              </w:rPr>
              <w:t>总分</w:t>
            </w:r>
          </w:p>
        </w:tc>
        <w:tc>
          <w:tcPr>
            <w:tcW w:w="727" w:type="dxa"/>
            <w:noWrap w:val="0"/>
            <w:vAlign w:val="top"/>
          </w:tcPr>
          <w:p w14:paraId="7285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</w:t>
            </w:r>
          </w:p>
        </w:tc>
        <w:tc>
          <w:tcPr>
            <w:tcW w:w="886" w:type="dxa"/>
            <w:noWrap w:val="0"/>
            <w:vAlign w:val="top"/>
          </w:tcPr>
          <w:p w14:paraId="18D2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96.80</w:t>
            </w:r>
          </w:p>
        </w:tc>
        <w:tc>
          <w:tcPr>
            <w:tcW w:w="1474" w:type="dxa"/>
            <w:noWrap w:val="0"/>
            <w:vAlign w:val="top"/>
          </w:tcPr>
          <w:p w14:paraId="26D52A2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</w:tbl>
    <w:p w14:paraId="7BCB421B">
      <w:pPr>
        <w:widowControl w:val="0"/>
        <w:kinsoku/>
        <w:autoSpaceDE/>
        <w:autoSpaceDN/>
        <w:adjustRightInd/>
        <w:snapToGrid/>
        <w:spacing w:line="132" w:lineRule="exact"/>
        <w:jc w:val="both"/>
        <w:textAlignment w:val="auto"/>
        <w:rPr>
          <w:rFonts w:ascii="Calibri" w:hAnsi="Calibri" w:eastAsia="宋体" w:cs="Times New Roman"/>
          <w:snapToGrid/>
          <w:kern w:val="2"/>
          <w:szCs w:val="24"/>
          <w:lang w:eastAsia="zh-CN"/>
        </w:rPr>
      </w:pPr>
    </w:p>
    <w:p w14:paraId="1C386288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</w:pPr>
    </w:p>
    <w:p w14:paraId="28324105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hint="eastAsia" w:ascii="方正小标宋简体" w:hAnsi="方正小标宋简体" w:eastAsia="黑体" w:cs="方正小标宋简体"/>
          <w:snapToGrid/>
          <w:kern w:val="2"/>
          <w:sz w:val="31"/>
          <w:szCs w:val="31"/>
          <w:lang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napToGrid/>
          <w:spacing w:val="-68"/>
          <w:kern w:val="2"/>
          <w:sz w:val="31"/>
          <w:szCs w:val="31"/>
          <w:lang w:val="en-US" w:eastAsia="zh-CN"/>
        </w:rPr>
        <w:t>3</w:t>
      </w:r>
    </w:p>
    <w:p w14:paraId="2DCFF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年度项目支出绩效自评表</w:t>
      </w:r>
    </w:p>
    <w:tbl>
      <w:tblPr>
        <w:tblStyle w:val="6"/>
        <w:tblW w:w="9919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2"/>
        <w:gridCol w:w="1056"/>
        <w:gridCol w:w="937"/>
        <w:gridCol w:w="1218"/>
        <w:gridCol w:w="1221"/>
        <w:gridCol w:w="1254"/>
        <w:gridCol w:w="659"/>
        <w:gridCol w:w="855"/>
        <w:gridCol w:w="165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3055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864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62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432" w:type="dxa"/>
            <w:gridSpan w:val="4"/>
            <w:noWrap w:val="0"/>
            <w:vAlign w:val="top"/>
          </w:tcPr>
          <w:p w14:paraId="4ECEE460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171" w:type="dxa"/>
            <w:gridSpan w:val="3"/>
            <w:noWrap w:val="0"/>
            <w:vAlign w:val="top"/>
          </w:tcPr>
          <w:p w14:paraId="7764AAE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62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1993" w:type="dxa"/>
            <w:gridSpan w:val="2"/>
            <w:noWrap w:val="0"/>
            <w:vAlign w:val="top"/>
          </w:tcPr>
          <w:p w14:paraId="515D5F5F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21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54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59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55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5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993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18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21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54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59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55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5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993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18" w:type="dxa"/>
            <w:noWrap w:val="0"/>
            <w:vAlign w:val="top"/>
          </w:tcPr>
          <w:p w14:paraId="7E9EEA2A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0CC4F8A8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44D50660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4445CE1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0AF0AD42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3814537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993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18" w:type="dxa"/>
            <w:noWrap w:val="0"/>
            <w:vAlign w:val="top"/>
          </w:tcPr>
          <w:p w14:paraId="3BA4D343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1F3A70CC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5DBEAA48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6C42D4CA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606A9AEA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48F3E276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62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993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18" w:type="dxa"/>
            <w:noWrap w:val="0"/>
            <w:vAlign w:val="top"/>
          </w:tcPr>
          <w:p w14:paraId="20BA1DD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7A512976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2BDCC8C9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702364B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3317D8E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5C8BFB2E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62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43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425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62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432" w:type="dxa"/>
            <w:gridSpan w:val="4"/>
            <w:noWrap w:val="0"/>
            <w:vAlign w:val="top"/>
          </w:tcPr>
          <w:p w14:paraId="471A0C56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425" w:type="dxa"/>
            <w:gridSpan w:val="4"/>
            <w:noWrap w:val="0"/>
            <w:vAlign w:val="top"/>
          </w:tcPr>
          <w:p w14:paraId="190F633D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062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7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绩效指标</w:t>
            </w:r>
          </w:p>
        </w:tc>
        <w:tc>
          <w:tcPr>
            <w:tcW w:w="1056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37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18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21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54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59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55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5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7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7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7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7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37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18" w:type="dxa"/>
            <w:noWrap w:val="0"/>
            <w:vAlign w:val="top"/>
          </w:tcPr>
          <w:p w14:paraId="11D1E417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7E6A6A6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2419279B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5216645F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043AED62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4432A305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noWrap w:val="0"/>
            <w:vAlign w:val="top"/>
          </w:tcPr>
          <w:p w14:paraId="59AACE30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602F2726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2EC13BA2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14CDEA4A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203BA5AA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70084FE4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1" w:type="dxa"/>
            <w:noWrap w:val="0"/>
            <w:vAlign w:val="top"/>
          </w:tcPr>
          <w:p w14:paraId="26D44AA4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37630E1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0E04D13A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349374DC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14DADA7D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18" w:type="dxa"/>
            <w:noWrap w:val="0"/>
            <w:vAlign w:val="top"/>
          </w:tcPr>
          <w:p w14:paraId="0148B337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4823DCF5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525105DB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641D9E5F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32878C84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47A8DC79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noWrap w:val="0"/>
            <w:vAlign w:val="top"/>
          </w:tcPr>
          <w:p w14:paraId="117E057C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2135E6D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617146DD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54A41D5C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3D0C0E42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7B05CEB5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1" w:type="dxa"/>
            <w:noWrap w:val="0"/>
            <w:vAlign w:val="top"/>
          </w:tcPr>
          <w:p w14:paraId="734614CB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7466664B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308B28A1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5C5780E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0CC87003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18" w:type="dxa"/>
            <w:noWrap w:val="0"/>
            <w:vAlign w:val="top"/>
          </w:tcPr>
          <w:p w14:paraId="6B534F44">
            <w:pPr>
              <w:pStyle w:val="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1420114D">
            <w:pPr>
              <w:pStyle w:val="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646B9492">
            <w:pPr>
              <w:pStyle w:val="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35292492">
            <w:pPr>
              <w:pStyle w:val="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036EBF21">
            <w:pPr>
              <w:pStyle w:val="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4A379C84">
            <w:pPr>
              <w:pStyle w:val="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noWrap w:val="0"/>
            <w:vAlign w:val="top"/>
          </w:tcPr>
          <w:p w14:paraId="65A6954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621C1812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2FFF14F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145470A7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0ACA8722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65F71F41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1" w:type="dxa"/>
            <w:noWrap w:val="0"/>
            <w:vAlign w:val="top"/>
          </w:tcPr>
          <w:p w14:paraId="385A8DE1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55BD26F6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6B4B40B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4702EBFB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69C5BDF9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18" w:type="dxa"/>
            <w:noWrap w:val="0"/>
            <w:vAlign w:val="top"/>
          </w:tcPr>
          <w:p w14:paraId="6056172C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3FF4FA2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123B4184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2E1446C0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25D24D2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26B1DC69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noWrap w:val="0"/>
            <w:vAlign w:val="top"/>
          </w:tcPr>
          <w:p w14:paraId="7B607BCF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7C45742F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1F295BAB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2DDDAEAA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4E71116D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68E89FC9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1" w:type="dxa"/>
            <w:noWrap w:val="0"/>
            <w:vAlign w:val="top"/>
          </w:tcPr>
          <w:p w14:paraId="50EC68F7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7AE39FFC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17D927E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13B4D6A5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3CCA709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7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7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7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37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61D63FF9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4D87BE8D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6B9BA294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261AF963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019922D3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7EEAFAC9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03DCA6F9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48D71693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5F497C0C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55B0CCE6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1" w:type="dxa"/>
            <w:noWrap w:val="0"/>
            <w:vAlign w:val="top"/>
          </w:tcPr>
          <w:p w14:paraId="1AADCD0F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7D9C8C0D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6CE63D1A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22454B7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2FDC751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458180B5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4DFB6C05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14B100BF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2C4792CF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3302C13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77E8AA13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4AE78AE7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16E3728C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0907B545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47BA3E6C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1" w:type="dxa"/>
            <w:noWrap w:val="0"/>
            <w:vAlign w:val="top"/>
          </w:tcPr>
          <w:p w14:paraId="13D76284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5D911D77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216ABF73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356427C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72F674BF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67526477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654EE2E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64D33932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2B0E379D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6F4D039C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090B3705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0C2FB14A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1F5BBC4F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2848A2A1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210C2141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1" w:type="dxa"/>
            <w:noWrap w:val="0"/>
            <w:vAlign w:val="top"/>
          </w:tcPr>
          <w:p w14:paraId="48414821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63C34834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0DEB4143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679658E4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4C1F848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049CCA61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116442A6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31EBC6A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481D0D05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006ECA5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57F42652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286FFAF2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1C9E2707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5BF659F0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357B1293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106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1" w:type="dxa"/>
            <w:noWrap w:val="0"/>
            <w:vAlign w:val="top"/>
          </w:tcPr>
          <w:p w14:paraId="649601FF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14AD27A6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02ECAD60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02353567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6DA4B57C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37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18" w:type="dxa"/>
            <w:noWrap w:val="0"/>
            <w:vAlign w:val="top"/>
          </w:tcPr>
          <w:p w14:paraId="6798B32C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5B880A70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05B7FD3D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453588A6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2FF5D9C8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235D0C8E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106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noWrap w:val="0"/>
            <w:vAlign w:val="top"/>
          </w:tcPr>
          <w:p w14:paraId="1A24CEEB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1" w:type="dxa"/>
            <w:noWrap w:val="0"/>
            <w:vAlign w:val="top"/>
          </w:tcPr>
          <w:p w14:paraId="1D561E76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5DA27A8A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772692B7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2DA09496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1B3B1649">
            <w:pPr>
              <w:pStyle w:val="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062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56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8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1" w:type="dxa"/>
            <w:noWrap w:val="0"/>
            <w:vAlign w:val="top"/>
          </w:tcPr>
          <w:p w14:paraId="350F6279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54" w:type="dxa"/>
            <w:noWrap w:val="0"/>
            <w:vAlign w:val="top"/>
          </w:tcPr>
          <w:p w14:paraId="16C008C8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9" w:type="dxa"/>
            <w:noWrap w:val="0"/>
            <w:vAlign w:val="top"/>
          </w:tcPr>
          <w:p w14:paraId="53AB53EB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5" w:type="dxa"/>
            <w:noWrap w:val="0"/>
            <w:vAlign w:val="top"/>
          </w:tcPr>
          <w:p w14:paraId="6C98CA94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57" w:type="dxa"/>
            <w:noWrap w:val="0"/>
            <w:vAlign w:val="top"/>
          </w:tcPr>
          <w:p w14:paraId="33DC459F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6748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59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55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57" w:type="dxa"/>
            <w:noWrap w:val="0"/>
            <w:vAlign w:val="top"/>
          </w:tcPr>
          <w:p w14:paraId="3551CDCE">
            <w:pPr>
              <w:pStyle w:val="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1D783628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269E493F">
      <w:pPr>
        <w:spacing w:before="61" w:line="224" w:lineRule="auto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b/>
          <w:bCs/>
          <w:spacing w:val="3"/>
          <w:sz w:val="30"/>
          <w:szCs w:val="30"/>
        </w:rPr>
        <w:t>附件</w:t>
      </w:r>
      <w:r>
        <w:rPr>
          <w:rFonts w:hint="eastAsia" w:ascii="黑体" w:hAnsi="黑体" w:eastAsia="黑体" w:cs="黑体"/>
          <w:spacing w:val="3"/>
          <w:sz w:val="30"/>
          <w:szCs w:val="30"/>
          <w:lang w:val="en-US" w:eastAsia="zh-CN"/>
        </w:rPr>
        <w:t>4</w:t>
      </w:r>
    </w:p>
    <w:p w14:paraId="163FBED1">
      <w:pPr>
        <w:pStyle w:val="3"/>
        <w:spacing w:line="249" w:lineRule="auto"/>
      </w:pPr>
    </w:p>
    <w:p w14:paraId="21C21448">
      <w:pPr>
        <w:pStyle w:val="3"/>
        <w:spacing w:line="250" w:lineRule="auto"/>
      </w:pPr>
    </w:p>
    <w:p w14:paraId="10C6C128">
      <w:pPr>
        <w:pStyle w:val="3"/>
        <w:spacing w:line="250" w:lineRule="auto"/>
      </w:pPr>
    </w:p>
    <w:p w14:paraId="0CA9F409">
      <w:pPr>
        <w:pStyle w:val="3"/>
        <w:spacing w:line="250" w:lineRule="auto"/>
      </w:pPr>
    </w:p>
    <w:p w14:paraId="1AE98D96">
      <w:pPr>
        <w:pStyle w:val="3"/>
        <w:spacing w:line="250" w:lineRule="auto"/>
      </w:pPr>
    </w:p>
    <w:p w14:paraId="03199114">
      <w:pPr>
        <w:pStyle w:val="3"/>
        <w:spacing w:line="250" w:lineRule="auto"/>
      </w:pPr>
    </w:p>
    <w:p w14:paraId="358666DA">
      <w:pPr>
        <w:pStyle w:val="3"/>
        <w:spacing w:line="250" w:lineRule="auto"/>
      </w:pPr>
    </w:p>
    <w:p w14:paraId="0D3FDD45">
      <w:pPr>
        <w:pStyle w:val="3"/>
        <w:spacing w:line="250" w:lineRule="auto"/>
      </w:pPr>
    </w:p>
    <w:p w14:paraId="54EDAA32">
      <w:pPr>
        <w:pStyle w:val="3"/>
        <w:spacing w:line="250" w:lineRule="auto"/>
      </w:pPr>
    </w:p>
    <w:p w14:paraId="1B9570A4">
      <w:pPr>
        <w:pStyle w:val="3"/>
        <w:spacing w:line="250" w:lineRule="auto"/>
      </w:pPr>
    </w:p>
    <w:p w14:paraId="7E275CD7">
      <w:pPr>
        <w:spacing w:before="143" w:line="286" w:lineRule="auto"/>
        <w:ind w:left="2167" w:hanging="1840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b/>
          <w:bCs/>
          <w:sz w:val="44"/>
          <w:szCs w:val="44"/>
        </w:rPr>
        <w:t>2024年度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岳阳市</w:t>
      </w:r>
      <w:r>
        <w:rPr>
          <w:rFonts w:ascii="黑体" w:hAnsi="黑体" w:eastAsia="黑体" w:cs="黑体"/>
          <w:b/>
          <w:bCs/>
          <w:sz w:val="44"/>
          <w:szCs w:val="44"/>
        </w:rPr>
        <w:t>岳阳楼区文化旅游体育产业服务中</w:t>
      </w:r>
      <w:r>
        <w:rPr>
          <w:rFonts w:ascii="黑体" w:hAnsi="黑体" w:eastAsia="黑体" w:cs="黑体"/>
          <w:b/>
          <w:bCs/>
          <w:spacing w:val="-4"/>
          <w:sz w:val="44"/>
          <w:szCs w:val="44"/>
        </w:rPr>
        <w:t>心整体支出绩效自评报告</w:t>
      </w:r>
    </w:p>
    <w:p w14:paraId="3E9533F9">
      <w:pPr>
        <w:pStyle w:val="3"/>
        <w:spacing w:line="247" w:lineRule="auto"/>
      </w:pPr>
    </w:p>
    <w:p w14:paraId="3FAA515E">
      <w:pPr>
        <w:pStyle w:val="3"/>
        <w:spacing w:line="247" w:lineRule="auto"/>
      </w:pPr>
    </w:p>
    <w:p w14:paraId="7A6C3C7B">
      <w:pPr>
        <w:pStyle w:val="3"/>
        <w:spacing w:line="247" w:lineRule="auto"/>
      </w:pPr>
    </w:p>
    <w:p w14:paraId="17B8B722">
      <w:pPr>
        <w:pStyle w:val="3"/>
        <w:spacing w:line="247" w:lineRule="auto"/>
      </w:pPr>
    </w:p>
    <w:p w14:paraId="07E138A6">
      <w:pPr>
        <w:pStyle w:val="3"/>
        <w:spacing w:line="247" w:lineRule="auto"/>
      </w:pPr>
    </w:p>
    <w:p w14:paraId="53365A7E">
      <w:pPr>
        <w:pStyle w:val="3"/>
        <w:spacing w:line="247" w:lineRule="auto"/>
      </w:pPr>
    </w:p>
    <w:p w14:paraId="473E5356">
      <w:pPr>
        <w:pStyle w:val="3"/>
        <w:spacing w:line="247" w:lineRule="auto"/>
      </w:pPr>
    </w:p>
    <w:p w14:paraId="02B1B20E">
      <w:pPr>
        <w:pStyle w:val="3"/>
        <w:spacing w:line="247" w:lineRule="auto"/>
      </w:pPr>
    </w:p>
    <w:p w14:paraId="03DBF54E">
      <w:pPr>
        <w:pStyle w:val="3"/>
        <w:spacing w:line="247" w:lineRule="auto"/>
      </w:pPr>
    </w:p>
    <w:p w14:paraId="6851D23C">
      <w:pPr>
        <w:pStyle w:val="3"/>
        <w:spacing w:line="247" w:lineRule="auto"/>
      </w:pPr>
    </w:p>
    <w:p w14:paraId="39209265">
      <w:pPr>
        <w:pStyle w:val="3"/>
        <w:spacing w:line="247" w:lineRule="auto"/>
      </w:pPr>
    </w:p>
    <w:p w14:paraId="48209923">
      <w:pPr>
        <w:pStyle w:val="3"/>
        <w:spacing w:line="247" w:lineRule="auto"/>
      </w:pPr>
    </w:p>
    <w:p w14:paraId="22C15744">
      <w:pPr>
        <w:pStyle w:val="3"/>
        <w:spacing w:line="247" w:lineRule="auto"/>
      </w:pPr>
    </w:p>
    <w:p w14:paraId="20EE5DAA">
      <w:pPr>
        <w:pStyle w:val="3"/>
        <w:spacing w:line="247" w:lineRule="auto"/>
      </w:pPr>
    </w:p>
    <w:p w14:paraId="25991FB7">
      <w:pPr>
        <w:pStyle w:val="3"/>
        <w:spacing w:line="247" w:lineRule="auto"/>
      </w:pPr>
    </w:p>
    <w:p w14:paraId="65BAFC6E">
      <w:pPr>
        <w:pStyle w:val="3"/>
        <w:spacing w:line="247" w:lineRule="auto"/>
      </w:pPr>
    </w:p>
    <w:p w14:paraId="73E233A0">
      <w:pPr>
        <w:pStyle w:val="3"/>
        <w:spacing w:line="247" w:lineRule="auto"/>
      </w:pPr>
    </w:p>
    <w:p w14:paraId="6F0C98E4">
      <w:pPr>
        <w:pStyle w:val="3"/>
        <w:spacing w:line="247" w:lineRule="auto"/>
      </w:pPr>
    </w:p>
    <w:p w14:paraId="009178A8">
      <w:pPr>
        <w:pStyle w:val="3"/>
        <w:spacing w:line="248" w:lineRule="auto"/>
      </w:pPr>
    </w:p>
    <w:p w14:paraId="73B6C639">
      <w:pPr>
        <w:pStyle w:val="3"/>
        <w:spacing w:line="248" w:lineRule="auto"/>
      </w:pPr>
    </w:p>
    <w:p w14:paraId="6AAB0DCA">
      <w:pPr>
        <w:pStyle w:val="3"/>
        <w:spacing w:line="248" w:lineRule="auto"/>
      </w:pPr>
    </w:p>
    <w:p w14:paraId="2FE91882">
      <w:pPr>
        <w:pStyle w:val="3"/>
        <w:spacing w:line="248" w:lineRule="auto"/>
      </w:pPr>
    </w:p>
    <w:p w14:paraId="0F73C3A4">
      <w:pPr>
        <w:pStyle w:val="3"/>
        <w:spacing w:line="248" w:lineRule="auto"/>
      </w:pPr>
    </w:p>
    <w:p w14:paraId="3DB8740C">
      <w:pPr>
        <w:pStyle w:val="3"/>
        <w:spacing w:line="248" w:lineRule="auto"/>
      </w:pPr>
    </w:p>
    <w:p w14:paraId="08838F75">
      <w:pPr>
        <w:pStyle w:val="3"/>
        <w:spacing w:line="248" w:lineRule="auto"/>
      </w:pPr>
    </w:p>
    <w:p w14:paraId="43D11B0F">
      <w:pPr>
        <w:pStyle w:val="3"/>
        <w:spacing w:line="248" w:lineRule="auto"/>
      </w:pPr>
    </w:p>
    <w:p w14:paraId="52C26D50">
      <w:pPr>
        <w:spacing w:before="100" w:line="223" w:lineRule="auto"/>
        <w:ind w:right="16"/>
        <w:jc w:val="right"/>
        <w:rPr>
          <w:rFonts w:ascii="楷体" w:hAnsi="楷体" w:eastAsia="楷体" w:cs="楷体"/>
          <w:spacing w:val="-23"/>
          <w:sz w:val="31"/>
          <w:szCs w:val="31"/>
        </w:rPr>
      </w:pPr>
      <w:r>
        <w:rPr>
          <w:rFonts w:ascii="楷体" w:hAnsi="楷体" w:eastAsia="楷体" w:cs="楷体"/>
          <w:spacing w:val="-23"/>
          <w:sz w:val="31"/>
          <w:szCs w:val="31"/>
        </w:rPr>
        <w:t>部门(单位)名称：</w:t>
      </w:r>
      <w:r>
        <w:rPr>
          <w:rFonts w:hint="eastAsia" w:ascii="楷体" w:hAnsi="楷体" w:eastAsia="楷体" w:cs="楷体"/>
          <w:spacing w:val="-23"/>
          <w:sz w:val="31"/>
          <w:szCs w:val="31"/>
          <w:lang w:val="en-US" w:eastAsia="zh-CN"/>
        </w:rPr>
        <w:t>岳阳市</w:t>
      </w:r>
      <w:r>
        <w:rPr>
          <w:rFonts w:ascii="楷体" w:hAnsi="楷体" w:eastAsia="楷体" w:cs="楷体"/>
          <w:spacing w:val="-23"/>
          <w:sz w:val="31"/>
          <w:szCs w:val="31"/>
        </w:rPr>
        <w:t>岳阳楼区文化旅游体育产业服务中心</w:t>
      </w:r>
    </w:p>
    <w:p w14:paraId="28E87876">
      <w:pPr>
        <w:spacing w:before="255" w:line="225" w:lineRule="auto"/>
        <w:ind w:left="306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14"/>
          <w:sz w:val="31"/>
          <w:szCs w:val="31"/>
        </w:rPr>
        <w:t>2025年6月28日</w:t>
      </w:r>
    </w:p>
    <w:p w14:paraId="649439E7">
      <w:pPr>
        <w:spacing w:line="225" w:lineRule="auto"/>
        <w:rPr>
          <w:rFonts w:ascii="楷体" w:hAnsi="楷体" w:eastAsia="楷体" w:cs="楷体"/>
          <w:sz w:val="31"/>
          <w:szCs w:val="31"/>
        </w:rPr>
      </w:pPr>
    </w:p>
    <w:p w14:paraId="7D5E9E4B">
      <w:pPr>
        <w:spacing w:line="225" w:lineRule="auto"/>
        <w:rPr>
          <w:rFonts w:ascii="楷体" w:hAnsi="楷体" w:eastAsia="楷体" w:cs="楷体"/>
          <w:sz w:val="31"/>
          <w:szCs w:val="31"/>
        </w:rPr>
      </w:pPr>
    </w:p>
    <w:p w14:paraId="3099B3C6">
      <w:pPr>
        <w:spacing w:before="115" w:line="224" w:lineRule="auto"/>
        <w:ind w:left="3304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11"/>
          <w:sz w:val="35"/>
          <w:szCs w:val="35"/>
        </w:rPr>
        <w:t>(此页为封面)</w:t>
      </w:r>
    </w:p>
    <w:p w14:paraId="6FCFEBAF">
      <w:pPr>
        <w:spacing w:line="225" w:lineRule="auto"/>
        <w:rPr>
          <w:rFonts w:ascii="楷体" w:hAnsi="楷体" w:eastAsia="楷体" w:cs="楷体"/>
          <w:sz w:val="31"/>
          <w:szCs w:val="31"/>
        </w:rPr>
        <w:sectPr>
          <w:footerReference r:id="rId5" w:type="default"/>
          <w:pgSz w:w="12390" w:h="17160"/>
          <w:pgMar w:top="1458" w:right="1446" w:bottom="1446" w:left="1446" w:header="0" w:footer="1041" w:gutter="0"/>
          <w:cols w:space="720" w:num="1"/>
        </w:sectPr>
      </w:pPr>
    </w:p>
    <w:p w14:paraId="3DB1C077">
      <w:pPr>
        <w:spacing w:before="140" w:line="297" w:lineRule="auto"/>
        <w:ind w:left="1010" w:right="264" w:hanging="449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b/>
          <w:bCs/>
          <w:spacing w:val="6"/>
          <w:sz w:val="43"/>
          <w:szCs w:val="43"/>
        </w:rPr>
        <w:t>2024</w:t>
      </w:r>
      <w:r>
        <w:rPr>
          <w:rFonts w:ascii="黑体" w:hAnsi="黑体" w:eastAsia="黑体" w:cs="黑体"/>
          <w:b/>
          <w:bCs/>
          <w:spacing w:val="6"/>
          <w:sz w:val="43"/>
          <w:szCs w:val="43"/>
          <w:highlight w:val="none"/>
        </w:rPr>
        <w:t>年度岳阳</w:t>
      </w:r>
      <w:r>
        <w:rPr>
          <w:rFonts w:hint="eastAsia" w:ascii="黑体" w:hAnsi="黑体" w:eastAsia="黑体" w:cs="黑体"/>
          <w:b/>
          <w:bCs/>
          <w:spacing w:val="6"/>
          <w:sz w:val="43"/>
          <w:szCs w:val="43"/>
          <w:highlight w:val="none"/>
          <w:lang w:val="en-US" w:eastAsia="zh-CN"/>
        </w:rPr>
        <w:t>市</w:t>
      </w:r>
      <w:r>
        <w:rPr>
          <w:rFonts w:ascii="黑体" w:hAnsi="黑体" w:eastAsia="黑体" w:cs="黑体"/>
          <w:b/>
          <w:bCs/>
          <w:spacing w:val="6"/>
          <w:sz w:val="43"/>
          <w:szCs w:val="43"/>
          <w:highlight w:val="none"/>
        </w:rPr>
        <w:t>岳阳楼区文化旅游体育</w:t>
      </w:r>
      <w:r>
        <w:rPr>
          <w:rFonts w:ascii="黑体" w:hAnsi="黑体" w:eastAsia="黑体" w:cs="黑体"/>
          <w:b/>
          <w:bCs/>
          <w:spacing w:val="1"/>
          <w:sz w:val="43"/>
          <w:szCs w:val="43"/>
          <w:highlight w:val="none"/>
        </w:rPr>
        <w:t>产业服务中心整体支出绩效自评</w:t>
      </w:r>
      <w:r>
        <w:rPr>
          <w:rFonts w:ascii="黑体" w:hAnsi="黑体" w:eastAsia="黑体" w:cs="黑体"/>
          <w:b/>
          <w:bCs/>
          <w:spacing w:val="1"/>
          <w:sz w:val="43"/>
          <w:szCs w:val="43"/>
        </w:rPr>
        <w:t>报告</w:t>
      </w:r>
    </w:p>
    <w:p w14:paraId="1DD08513">
      <w:pPr>
        <w:pStyle w:val="3"/>
        <w:spacing w:line="246" w:lineRule="auto"/>
      </w:pPr>
    </w:p>
    <w:p w14:paraId="3FBC578D">
      <w:pPr>
        <w:spacing w:before="98" w:line="221" w:lineRule="auto"/>
        <w:ind w:left="87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一、单位基本情况</w:t>
      </w:r>
    </w:p>
    <w:p w14:paraId="68AB8F32">
      <w:pPr>
        <w:spacing w:before="211" w:line="222" w:lineRule="auto"/>
        <w:ind w:left="1004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19"/>
          <w:sz w:val="30"/>
          <w:szCs w:val="30"/>
          <w:lang w:eastAsia="zh-CN"/>
        </w:rPr>
        <w:t>（一）</w:t>
      </w:r>
      <w:r>
        <w:rPr>
          <w:rFonts w:ascii="仿宋" w:hAnsi="仿宋" w:eastAsia="仿宋" w:cs="仿宋"/>
          <w:spacing w:val="19"/>
          <w:sz w:val="30"/>
          <w:szCs w:val="30"/>
        </w:rPr>
        <w:t>职能职责</w:t>
      </w:r>
    </w:p>
    <w:p w14:paraId="6EF8565E">
      <w:pPr>
        <w:spacing w:before="188" w:line="221" w:lineRule="auto"/>
        <w:ind w:left="875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-5"/>
          <w:sz w:val="30"/>
          <w:szCs w:val="30"/>
        </w:rPr>
        <w:t>1.</w:t>
      </w:r>
      <w:r>
        <w:rPr>
          <w:rFonts w:ascii="仿宋" w:hAnsi="仿宋" w:eastAsia="仿宋" w:cs="仿宋"/>
          <w:spacing w:val="-5"/>
          <w:sz w:val="30"/>
          <w:szCs w:val="30"/>
        </w:rPr>
        <w:t>制订全区体育人才培养计划和人才选拔，参加体育竞赛；</w:t>
      </w:r>
    </w:p>
    <w:p w14:paraId="67AC033E">
      <w:pPr>
        <w:spacing w:before="264" w:line="222" w:lineRule="auto"/>
        <w:ind w:left="875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2.</w:t>
      </w:r>
      <w:r>
        <w:rPr>
          <w:rFonts w:ascii="仿宋" w:hAnsi="仿宋" w:eastAsia="仿宋" w:cs="仿宋"/>
          <w:spacing w:val="-3"/>
          <w:sz w:val="30"/>
          <w:szCs w:val="30"/>
        </w:rPr>
        <w:t>负责全区文化体育产业的管理统计。</w:t>
      </w:r>
    </w:p>
    <w:p w14:paraId="4EF77227">
      <w:pPr>
        <w:pStyle w:val="3"/>
        <w:spacing w:line="250" w:lineRule="auto"/>
      </w:pPr>
    </w:p>
    <w:p w14:paraId="35E7EA36">
      <w:pPr>
        <w:spacing w:before="97" w:line="222" w:lineRule="auto"/>
        <w:ind w:left="1004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18"/>
          <w:sz w:val="30"/>
          <w:szCs w:val="30"/>
          <w:lang w:eastAsia="zh-CN"/>
        </w:rPr>
        <w:t>（二）</w:t>
      </w:r>
      <w:r>
        <w:rPr>
          <w:rFonts w:ascii="仿宋" w:hAnsi="仿宋" w:eastAsia="仿宋" w:cs="仿宋"/>
          <w:spacing w:val="18"/>
          <w:sz w:val="30"/>
          <w:szCs w:val="30"/>
        </w:rPr>
        <w:t>机构设置</w:t>
      </w:r>
    </w:p>
    <w:p w14:paraId="485C14BE">
      <w:pPr>
        <w:pStyle w:val="3"/>
        <w:spacing w:line="306" w:lineRule="auto"/>
      </w:pPr>
    </w:p>
    <w:p w14:paraId="2E66D007">
      <w:pPr>
        <w:spacing w:before="98" w:line="221" w:lineRule="auto"/>
        <w:ind w:left="100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内设机构设置。根据编办核定正股级公益一类事</w:t>
      </w:r>
      <w:r>
        <w:rPr>
          <w:rFonts w:ascii="仿宋" w:hAnsi="仿宋" w:eastAsia="仿宋" w:cs="仿宋"/>
          <w:spacing w:val="-3"/>
          <w:sz w:val="30"/>
          <w:szCs w:val="30"/>
        </w:rPr>
        <w:t>业单位，</w:t>
      </w:r>
    </w:p>
    <w:p w14:paraId="58E1D00E">
      <w:pPr>
        <w:spacing w:before="242" w:line="358" w:lineRule="auto"/>
        <w:ind w:left="55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本单位内设机构包括：办公室、综合协调室。核定全额拨款事</w:t>
      </w:r>
      <w:r>
        <w:rPr>
          <w:rFonts w:ascii="仿宋" w:hAnsi="仿宋" w:eastAsia="仿宋" w:cs="仿宋"/>
          <w:spacing w:val="5"/>
          <w:sz w:val="30"/>
          <w:szCs w:val="30"/>
        </w:rPr>
        <w:t>业编制14名，其中正股级领导职数1名，副股级领</w:t>
      </w:r>
      <w:r>
        <w:rPr>
          <w:rFonts w:ascii="仿宋" w:hAnsi="仿宋" w:eastAsia="仿宋" w:cs="仿宋"/>
          <w:spacing w:val="4"/>
          <w:sz w:val="30"/>
          <w:szCs w:val="30"/>
        </w:rPr>
        <w:t>导职数1名。</w:t>
      </w:r>
      <w:r>
        <w:rPr>
          <w:rFonts w:ascii="仿宋" w:hAnsi="仿宋" w:eastAsia="仿宋" w:cs="仿宋"/>
          <w:spacing w:val="14"/>
          <w:sz w:val="30"/>
          <w:szCs w:val="30"/>
        </w:rPr>
        <w:t>现有人数17人，其中：在职编制13人；离退休4人。</w:t>
      </w:r>
    </w:p>
    <w:p w14:paraId="7485EBA3">
      <w:pPr>
        <w:spacing w:before="1" w:line="221" w:lineRule="auto"/>
        <w:ind w:left="1009"/>
        <w:outlineLvl w:val="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7"/>
          <w:sz w:val="30"/>
          <w:szCs w:val="30"/>
        </w:rPr>
        <w:t>二、一般公共预算支出情况</w:t>
      </w:r>
    </w:p>
    <w:p w14:paraId="7C0F391A">
      <w:pPr>
        <w:pStyle w:val="3"/>
        <w:spacing w:line="254" w:lineRule="auto"/>
        <w:rPr>
          <w:highlight w:val="none"/>
        </w:rPr>
      </w:pPr>
    </w:p>
    <w:p w14:paraId="5A248172">
      <w:pPr>
        <w:spacing w:before="98" w:line="390" w:lineRule="auto"/>
        <w:ind w:left="555" w:right="389" w:firstLine="449"/>
        <w:rPr>
          <w:rFonts w:ascii="仿宋" w:hAnsi="仿宋" w:eastAsia="仿宋" w:cs="仿宋"/>
          <w:sz w:val="30"/>
          <w:szCs w:val="30"/>
          <w:highlight w:val="none"/>
        </w:rPr>
      </w:pPr>
      <w:r>
        <w:rPr>
          <w:rFonts w:ascii="仿宋" w:hAnsi="仿宋" w:eastAsia="仿宋" w:cs="仿宋"/>
          <w:spacing w:val="7"/>
          <w:sz w:val="30"/>
          <w:szCs w:val="30"/>
          <w:highlight w:val="none"/>
        </w:rPr>
        <w:t>2024年我单位一般公共预算支出217.1</w:t>
      </w:r>
      <w:r>
        <w:rPr>
          <w:rFonts w:hint="eastAsia" w:ascii="仿宋" w:hAnsi="仿宋" w:eastAsia="仿宋" w:cs="仿宋"/>
          <w:spacing w:val="7"/>
          <w:sz w:val="30"/>
          <w:szCs w:val="30"/>
          <w:highlight w:val="none"/>
          <w:lang w:val="en-US" w:eastAsia="zh-CN"/>
        </w:rPr>
        <w:t>3</w:t>
      </w:r>
      <w:r>
        <w:rPr>
          <w:rFonts w:ascii="仿宋" w:hAnsi="仿宋" w:eastAsia="仿宋" w:cs="仿宋"/>
          <w:spacing w:val="7"/>
          <w:sz w:val="30"/>
          <w:szCs w:val="30"/>
          <w:highlight w:val="none"/>
        </w:rPr>
        <w:t>万元，</w:t>
      </w:r>
      <w:r>
        <w:rPr>
          <w:rFonts w:ascii="仿宋" w:hAnsi="仿宋" w:eastAsia="仿宋" w:cs="仿宋"/>
          <w:spacing w:val="6"/>
          <w:sz w:val="30"/>
          <w:szCs w:val="30"/>
          <w:highlight w:val="none"/>
        </w:rPr>
        <w:t>其中：基</w:t>
      </w:r>
      <w:r>
        <w:rPr>
          <w:rFonts w:ascii="仿宋" w:hAnsi="仿宋" w:eastAsia="仿宋" w:cs="仿宋"/>
          <w:spacing w:val="9"/>
          <w:sz w:val="30"/>
          <w:szCs w:val="30"/>
          <w:highlight w:val="none"/>
        </w:rPr>
        <w:t>本支出208.7</w:t>
      </w:r>
      <w:r>
        <w:rPr>
          <w:rFonts w:hint="eastAsia" w:ascii="仿宋" w:hAnsi="仿宋" w:eastAsia="仿宋" w:cs="仿宋"/>
          <w:spacing w:val="9"/>
          <w:sz w:val="30"/>
          <w:szCs w:val="30"/>
          <w:highlight w:val="none"/>
          <w:lang w:val="en-US" w:eastAsia="zh-CN"/>
        </w:rPr>
        <w:t>7</w:t>
      </w:r>
      <w:r>
        <w:rPr>
          <w:rFonts w:ascii="仿宋" w:hAnsi="仿宋" w:eastAsia="仿宋" w:cs="仿宋"/>
          <w:spacing w:val="9"/>
          <w:sz w:val="30"/>
          <w:szCs w:val="30"/>
          <w:highlight w:val="none"/>
        </w:rPr>
        <w:t>万元，项目支出8.36万元。</w:t>
      </w:r>
    </w:p>
    <w:p w14:paraId="1D444398">
      <w:pPr>
        <w:spacing w:before="95" w:line="222" w:lineRule="auto"/>
        <w:ind w:left="1365"/>
        <w:rPr>
          <w:rFonts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pacing w:val="14"/>
          <w:sz w:val="30"/>
          <w:szCs w:val="30"/>
          <w:highlight w:val="none"/>
          <w:lang w:eastAsia="zh-CN"/>
        </w:rPr>
        <w:t>（一）</w:t>
      </w:r>
      <w:r>
        <w:rPr>
          <w:rFonts w:ascii="仿宋" w:hAnsi="仿宋" w:eastAsia="仿宋" w:cs="仿宋"/>
          <w:spacing w:val="14"/>
          <w:sz w:val="30"/>
          <w:szCs w:val="30"/>
          <w:highlight w:val="none"/>
        </w:rPr>
        <w:t>基本支出情况</w:t>
      </w:r>
    </w:p>
    <w:p w14:paraId="58B6F197">
      <w:pPr>
        <w:spacing w:before="336" w:line="382" w:lineRule="auto"/>
        <w:ind w:left="555" w:right="237" w:firstLine="449"/>
        <w:jc w:val="both"/>
        <w:rPr>
          <w:rFonts w:ascii="仿宋" w:hAnsi="仿宋" w:eastAsia="仿宋" w:cs="仿宋"/>
          <w:spacing w:val="-11"/>
          <w:sz w:val="23"/>
          <w:szCs w:val="23"/>
        </w:rPr>
      </w:pPr>
      <w:r>
        <w:rPr>
          <w:rFonts w:ascii="仿宋" w:hAnsi="仿宋" w:eastAsia="仿宋" w:cs="仿宋"/>
          <w:spacing w:val="2"/>
          <w:sz w:val="30"/>
          <w:szCs w:val="30"/>
          <w:highlight w:val="none"/>
        </w:rPr>
        <w:t>2024年基本支出208.7</w:t>
      </w:r>
      <w:r>
        <w:rPr>
          <w:rFonts w:hint="eastAsia" w:ascii="仿宋" w:hAnsi="仿宋" w:eastAsia="仿宋" w:cs="仿宋"/>
          <w:spacing w:val="2"/>
          <w:sz w:val="30"/>
          <w:szCs w:val="30"/>
          <w:highlight w:val="none"/>
          <w:lang w:val="en-US" w:eastAsia="zh-CN"/>
        </w:rPr>
        <w:t>7</w:t>
      </w:r>
      <w:r>
        <w:rPr>
          <w:rFonts w:ascii="仿宋" w:hAnsi="仿宋" w:eastAsia="仿宋" w:cs="仿宋"/>
          <w:spacing w:val="2"/>
          <w:sz w:val="30"/>
          <w:szCs w:val="30"/>
          <w:highlight w:val="none"/>
        </w:rPr>
        <w:t>万元，其</w:t>
      </w:r>
      <w:r>
        <w:rPr>
          <w:rFonts w:ascii="仿宋" w:hAnsi="仿宋" w:eastAsia="仿宋" w:cs="仿宋"/>
          <w:spacing w:val="1"/>
          <w:sz w:val="30"/>
          <w:szCs w:val="30"/>
          <w:highlight w:val="none"/>
        </w:rPr>
        <w:t>中人员经费185.6</w:t>
      </w:r>
      <w:r>
        <w:rPr>
          <w:rFonts w:hint="eastAsia" w:ascii="仿宋" w:hAnsi="仿宋" w:eastAsia="仿宋" w:cs="仿宋"/>
          <w:spacing w:val="1"/>
          <w:sz w:val="30"/>
          <w:szCs w:val="30"/>
          <w:highlight w:val="none"/>
          <w:lang w:val="en-US" w:eastAsia="zh-CN"/>
        </w:rPr>
        <w:t>5</w:t>
      </w:r>
      <w:r>
        <w:rPr>
          <w:rFonts w:ascii="仿宋" w:hAnsi="仿宋" w:eastAsia="仿宋" w:cs="仿宋"/>
          <w:spacing w:val="1"/>
          <w:sz w:val="30"/>
          <w:szCs w:val="30"/>
          <w:highlight w:val="none"/>
        </w:rPr>
        <w:t>万元，</w:t>
      </w:r>
      <w:r>
        <w:rPr>
          <w:rFonts w:ascii="仿宋" w:hAnsi="仿宋" w:eastAsia="仿宋" w:cs="仿宋"/>
          <w:spacing w:val="-4"/>
          <w:sz w:val="30"/>
          <w:szCs w:val="30"/>
          <w:highlight w:val="none"/>
        </w:rPr>
        <w:t>主要包括基本工资、</w:t>
      </w:r>
      <w:r>
        <w:rPr>
          <w:rFonts w:hint="eastAsia" w:ascii="仿宋" w:hAnsi="仿宋" w:eastAsia="仿宋" w:cs="仿宋"/>
          <w:spacing w:val="-4"/>
          <w:sz w:val="30"/>
          <w:szCs w:val="30"/>
          <w:highlight w:val="none"/>
          <w:lang w:val="en-US" w:eastAsia="zh-CN"/>
        </w:rPr>
        <w:t>津贴</w:t>
      </w:r>
      <w:r>
        <w:rPr>
          <w:rFonts w:ascii="仿宋" w:hAnsi="仿宋" w:eastAsia="仿宋" w:cs="仿宋"/>
          <w:spacing w:val="-4"/>
          <w:sz w:val="30"/>
          <w:szCs w:val="30"/>
          <w:highlight w:val="none"/>
        </w:rPr>
        <w:t>补贴、奖金、伙食补助费、</w:t>
      </w:r>
      <w:r>
        <w:rPr>
          <w:rFonts w:hint="eastAsia" w:ascii="宋体" w:hAnsi="宋体" w:eastAsia="宋体" w:cs="宋体"/>
          <w:i w:val="0"/>
          <w:iCs w:val="0"/>
          <w:snapToGrid w:val="0"/>
          <w:color w:val="000000"/>
          <w:kern w:val="0"/>
          <w:sz w:val="22"/>
          <w:szCs w:val="22"/>
          <w:u w:val="none"/>
          <w:lang w:val="en-US" w:eastAsia="zh-CN" w:bidi="ar"/>
        </w:rPr>
        <w:t>绩效工</w:t>
      </w:r>
      <w:r>
        <w:rPr>
          <w:rFonts w:hint="eastAsia" w:ascii="仿宋" w:hAnsi="仿宋" w:eastAsia="仿宋" w:cs="仿宋"/>
          <w:spacing w:val="-4"/>
          <w:sz w:val="30"/>
          <w:szCs w:val="30"/>
          <w:lang w:val="en-US" w:eastAsia="zh-CN"/>
        </w:rPr>
        <w:t>资、</w:t>
      </w:r>
      <w:r>
        <w:rPr>
          <w:rFonts w:ascii="仿宋" w:hAnsi="仿宋" w:eastAsia="仿宋" w:cs="仿宋"/>
          <w:spacing w:val="-4"/>
          <w:sz w:val="30"/>
          <w:szCs w:val="30"/>
        </w:rPr>
        <w:t>机关事业单位基本养老保险缴费、职工基本医疗保险缴费、公务员医疗补助缴费、其他社会保障缴费、住房公积金、</w:t>
      </w:r>
      <w:r>
        <w:rPr>
          <w:rFonts w:hint="eastAsia" w:ascii="仿宋" w:hAnsi="仿宋" w:eastAsia="仿宋" w:cs="仿宋"/>
          <w:spacing w:val="-4"/>
          <w:sz w:val="30"/>
          <w:szCs w:val="30"/>
          <w:lang w:val="en-US" w:eastAsia="zh-CN"/>
        </w:rPr>
        <w:t>退休费、奖励金；</w:t>
      </w:r>
      <w:r>
        <w:rPr>
          <w:rFonts w:ascii="仿宋" w:hAnsi="仿宋" w:eastAsia="仿宋" w:cs="仿宋"/>
          <w:spacing w:val="-4"/>
          <w:sz w:val="30"/>
          <w:szCs w:val="30"/>
        </w:rPr>
        <w:t>公用经费23.12万元，主要包括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办公费、印刷费、水费、电费、邮电费、物业管理费、专用材料费、劳务费、工会经费、其他交通费用。</w:t>
      </w:r>
      <w:r>
        <w:rPr>
          <w:rFonts w:ascii="仿宋" w:hAnsi="仿宋" w:eastAsia="仿宋" w:cs="仿宋"/>
          <w:spacing w:val="-4"/>
          <w:sz w:val="30"/>
          <w:szCs w:val="30"/>
        </w:rPr>
        <w:t>本年度工资福利支出严格按照要求进行工资统发或规定的标准发放，不存在多发福利现象，三公经费总支出控制较好未超预算。</w:t>
      </w:r>
    </w:p>
    <w:p w14:paraId="1FCDD04E">
      <w:pPr>
        <w:spacing w:before="164" w:line="222" w:lineRule="auto"/>
        <w:ind w:left="1465"/>
        <w:rPr>
          <w:rFonts w:ascii="仿宋" w:hAnsi="仿宋" w:eastAsia="仿宋" w:cs="仿宋"/>
          <w:sz w:val="29"/>
          <w:szCs w:val="29"/>
        </w:rPr>
      </w:pPr>
      <w:r>
        <w:rPr>
          <w:rFonts w:hint="eastAsia" w:ascii="仿宋" w:hAnsi="仿宋" w:eastAsia="仿宋" w:cs="仿宋"/>
          <w:spacing w:val="22"/>
          <w:sz w:val="29"/>
          <w:szCs w:val="29"/>
          <w:lang w:eastAsia="zh-CN"/>
        </w:rPr>
        <w:t>（二）</w:t>
      </w:r>
      <w:r>
        <w:rPr>
          <w:rFonts w:ascii="仿宋" w:hAnsi="仿宋" w:eastAsia="仿宋" w:cs="仿宋"/>
          <w:spacing w:val="22"/>
          <w:sz w:val="29"/>
          <w:szCs w:val="29"/>
        </w:rPr>
        <w:t>项目支出情况</w:t>
      </w:r>
    </w:p>
    <w:p w14:paraId="5D39B0B1">
      <w:pPr>
        <w:pStyle w:val="3"/>
        <w:spacing w:line="243" w:lineRule="auto"/>
      </w:pPr>
    </w:p>
    <w:p w14:paraId="6033C787">
      <w:pPr>
        <w:spacing w:before="95" w:line="394" w:lineRule="auto"/>
        <w:ind w:left="684" w:right="63" w:firstLine="560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3"/>
          <w:sz w:val="29"/>
          <w:szCs w:val="29"/>
        </w:rPr>
        <w:t>本单位严格规范专项资金管理，保障资金安全、高</w:t>
      </w:r>
      <w:r>
        <w:rPr>
          <w:rFonts w:ascii="仿宋" w:hAnsi="仿宋" w:eastAsia="仿宋" w:cs="仿宋"/>
          <w:spacing w:val="-4"/>
          <w:sz w:val="29"/>
          <w:szCs w:val="29"/>
        </w:rPr>
        <w:t>效运行，</w:t>
      </w:r>
      <w:r>
        <w:rPr>
          <w:rFonts w:ascii="仿宋" w:hAnsi="仿宋" w:eastAsia="仿宋" w:cs="仿宋"/>
          <w:spacing w:val="6"/>
          <w:sz w:val="29"/>
          <w:szCs w:val="29"/>
        </w:rPr>
        <w:t>发挥资金使用效益，对专项资金要定期或不定期进行督查，确</w:t>
      </w:r>
      <w:r>
        <w:rPr>
          <w:rFonts w:ascii="仿宋" w:hAnsi="仿宋" w:eastAsia="仿宋" w:cs="仿宋"/>
          <w:spacing w:val="10"/>
          <w:sz w:val="29"/>
          <w:szCs w:val="29"/>
        </w:rPr>
        <w:t>保项目资金专款专用。主要是业务工作经费支出8.36万元。</w:t>
      </w:r>
    </w:p>
    <w:p w14:paraId="7FC0D1C0">
      <w:pPr>
        <w:spacing w:before="117" w:line="220" w:lineRule="auto"/>
        <w:ind w:left="1249"/>
        <w:outlineLvl w:val="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4"/>
          <w:sz w:val="29"/>
          <w:szCs w:val="29"/>
        </w:rPr>
        <w:t>三、政府性基金预算支出情况</w:t>
      </w:r>
    </w:p>
    <w:p w14:paraId="758E9098">
      <w:pPr>
        <w:pStyle w:val="3"/>
        <w:spacing w:line="271" w:lineRule="auto"/>
      </w:pPr>
    </w:p>
    <w:p w14:paraId="23C411C9">
      <w:pPr>
        <w:spacing w:before="94" w:line="430" w:lineRule="auto"/>
        <w:ind w:left="235" w:right="252" w:firstLine="47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3"/>
          <w:sz w:val="29"/>
          <w:szCs w:val="29"/>
        </w:rPr>
        <w:t>2024年度政府性基金预算支出25.00万元，主要是体彩公益</w:t>
      </w:r>
      <w:r>
        <w:rPr>
          <w:rFonts w:ascii="仿宋" w:hAnsi="仿宋" w:eastAsia="仿宋" w:cs="仿宋"/>
          <w:spacing w:val="4"/>
          <w:sz w:val="29"/>
          <w:szCs w:val="29"/>
        </w:rPr>
        <w:t>金用于体育训练项目。</w:t>
      </w:r>
    </w:p>
    <w:p w14:paraId="631AD221">
      <w:pPr>
        <w:spacing w:before="47" w:line="222" w:lineRule="auto"/>
        <w:ind w:left="1249"/>
        <w:outlineLvl w:val="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3"/>
          <w:sz w:val="29"/>
          <w:szCs w:val="29"/>
        </w:rPr>
        <w:t>四、国有资本经营预算支出情况</w:t>
      </w:r>
    </w:p>
    <w:p w14:paraId="2A5BD1F9">
      <w:pPr>
        <w:pStyle w:val="3"/>
        <w:spacing w:line="279" w:lineRule="auto"/>
      </w:pPr>
    </w:p>
    <w:p w14:paraId="11097706">
      <w:pPr>
        <w:spacing w:before="95" w:line="222" w:lineRule="auto"/>
        <w:ind w:left="124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8"/>
          <w:sz w:val="29"/>
          <w:szCs w:val="29"/>
        </w:rPr>
        <w:t>无国有资本经营预算支出情况</w:t>
      </w:r>
    </w:p>
    <w:p w14:paraId="1727320B">
      <w:pPr>
        <w:pStyle w:val="3"/>
        <w:spacing w:line="270" w:lineRule="auto"/>
      </w:pPr>
    </w:p>
    <w:p w14:paraId="571CC8A6">
      <w:pPr>
        <w:spacing w:before="95" w:line="221" w:lineRule="auto"/>
        <w:ind w:left="1249"/>
        <w:outlineLvl w:val="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5"/>
          <w:sz w:val="29"/>
          <w:szCs w:val="29"/>
        </w:rPr>
        <w:t>五、社会保险基金预算支出情况</w:t>
      </w:r>
    </w:p>
    <w:p w14:paraId="119C5E5C">
      <w:pPr>
        <w:pStyle w:val="3"/>
        <w:spacing w:line="281" w:lineRule="auto"/>
      </w:pPr>
    </w:p>
    <w:p w14:paraId="1A5F7394">
      <w:pPr>
        <w:spacing w:before="94" w:line="221" w:lineRule="auto"/>
        <w:ind w:left="124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8"/>
          <w:sz w:val="29"/>
          <w:szCs w:val="29"/>
        </w:rPr>
        <w:t>无社会保险基金预算支出情况</w:t>
      </w:r>
    </w:p>
    <w:p w14:paraId="043C0FA6">
      <w:pPr>
        <w:pStyle w:val="3"/>
        <w:spacing w:line="273" w:lineRule="auto"/>
      </w:pPr>
    </w:p>
    <w:p w14:paraId="6E5F191D">
      <w:pPr>
        <w:spacing w:before="95" w:line="222" w:lineRule="auto"/>
        <w:ind w:left="1109"/>
        <w:outlineLvl w:val="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7"/>
          <w:sz w:val="29"/>
          <w:szCs w:val="29"/>
        </w:rPr>
        <w:t>六、部门整体支出绩效情况</w:t>
      </w:r>
    </w:p>
    <w:p w14:paraId="275CB705">
      <w:pPr>
        <w:pStyle w:val="3"/>
        <w:spacing w:line="277" w:lineRule="auto"/>
      </w:pPr>
    </w:p>
    <w:p w14:paraId="7D3DFE5B">
      <w:pPr>
        <w:spacing w:before="94" w:line="222" w:lineRule="auto"/>
        <w:ind w:left="719"/>
        <w:outlineLvl w:val="2"/>
        <w:rPr>
          <w:rFonts w:ascii="仿宋" w:hAnsi="仿宋" w:eastAsia="仿宋" w:cs="仿宋"/>
          <w:sz w:val="29"/>
          <w:szCs w:val="29"/>
        </w:rPr>
      </w:pPr>
      <w:r>
        <w:rPr>
          <w:rFonts w:hint="eastAsia" w:ascii="仿宋" w:hAnsi="仿宋" w:eastAsia="仿宋" w:cs="仿宋"/>
          <w:b/>
          <w:bCs/>
          <w:spacing w:val="21"/>
          <w:sz w:val="29"/>
          <w:szCs w:val="29"/>
          <w:lang w:eastAsia="zh-CN"/>
        </w:rPr>
        <w:t>（一）</w:t>
      </w:r>
      <w:r>
        <w:rPr>
          <w:rFonts w:ascii="仿宋" w:hAnsi="仿宋" w:eastAsia="仿宋" w:cs="仿宋"/>
          <w:b/>
          <w:bCs/>
          <w:spacing w:val="21"/>
          <w:sz w:val="29"/>
          <w:szCs w:val="29"/>
        </w:rPr>
        <w:t>绩效评价结果</w:t>
      </w:r>
    </w:p>
    <w:p w14:paraId="574418A5">
      <w:pPr>
        <w:pStyle w:val="3"/>
        <w:spacing w:line="260" w:lineRule="auto"/>
      </w:pPr>
    </w:p>
    <w:p w14:paraId="755032A8">
      <w:pPr>
        <w:spacing w:before="94" w:line="401" w:lineRule="auto"/>
        <w:ind w:left="334" w:right="20" w:firstLine="589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2"/>
          <w:sz w:val="29"/>
          <w:szCs w:val="29"/>
        </w:rPr>
        <w:t>2024年度部门整体支出取得良好的成效</w:t>
      </w:r>
      <w:r>
        <w:rPr>
          <w:rFonts w:ascii="仿宋" w:hAnsi="仿宋" w:eastAsia="仿宋" w:cs="仿宋"/>
          <w:spacing w:val="11"/>
          <w:sz w:val="29"/>
          <w:szCs w:val="29"/>
        </w:rPr>
        <w:t>，工作效率和效益得</w:t>
      </w:r>
      <w:r>
        <w:rPr>
          <w:rFonts w:ascii="仿宋" w:hAnsi="仿宋" w:eastAsia="仿宋" w:cs="仿宋"/>
          <w:spacing w:val="12"/>
          <w:sz w:val="29"/>
          <w:szCs w:val="29"/>
        </w:rPr>
        <w:t>以提高，全程监控财政拨入经费的使用情况，并与工作</w:t>
      </w:r>
      <w:r>
        <w:rPr>
          <w:rFonts w:ascii="仿宋" w:hAnsi="仿宋" w:eastAsia="仿宋" w:cs="仿宋"/>
          <w:spacing w:val="11"/>
          <w:sz w:val="29"/>
          <w:szCs w:val="29"/>
        </w:rPr>
        <w:t>开展相联</w:t>
      </w:r>
      <w:r>
        <w:rPr>
          <w:rFonts w:ascii="仿宋" w:hAnsi="仿宋" w:eastAsia="仿宋" w:cs="仿宋"/>
          <w:spacing w:val="10"/>
          <w:sz w:val="29"/>
          <w:szCs w:val="29"/>
        </w:rPr>
        <w:t>系，资金使用与工作执行进度相结合，不断优化资</w:t>
      </w:r>
      <w:r>
        <w:rPr>
          <w:rFonts w:ascii="仿宋" w:hAnsi="仿宋" w:eastAsia="仿宋" w:cs="仿宋"/>
          <w:spacing w:val="9"/>
          <w:sz w:val="29"/>
          <w:szCs w:val="29"/>
        </w:rPr>
        <w:t>金支出结构，</w:t>
      </w:r>
      <w:r>
        <w:rPr>
          <w:rFonts w:ascii="仿宋" w:hAnsi="仿宋" w:eastAsia="仿宋" w:cs="仿宋"/>
          <w:spacing w:val="5"/>
          <w:sz w:val="29"/>
          <w:szCs w:val="29"/>
        </w:rPr>
        <w:t>保障资金使用高效益，以达到了保运转，保民生，保安全，促均</w:t>
      </w:r>
      <w:r>
        <w:rPr>
          <w:rFonts w:ascii="仿宋" w:hAnsi="仿宋" w:eastAsia="仿宋" w:cs="仿宋"/>
          <w:spacing w:val="11"/>
          <w:sz w:val="29"/>
          <w:szCs w:val="29"/>
        </w:rPr>
        <w:t>衡的效果。年初制定的工作任务目标100%按时完成，各项工作成</w:t>
      </w:r>
      <w:r>
        <w:rPr>
          <w:rFonts w:ascii="仿宋" w:hAnsi="仿宋" w:eastAsia="仿宋" w:cs="仿宋"/>
          <w:spacing w:val="17"/>
          <w:sz w:val="29"/>
          <w:szCs w:val="29"/>
        </w:rPr>
        <w:t>效显著</w:t>
      </w:r>
      <w:r>
        <w:rPr>
          <w:rFonts w:hint="eastAsia" w:ascii="仿宋" w:hAnsi="仿宋" w:eastAsia="仿宋" w:cs="仿宋"/>
          <w:spacing w:val="17"/>
          <w:sz w:val="29"/>
          <w:szCs w:val="29"/>
          <w:lang w:eastAsia="zh-CN"/>
        </w:rPr>
        <w:t>，</w:t>
      </w:r>
      <w:r>
        <w:rPr>
          <w:rFonts w:ascii="仿宋" w:hAnsi="仿宋" w:eastAsia="仿宋" w:cs="仿宋"/>
          <w:spacing w:val="17"/>
          <w:sz w:val="29"/>
          <w:szCs w:val="29"/>
        </w:rPr>
        <w:t>推动体育事业等各方面工作更好更快的发展，自评得分</w:t>
      </w:r>
      <w:r>
        <w:rPr>
          <w:rFonts w:ascii="仿宋" w:hAnsi="仿宋" w:eastAsia="仿宋" w:cs="仿宋"/>
          <w:spacing w:val="14"/>
          <w:sz w:val="29"/>
          <w:szCs w:val="29"/>
        </w:rPr>
        <w:t>96.80分。</w:t>
      </w:r>
    </w:p>
    <w:p w14:paraId="3CB8C723">
      <w:pPr>
        <w:spacing w:before="91" w:line="222" w:lineRule="auto"/>
        <w:ind w:left="1104"/>
        <w:rPr>
          <w:rFonts w:ascii="仿宋" w:hAnsi="仿宋" w:eastAsia="仿宋" w:cs="仿宋"/>
          <w:sz w:val="29"/>
          <w:szCs w:val="29"/>
        </w:rPr>
      </w:pPr>
      <w:r>
        <w:rPr>
          <w:rFonts w:hint="eastAsia" w:ascii="仿宋" w:hAnsi="仿宋" w:eastAsia="仿宋" w:cs="仿宋"/>
          <w:spacing w:val="18"/>
          <w:sz w:val="29"/>
          <w:szCs w:val="29"/>
          <w:lang w:eastAsia="zh-CN"/>
        </w:rPr>
        <w:t>（二）</w:t>
      </w:r>
      <w:r>
        <w:rPr>
          <w:rFonts w:ascii="仿宋" w:hAnsi="仿宋" w:eastAsia="仿宋" w:cs="仿宋"/>
          <w:spacing w:val="18"/>
          <w:sz w:val="29"/>
          <w:szCs w:val="29"/>
        </w:rPr>
        <w:t>部门整体支出绩效完成情况</w:t>
      </w:r>
    </w:p>
    <w:p w14:paraId="699E4C3E">
      <w:pPr>
        <w:pStyle w:val="3"/>
        <w:spacing w:line="313" w:lineRule="auto"/>
      </w:pPr>
    </w:p>
    <w:p w14:paraId="1F7F312E">
      <w:pPr>
        <w:spacing w:before="94" w:line="370" w:lineRule="auto"/>
        <w:ind w:left="334" w:right="10" w:firstLine="589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spacing w:val="12"/>
          <w:sz w:val="29"/>
          <w:szCs w:val="29"/>
        </w:rPr>
        <w:t>1.</w:t>
      </w:r>
      <w:r>
        <w:rPr>
          <w:rFonts w:ascii="仿宋" w:hAnsi="仿宋" w:eastAsia="仿宋" w:cs="仿宋"/>
          <w:spacing w:val="12"/>
          <w:sz w:val="29"/>
          <w:szCs w:val="29"/>
        </w:rPr>
        <w:t>引进优质资源，配优体育人才培育队伍。与实力雄厚、经验丰富，教练资源丰富的市体操运动协会、市街舞运动协会、岳阳市奥冠体育文化发展有限公司、岳阳市越洋体育俱乐部</w:t>
      </w:r>
      <w:r>
        <w:rPr>
          <w:rFonts w:hint="eastAsia" w:ascii="仿宋" w:hAnsi="仿宋" w:eastAsia="仿宋" w:cs="仿宋"/>
          <w:spacing w:val="12"/>
          <w:sz w:val="29"/>
          <w:szCs w:val="29"/>
          <w:lang w:eastAsia="zh-CN"/>
        </w:rPr>
        <w:t>有限公司</w:t>
      </w:r>
      <w:r>
        <w:rPr>
          <w:rFonts w:ascii="仿宋" w:hAnsi="仿宋" w:eastAsia="仿宋" w:cs="仿宋"/>
          <w:spacing w:val="12"/>
          <w:sz w:val="29"/>
          <w:szCs w:val="29"/>
        </w:rPr>
        <w:t>司等社会培训机构签订了合作协议。让培训机构的专业教练为学</w:t>
      </w:r>
      <w:r>
        <w:rPr>
          <w:rFonts w:ascii="仿宋" w:hAnsi="仿宋" w:eastAsia="仿宋" w:cs="仿宋"/>
          <w:spacing w:val="13"/>
          <w:sz w:val="29"/>
          <w:szCs w:val="29"/>
        </w:rPr>
        <w:t>校提供优质服务，让更多在校学生享受专业体育</w:t>
      </w:r>
      <w:r>
        <w:rPr>
          <w:rFonts w:ascii="仿宋" w:hAnsi="仿宋" w:eastAsia="仿宋" w:cs="仿宋"/>
          <w:spacing w:val="12"/>
          <w:sz w:val="29"/>
          <w:szCs w:val="29"/>
        </w:rPr>
        <w:t>训练。不定期邀请省体育专业学校教练到各体育传统特色学校和俱乐部，甄选身</w:t>
      </w:r>
      <w:r>
        <w:rPr>
          <w:rFonts w:ascii="仿宋" w:hAnsi="仿宋" w:eastAsia="仿宋" w:cs="仿宋"/>
          <w:spacing w:val="7"/>
          <w:sz w:val="29"/>
          <w:szCs w:val="29"/>
        </w:rPr>
        <w:t>体条件好、天赋潜质较高的运动员进行选苗试训。</w:t>
      </w:r>
    </w:p>
    <w:p w14:paraId="6C32E897">
      <w:pPr>
        <w:pStyle w:val="3"/>
        <w:spacing w:line="284" w:lineRule="auto"/>
      </w:pPr>
    </w:p>
    <w:p w14:paraId="769B8741">
      <w:pPr>
        <w:spacing w:before="94" w:line="356" w:lineRule="auto"/>
        <w:ind w:left="334" w:firstLine="589"/>
        <w:rPr>
          <w:rFonts w:ascii="仿宋" w:hAnsi="仿宋" w:eastAsia="仿宋" w:cs="仿宋"/>
          <w:spacing w:val="13"/>
          <w:sz w:val="29"/>
          <w:szCs w:val="29"/>
        </w:rPr>
      </w:pPr>
      <w:r>
        <w:rPr>
          <w:rFonts w:ascii="宋体" w:hAnsi="宋体" w:eastAsia="宋体" w:cs="宋体"/>
          <w:spacing w:val="12"/>
          <w:sz w:val="29"/>
          <w:szCs w:val="29"/>
        </w:rPr>
        <w:t>2.</w:t>
      </w:r>
      <w:r>
        <w:rPr>
          <w:rFonts w:ascii="仿宋" w:hAnsi="仿宋" w:eastAsia="仿宋" w:cs="仿宋"/>
          <w:spacing w:val="12"/>
          <w:sz w:val="29"/>
          <w:szCs w:val="29"/>
        </w:rPr>
        <w:t>开展常态化入校选材和人才输送。按照年初计划，今年春</w:t>
      </w:r>
      <w:r>
        <w:rPr>
          <w:rFonts w:ascii="仿宋" w:hAnsi="仿宋" w:eastAsia="仿宋" w:cs="仿宋"/>
          <w:spacing w:val="13"/>
          <w:sz w:val="29"/>
          <w:szCs w:val="29"/>
        </w:rPr>
        <w:t>秋两季开学期间，我们组织专业教练在全区范围内幼儿园及中小学开展入校选材活动。测试包括力量、平衡能力、耐力、柔韧度和音乐节奏等方面，并对选出来的苗子进行初步专业训练，储备后备人才。</w:t>
      </w:r>
    </w:p>
    <w:p w14:paraId="38159372">
      <w:pPr>
        <w:spacing w:before="94" w:line="356" w:lineRule="auto"/>
        <w:ind w:left="334" w:firstLine="589"/>
        <w:rPr>
          <w:rFonts w:ascii="仿宋" w:hAnsi="仿宋" w:eastAsia="仿宋" w:cs="仿宋"/>
          <w:spacing w:val="13"/>
          <w:sz w:val="29"/>
          <w:szCs w:val="29"/>
        </w:rPr>
      </w:pPr>
      <w:r>
        <w:rPr>
          <w:rFonts w:ascii="仿宋" w:hAnsi="仿宋" w:eastAsia="仿宋" w:cs="仿宋"/>
          <w:spacing w:val="13"/>
          <w:sz w:val="29"/>
          <w:szCs w:val="29"/>
        </w:rPr>
        <w:t>3.加强日常训练和管理水平。一是加大与社会体育机构的合作力度，共同制定项目日常训练计划，安排专人全程参与训练工作，做到日常训练周周报、月月督，全程监督，对训练任务进行全面落实，及时解决各项目存在的问题，确保训练取得实效。二是加大教练团队和运动员的管理力度，每月召开一次省运会夺金</w:t>
      </w:r>
      <w:r>
        <w:rPr>
          <w:rFonts w:hint="eastAsia" w:ascii="仿宋" w:hAnsi="仿宋" w:eastAsia="仿宋" w:cs="仿宋"/>
          <w:spacing w:val="13"/>
          <w:sz w:val="29"/>
          <w:szCs w:val="29"/>
          <w:lang w:eastAsia="zh-CN"/>
        </w:rPr>
        <w:t>形势分析会</w:t>
      </w:r>
      <w:r>
        <w:rPr>
          <w:rFonts w:ascii="仿宋" w:hAnsi="仿宋" w:eastAsia="仿宋" w:cs="仿宋"/>
          <w:spacing w:val="13"/>
          <w:sz w:val="29"/>
          <w:szCs w:val="29"/>
        </w:rPr>
        <w:t>，建立各项目教练员和参训运动员的基本情况及训练情况台账，制定合理的末位淘汰制，打造优质运动员团队。</w:t>
      </w:r>
    </w:p>
    <w:p w14:paraId="0E5D96D4">
      <w:pPr>
        <w:spacing w:before="94" w:line="356" w:lineRule="auto"/>
        <w:ind w:left="334" w:firstLine="58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3"/>
          <w:sz w:val="29"/>
          <w:szCs w:val="29"/>
        </w:rPr>
        <w:t>4.积极组织参加各级赛事。为进一步提高教练员的教学质量</w:t>
      </w:r>
      <w:r>
        <w:rPr>
          <w:rFonts w:ascii="仿宋" w:hAnsi="仿宋" w:eastAsia="仿宋" w:cs="仿宋"/>
          <w:spacing w:val="12"/>
          <w:sz w:val="29"/>
          <w:szCs w:val="29"/>
        </w:rPr>
        <w:t>水平、提升运动员的竞技水平，我们积极组织、参加了2</w:t>
      </w:r>
      <w:r>
        <w:rPr>
          <w:rFonts w:ascii="仿宋" w:hAnsi="仿宋" w:eastAsia="仿宋" w:cs="仿宋"/>
          <w:spacing w:val="11"/>
          <w:sz w:val="29"/>
          <w:szCs w:val="29"/>
        </w:rPr>
        <w:t>024年艺术体操城市邀请赛、2024年艺术体操、街舞、体操、蹦床省锦标赛岳阳市代表队选拔赛、2024年湖南省青少年锦标赛、2024年湖</w:t>
      </w:r>
      <w:r>
        <w:rPr>
          <w:rFonts w:ascii="仿宋" w:hAnsi="仿宋" w:eastAsia="仿宋" w:cs="仿宋"/>
          <w:spacing w:val="9"/>
          <w:sz w:val="29"/>
          <w:szCs w:val="29"/>
        </w:rPr>
        <w:t>南省第四届街舞公开赛暨岳阳市第三届街舞锦标赛等各项赛事，</w:t>
      </w:r>
      <w:r>
        <w:rPr>
          <w:rFonts w:ascii="仿宋" w:hAnsi="仿宋" w:eastAsia="仿宋" w:cs="仿宋"/>
          <w:spacing w:val="6"/>
          <w:sz w:val="29"/>
          <w:szCs w:val="29"/>
        </w:rPr>
        <w:t>全面完成了各项赛事工作任务。其中在2024年省锦标赛上，</w:t>
      </w:r>
      <w:r>
        <w:rPr>
          <w:rFonts w:ascii="仿宋" w:hAnsi="仿宋" w:eastAsia="仿宋" w:cs="仿宋"/>
          <w:spacing w:val="5"/>
          <w:sz w:val="29"/>
          <w:szCs w:val="29"/>
        </w:rPr>
        <w:t>体操、蹦床、艺术体操、街舞四个青少年竞技项目共有83</w:t>
      </w:r>
      <w:r>
        <w:rPr>
          <w:rFonts w:ascii="仿宋" w:hAnsi="仿宋" w:eastAsia="仿宋" w:cs="仿宋"/>
          <w:spacing w:val="4"/>
          <w:sz w:val="29"/>
          <w:szCs w:val="29"/>
        </w:rPr>
        <w:t>名运动员参赛，</w:t>
      </w:r>
      <w:r>
        <w:rPr>
          <w:rFonts w:ascii="仿宋" w:hAnsi="仿宋" w:eastAsia="仿宋" w:cs="仿宋"/>
          <w:spacing w:val="26"/>
          <w:sz w:val="29"/>
          <w:szCs w:val="29"/>
        </w:rPr>
        <w:t>共获得5金11银13铜，2个第四名、7个第五名、3个第六名、4</w:t>
      </w:r>
      <w:r>
        <w:rPr>
          <w:rFonts w:ascii="仿宋" w:hAnsi="仿宋" w:eastAsia="仿宋" w:cs="仿宋"/>
          <w:spacing w:val="10"/>
          <w:sz w:val="29"/>
          <w:szCs w:val="29"/>
        </w:rPr>
        <w:t>个第七名、2个第八名的优异成绩。</w:t>
      </w:r>
    </w:p>
    <w:p w14:paraId="0275E55C">
      <w:pPr>
        <w:spacing w:before="18" w:line="219" w:lineRule="auto"/>
        <w:ind w:left="991"/>
        <w:outlineLvl w:val="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5"/>
          <w:sz w:val="29"/>
          <w:szCs w:val="29"/>
        </w:rPr>
        <w:t>七、存在的问题及原因分析</w:t>
      </w:r>
    </w:p>
    <w:p w14:paraId="13A7C0D4">
      <w:pPr>
        <w:pStyle w:val="3"/>
        <w:spacing w:line="278" w:lineRule="auto"/>
      </w:pPr>
    </w:p>
    <w:p w14:paraId="51E4FC9C">
      <w:pPr>
        <w:spacing w:before="94" w:line="380" w:lineRule="auto"/>
        <w:ind w:left="337" w:right="84" w:firstLine="64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2"/>
          <w:sz w:val="29"/>
          <w:szCs w:val="29"/>
        </w:rPr>
        <w:t>主要是绩效预算编制还有待进一步细化，预算编制不够明确</w:t>
      </w:r>
      <w:r>
        <w:rPr>
          <w:rFonts w:ascii="仿宋" w:hAnsi="仿宋" w:eastAsia="仿宋" w:cs="仿宋"/>
          <w:spacing w:val="7"/>
          <w:sz w:val="29"/>
          <w:szCs w:val="29"/>
        </w:rPr>
        <w:t>和细化，合理性需要提高。</w:t>
      </w:r>
    </w:p>
    <w:p w14:paraId="2F215B92">
      <w:pPr>
        <w:spacing w:before="212" w:line="222" w:lineRule="auto"/>
        <w:ind w:left="991"/>
        <w:outlineLvl w:val="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-2"/>
          <w:sz w:val="29"/>
          <w:szCs w:val="29"/>
        </w:rPr>
        <w:t>八、下一步改进措施</w:t>
      </w:r>
    </w:p>
    <w:p w14:paraId="27D5647C">
      <w:pPr>
        <w:spacing w:before="94" w:line="407" w:lineRule="auto"/>
        <w:ind w:left="341" w:right="6" w:firstLine="610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2"/>
          <w:sz w:val="29"/>
          <w:szCs w:val="29"/>
        </w:rPr>
        <w:t>一是加强年初预算编制的学习，不断增强业务人员的业务水</w:t>
      </w:r>
      <w:r>
        <w:rPr>
          <w:rFonts w:ascii="仿宋" w:hAnsi="仿宋" w:eastAsia="仿宋" w:cs="仿宋"/>
          <w:spacing w:val="11"/>
          <w:sz w:val="29"/>
          <w:szCs w:val="29"/>
        </w:rPr>
        <w:t>平。二是加强预算编制的前期调查研究，进一步提升预算的科学</w:t>
      </w:r>
      <w:r>
        <w:rPr>
          <w:rFonts w:ascii="仿宋" w:hAnsi="仿宋" w:eastAsia="仿宋" w:cs="仿宋"/>
          <w:spacing w:val="5"/>
          <w:sz w:val="29"/>
          <w:szCs w:val="29"/>
        </w:rPr>
        <w:t>性、合理性及实用性。</w:t>
      </w:r>
    </w:p>
    <w:p w14:paraId="3C442CC2">
      <w:pPr>
        <w:spacing w:before="108" w:line="222" w:lineRule="auto"/>
        <w:ind w:left="955"/>
        <w:outlineLvl w:val="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5"/>
          <w:sz w:val="29"/>
          <w:szCs w:val="29"/>
        </w:rPr>
        <w:t>九、部门整体支出绩效自评结果拟应用和公开情况</w:t>
      </w:r>
    </w:p>
    <w:p w14:paraId="70053087">
      <w:pPr>
        <w:pStyle w:val="3"/>
        <w:spacing w:line="249" w:lineRule="auto"/>
      </w:pPr>
    </w:p>
    <w:p w14:paraId="60D84DE4">
      <w:pPr>
        <w:spacing w:before="94" w:line="394" w:lineRule="auto"/>
        <w:ind w:left="341" w:firstLine="61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3"/>
          <w:sz w:val="29"/>
          <w:szCs w:val="29"/>
        </w:rPr>
        <w:t>本单位将以结果为</w:t>
      </w:r>
      <w:bookmarkStart w:id="0" w:name="_GoBack"/>
      <w:bookmarkEnd w:id="0"/>
      <w:r>
        <w:rPr>
          <w:rFonts w:ascii="仿宋" w:hAnsi="仿宋" w:eastAsia="仿宋" w:cs="仿宋"/>
          <w:spacing w:val="13"/>
          <w:sz w:val="29"/>
          <w:szCs w:val="29"/>
        </w:rPr>
        <w:t>导向，健全绩效评估与绩效评价结</w:t>
      </w:r>
      <w:r>
        <w:rPr>
          <w:rFonts w:ascii="仿宋" w:hAnsi="仿宋" w:eastAsia="仿宋" w:cs="仿宋"/>
          <w:spacing w:val="12"/>
          <w:sz w:val="29"/>
          <w:szCs w:val="29"/>
        </w:rPr>
        <w:t>果挂钩机制，对绩效评价发现的问题，采取有力措施绩效整改，并将绩效评价结果作为年度绩效考核的依据，持续提高资金使用效</w:t>
      </w:r>
      <w:r>
        <w:rPr>
          <w:rFonts w:ascii="仿宋" w:hAnsi="仿宋" w:eastAsia="仿宋" w:cs="仿宋"/>
          <w:spacing w:val="11"/>
          <w:sz w:val="29"/>
          <w:szCs w:val="29"/>
        </w:rPr>
        <w:t>益。</w:t>
      </w:r>
      <w:r>
        <w:rPr>
          <w:rFonts w:ascii="仿宋" w:hAnsi="仿宋" w:eastAsia="仿宋" w:cs="仿宋"/>
          <w:spacing w:val="7"/>
          <w:sz w:val="29"/>
          <w:szCs w:val="29"/>
        </w:rPr>
        <w:t>本报告将在岳阳楼区政府门户网站进行公示。</w:t>
      </w:r>
    </w:p>
    <w:p w14:paraId="10C28251">
      <w:pPr>
        <w:spacing w:before="94" w:line="394" w:lineRule="auto"/>
        <w:ind w:left="341" w:firstLine="610"/>
        <w:rPr>
          <w:rFonts w:ascii="仿宋" w:hAnsi="仿宋" w:eastAsia="仿宋" w:cs="仿宋"/>
          <w:spacing w:val="13"/>
          <w:sz w:val="29"/>
          <w:szCs w:val="29"/>
        </w:rPr>
      </w:pPr>
      <w:r>
        <w:rPr>
          <w:rFonts w:ascii="仿宋" w:hAnsi="仿宋" w:eastAsia="仿宋" w:cs="仿宋"/>
          <w:spacing w:val="13"/>
          <w:sz w:val="29"/>
          <w:szCs w:val="29"/>
        </w:rPr>
        <w:t>其他需要说明的情况：无</w:t>
      </w:r>
    </w:p>
    <w:p w14:paraId="70DAE20A">
      <w:pPr>
        <w:spacing w:before="114"/>
        <w:jc w:val="right"/>
        <w:rPr>
          <w:sz w:val="35"/>
          <w:szCs w:val="35"/>
        </w:rPr>
      </w:pPr>
    </w:p>
    <w:sectPr>
      <w:footerReference r:id="rId6" w:type="default"/>
      <w:pgSz w:w="11900" w:h="18120"/>
      <w:pgMar w:top="1540" w:right="1134" w:bottom="1542" w:left="113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5DABE1-21A9-484C-BF3F-C10283D921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4101E01-B15B-48AC-B170-CDA6F54ECED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0D0735C-2154-4E44-8398-63B274F506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61038E0-B6C3-46C4-90A3-9AC38377CDDC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FB3D29A6-01F5-41AC-B6B0-65D3FCD5143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4C896B1-A0B5-4360-A094-E3359E10720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D100E">
    <w:pPr>
      <w:spacing w:line="235" w:lineRule="auto"/>
      <w:ind w:left="7831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1"/>
        <w:w w:val="96"/>
        <w:sz w:val="31"/>
        <w:szCs w:val="31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EAD39">
    <w:pPr>
      <w:pStyle w:val="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F8F5D00"/>
    <w:rsid w:val="12463148"/>
    <w:rsid w:val="144504D8"/>
    <w:rsid w:val="180E5D05"/>
    <w:rsid w:val="1BBB0703"/>
    <w:rsid w:val="1CFA1018"/>
    <w:rsid w:val="1DA24602"/>
    <w:rsid w:val="2C820DC9"/>
    <w:rsid w:val="2C8F03A9"/>
    <w:rsid w:val="2F546A4D"/>
    <w:rsid w:val="34822D9E"/>
    <w:rsid w:val="53CF493C"/>
    <w:rsid w:val="5988322D"/>
    <w:rsid w:val="67F25F98"/>
    <w:rsid w:val="6AFA59F3"/>
    <w:rsid w:val="6EF936B2"/>
    <w:rsid w:val="72FD39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3b02f961-7d5a-4bb9-a84e-f0ba89f24b49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3925DF39</paraID>
      <start>0</start>
      <end>2</end>
      <status>unmodified</status>
      <modifiedWord/>
      <trackRevisions>false</trackRevisions>
    </reviewItem>
    <reviewItem>
      <errorID>e0815acc-ed5c-4c19-9d1f-daa70cd108bd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81B61D7</paraID>
      <start>0</start>
      <end>2</end>
      <status>unmodified</status>
      <modifiedWord/>
      <trackRevisions>false</trackRevisions>
    </reviewItem>
    <reviewItem>
      <errorID>31752406-1fa8-407c-b06e-ab0577665b3d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77CC9CFD</paraID>
      <start>0</start>
      <end>2</end>
      <status>unmodified</status>
      <modifiedWord/>
      <trackRevisions>false</trackRevisions>
    </reviewItem>
    <reviewItem>
      <errorID>e9c0ca3c-9e2b-4bba-a35a-7906f9cdac0b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3D67BFB8</paraID>
      <start>0</start>
      <end>2</end>
      <status>unmodified</status>
      <modifiedWord/>
      <trackRevisions>false</trackRevisions>
    </reviewItem>
    <reviewItem>
      <errorID>4f51f9f7-c44c-437c-a812-13b3d97603e4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334CF061</paraID>
      <start>0</start>
      <end>2</end>
      <status>unmodified</status>
      <modifiedWord/>
      <trackRevisions>false</trackRevisions>
    </reviewItem>
    <reviewItem>
      <errorID>ff74023f-7303-4242-a517-a986d900050a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597302D5</paraID>
      <start>0</start>
      <end>2</end>
      <status>unmodified</status>
      <modifiedWord/>
      <trackRevisions>false</trackRevisions>
    </reviewItem>
    <reviewItem>
      <errorID>833eeecb-c0fd-4c8c-8aa6-26b08bd02746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39FCFD26</paraID>
      <start>0</start>
      <end>1</end>
      <status>unmodified</status>
      <modifiedWord/>
      <trackRevisions>false</trackRevisions>
    </reviewItem>
    <reviewItem>
      <errorID>2ff52550-c3eb-4252-b6a2-d51b439a326a</errorID>
      <errorWord>展</errorWord>
      <group>L1_Word</group>
      <groupName>字词问题</groupName>
      <ability>L2_Typo</ability>
      <abilityName>字词错误</abilityName>
      <candidateList>
        <item>展和</item>
      </candidateList>
      <explain/>
      <paraID>4026F0C7</paraID>
      <start>81</start>
      <end>83</end>
      <status>modified</status>
      <modifiedWord>展和</modifiedWord>
      <trackRevisions>false</trackRevisions>
    </reviewItem>
    <reviewItem>
      <errorID>70dc66c3-1bfc-4f96-a2fb-a667eb7f2660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123CF776</paraID>
      <start>0</start>
      <end>1</end>
      <status>unmodified</status>
      <modifiedWord/>
      <trackRevisions>false</trackRevisions>
    </reviewItem>
    <reviewItem>
      <errorID>841163fc-ccb5-4584-ad31-ecde6636bcb9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123CF776</paraID>
      <start>4</start>
      <end>5</end>
      <status>unmodified</status>
      <modifiedWord/>
      <trackRevisions>false</trackRevisions>
    </reviewItem>
    <reviewItem>
      <errorID>85cd4da2-0ee2-44d7-a561-a9161c35683c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52C26D50</paraID>
      <start>2</start>
      <end>3</end>
      <status>unmodified</status>
      <modifiedWord/>
      <trackRevisions>false</trackRevisions>
    </reviewItem>
    <reviewItem>
      <errorID>5ec10bc8-85d9-4916-b3d6-80e0f9b43426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52C26D50</paraID>
      <start>5</start>
      <end>6</end>
      <status>unmodified</status>
      <modifiedWord/>
      <trackRevisions>false</trackRevisions>
    </reviewItem>
    <reviewItem>
      <errorID>a14c1302-3943-4bc6-9066-58cbac6f2bb5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3099B3C6</paraID>
      <start>0</start>
      <end>1</end>
      <status>unmodified</status>
      <modifiedWord/>
      <trackRevisions>false</trackRevisions>
    </reviewItem>
    <reviewItem>
      <errorID>2cc19f7d-f06d-4f89-95f3-c34dddc91540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3099B3C6</paraID>
      <start>6</start>
      <end>7</end>
      <status>unmodified</status>
      <modifiedWord/>
      <trackRevisions>false</trackRevisions>
    </reviewItem>
    <reviewItem>
      <errorID>943b6a8f-dc5e-4b1f-bd3c-79b1f356bad3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68AB8F32</paraID>
      <start>0</start>
      <end>3</end>
      <status>modified</status>
      <modifiedWord>（一）</modifiedWord>
      <trackRevisions>false</trackRevisions>
    </reviewItem>
    <reviewItem>
      <errorID>96dc665e-4e9f-4c39-aebd-da8ec89da68d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35E7EA36</paraID>
      <start>0</start>
      <end>3</end>
      <status>modified</status>
      <modifiedWord>（二）</modifiedWord>
      <trackRevisions>false</trackRevisions>
    </reviewItem>
    <reviewItem>
      <errorID>e4630d59-590b-440b-aa4c-00f77110fb7d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1D444398</paraID>
      <start>0</start>
      <end>3</end>
      <status>modified</status>
      <modifiedWord>（一）</modifiedWord>
      <trackRevisions>false</trackRevisions>
    </reviewItem>
    <reviewItem>
      <errorID>8e6f4abe-55ff-4ca4-8fb2-d02078725547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58B6F197</paraID>
      <start>223</start>
      <end>227</end>
      <status>ignored</status>
      <modifiedWord/>
      <trackRevisions>false</trackRevisions>
    </reviewItem>
    <reviewItem>
      <errorID>616d4b21-5e92-4261-a9d5-d7fc6f0cc397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1FCDD04E</paraID>
      <start>0</start>
      <end>3</end>
      <status>modified</status>
      <modifiedWord>（二）</modifiedWord>
      <trackRevisions>false</trackRevisions>
    </reviewItem>
    <reviewItem>
      <errorID>e098de89-bafa-4b02-a0ca-547afe1b28e0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7D3DFE5B</paraID>
      <start>0</start>
      <end>3</end>
      <status>modified</status>
      <modifiedWord>（一）</modifiedWord>
      <trackRevisions>false</trackRevisions>
    </reviewItem>
    <reviewItem>
      <errorID>75c3206d-3b1f-47ca-b709-149a9aa4c526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755032A8</paraID>
      <start>151</start>
      <end>152</end>
      <status>modified</status>
      <modifiedWord>，</modifiedWord>
      <trackRevisions>false</trackRevisions>
    </reviewItem>
    <reviewItem>
      <errorID>70440a08-9bae-4095-8c94-0c312639f226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3CB8C723</paraID>
      <start>0</start>
      <end>3</end>
      <status>modified</status>
      <modifiedWord>（二）</modifiedWord>
      <trackRevisions>false</trackRevisions>
    </reviewItem>
    <reviewItem>
      <errorID>a2a8466e-8d0b-4a5d-b8b5-fd62d9c2ba61</errorID>
      <errorWord>有限公</errorWord>
      <group>L1_Word</group>
      <groupName>字词问题</groupName>
      <ability>L2_Typo</ability>
      <abilityName>字词错误</abilityName>
      <candidateList>
        <item>有限公司</item>
      </candidateList>
      <explain/>
      <paraID>1F7F312E</paraID>
      <start>82</start>
      <end>86</end>
      <status>modified</status>
      <modifiedWord>有限公司</modifiedWord>
      <trackRevisions>false</trackRevisions>
    </reviewItem>
    <reviewItem>
      <errorID>731453a1-3b44-4b35-b86b-14783e1a20a0</errorID>
      <errorWord>形式分析会</errorWord>
      <group>L1_Word</group>
      <groupName>字词问题</groupName>
      <ability>L2_Typo</ability>
      <abilityName>字词错误</abilityName>
      <candidateList>
        <item>形势分析会</item>
      </candidateList>
      <explain/>
      <paraID>38159372</paraID>
      <start>144</start>
      <end>149</end>
      <status>modified</status>
      <modifiedWord>形势分析会</modifiedWord>
      <trackRevisions>false</trackRevisions>
    </reviewItem>
    <reviewItem>
      <errorID>927a6e97-d8b5-46b5-ab92-748ef0084064</errorID>
      <errorWord>量</errorWord>
      <group>L1_Word</group>
      <groupName>字词问题</groupName>
      <ability>L2_Typo</ability>
      <abilityName>字词错误</abilityName>
      <candidateList>
        <item>量和</item>
      </candidateList>
      <explain/>
      <paraID> E5D96D4</paraID>
      <start>26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86fd236-9ff5-46ab-822a-74ce1f0197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3150</Words>
  <Characters>3462</Characters>
  <TotalTime>3</TotalTime>
  <ScaleCrop>false</ScaleCrop>
  <LinksUpToDate>false</LinksUpToDate>
  <CharactersWithSpaces>3555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2026-07-16T17:12:00Z</dcterms:created>
  <dc:creator>Administrator</dc:creator>
  <cp:lastModifiedBy>批注</cp:lastModifiedBy>
  <dcterms:modified xsi:type="dcterms:W3CDTF">2026-08-30T19:21:48Z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2026-07-16T17:12:44Z</vt:filetime>
  </property>
  <property fmtid="{D5CDD505-2E9C-101B-9397-08002B2CF9AE}" pid="4" name="UsrData">
    <vt:lpwstr>6a58a089b3e10b0020dcb13cwl</vt:lpwstr>
  </property>
  <property fmtid="{D5CDD505-2E9C-101B-9397-08002B2CF9AE}" pid="5" name="KSOTemplateDocerSaveRecord">
    <vt:lpwstr>eyJoZGlkIjoiZTgzOWY0Yjk5YWYyNzBjMTkzYjM3YjA3YWUzOWY0ZGIiLCJ1c2VySWQiOiIzNDk2MzkxMTcifQ==</vt:lpwstr>
  </property>
  <property fmtid="{D5CDD505-2E9C-101B-9397-08002B2CF9AE}" pid="6" name="KSOProductBuildVer">
    <vt:lpwstr>2052-12.1.0.28043</vt:lpwstr>
  </property>
  <property fmtid="{D5CDD505-2E9C-101B-9397-08002B2CF9AE}" pid="7" name="ICV">
    <vt:lpwstr>D926B6F9B6714592ACFCE99CC49D3119_13</vt:lpwstr>
  </property>
</Properties>
</file>